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A4" w:rsidRPr="00B12CDF" w:rsidRDefault="00BD4BD3" w:rsidP="00BD4BD3">
      <w:pPr>
        <w:spacing w:after="0" w:line="240" w:lineRule="auto"/>
        <w:jc w:val="both"/>
        <w:rPr>
          <w:rFonts w:ascii="Arial" w:hAnsi="Arial" w:cs="Arial"/>
          <w:sz w:val="24"/>
          <w:szCs w:val="24"/>
        </w:rPr>
      </w:pPr>
      <w:r w:rsidRPr="00B12CDF">
        <w:rPr>
          <w:rFonts w:ascii="Arial" w:hAnsi="Arial" w:cs="Arial"/>
          <w:sz w:val="24"/>
          <w:szCs w:val="24"/>
        </w:rPr>
        <w:t xml:space="preserve">Iktatószám: </w:t>
      </w:r>
      <w:r w:rsidR="008111B2">
        <w:rPr>
          <w:rFonts w:ascii="Arial" w:hAnsi="Arial" w:cs="Arial"/>
          <w:sz w:val="24"/>
          <w:szCs w:val="24"/>
        </w:rPr>
        <w:t>HTO/</w:t>
      </w:r>
      <w:r w:rsidR="00EA70BA">
        <w:rPr>
          <w:rFonts w:ascii="Arial" w:hAnsi="Arial" w:cs="Arial"/>
          <w:sz w:val="24"/>
          <w:szCs w:val="24"/>
        </w:rPr>
        <w:t>509-1</w:t>
      </w:r>
      <w:r w:rsidR="00FA33D8" w:rsidRPr="00B12CDF">
        <w:rPr>
          <w:rFonts w:ascii="Arial" w:hAnsi="Arial" w:cs="Arial"/>
          <w:sz w:val="24"/>
          <w:szCs w:val="24"/>
        </w:rPr>
        <w:t>/201</w:t>
      </w:r>
      <w:r w:rsidR="00971838">
        <w:rPr>
          <w:rFonts w:ascii="Arial" w:hAnsi="Arial" w:cs="Arial"/>
          <w:sz w:val="24"/>
          <w:szCs w:val="24"/>
        </w:rPr>
        <w:t>7</w:t>
      </w:r>
      <w:r w:rsidR="00FA33D8" w:rsidRPr="00B12CDF">
        <w:rPr>
          <w:rFonts w:ascii="Arial" w:hAnsi="Arial" w:cs="Arial"/>
          <w:sz w:val="24"/>
          <w:szCs w:val="24"/>
        </w:rPr>
        <w:t>.</w:t>
      </w:r>
    </w:p>
    <w:p w:rsidR="00E012A4" w:rsidRDefault="00E012A4" w:rsidP="00BD4BD3">
      <w:pPr>
        <w:spacing w:after="0" w:line="240" w:lineRule="auto"/>
        <w:jc w:val="both"/>
        <w:rPr>
          <w:rFonts w:ascii="Arial" w:hAnsi="Arial" w:cs="Arial"/>
          <w:sz w:val="24"/>
          <w:szCs w:val="24"/>
        </w:rPr>
      </w:pPr>
    </w:p>
    <w:p w:rsidR="00E012A4" w:rsidRDefault="00361BEF" w:rsidP="00BD4BD3">
      <w:pPr>
        <w:spacing w:after="0" w:line="240" w:lineRule="auto"/>
        <w:jc w:val="both"/>
        <w:rPr>
          <w:rFonts w:ascii="Arial" w:hAnsi="Arial" w:cs="Arial"/>
          <w:sz w:val="24"/>
          <w:szCs w:val="24"/>
        </w:rPr>
      </w:pPr>
      <w:r>
        <w:rPr>
          <w:rFonts w:ascii="Arial" w:hAnsi="Arial" w:cs="Arial"/>
          <w:sz w:val="24"/>
          <w:szCs w:val="24"/>
        </w:rPr>
        <w:t>Napirend sorszáma:</w:t>
      </w:r>
    </w:p>
    <w:p w:rsidR="00361BEF" w:rsidRDefault="00361BEF" w:rsidP="00E012A4">
      <w:pPr>
        <w:spacing w:after="0"/>
        <w:jc w:val="both"/>
        <w:rPr>
          <w:rFonts w:ascii="Arial" w:hAnsi="Arial" w:cs="Arial"/>
          <w:sz w:val="24"/>
          <w:szCs w:val="24"/>
        </w:rPr>
      </w:pPr>
    </w:p>
    <w:p w:rsidR="00361BEF" w:rsidRPr="00E012A4" w:rsidRDefault="00361BEF" w:rsidP="00B5063B">
      <w:pPr>
        <w:spacing w:after="0" w:line="240" w:lineRule="auto"/>
        <w:jc w:val="both"/>
        <w:rPr>
          <w:rFonts w:ascii="Arial" w:hAnsi="Arial" w:cs="Arial"/>
          <w:sz w:val="24"/>
          <w:szCs w:val="24"/>
        </w:rPr>
      </w:pPr>
    </w:p>
    <w:p w:rsidR="00A101F2" w:rsidRPr="002D4BC8" w:rsidRDefault="00A101F2" w:rsidP="00B5063B">
      <w:pPr>
        <w:spacing w:after="0" w:line="240" w:lineRule="auto"/>
        <w:jc w:val="center"/>
        <w:rPr>
          <w:rFonts w:ascii="Arial" w:hAnsi="Arial" w:cs="Arial"/>
          <w:b/>
          <w:sz w:val="24"/>
          <w:szCs w:val="24"/>
        </w:rPr>
      </w:pPr>
      <w:r w:rsidRPr="002D4BC8">
        <w:rPr>
          <w:rFonts w:ascii="Arial" w:hAnsi="Arial" w:cs="Arial"/>
          <w:b/>
          <w:sz w:val="24"/>
          <w:szCs w:val="24"/>
        </w:rPr>
        <w:t>Előterjesztés</w:t>
      </w:r>
    </w:p>
    <w:p w:rsidR="00A101F2" w:rsidRPr="002D4BC8" w:rsidRDefault="00A101F2" w:rsidP="00B5063B">
      <w:pPr>
        <w:spacing w:after="0" w:line="240" w:lineRule="auto"/>
        <w:rPr>
          <w:rFonts w:ascii="Arial" w:hAnsi="Arial" w:cs="Arial"/>
          <w:b/>
          <w:sz w:val="24"/>
          <w:szCs w:val="24"/>
        </w:rPr>
      </w:pPr>
    </w:p>
    <w:p w:rsidR="00A101F2" w:rsidRPr="002D4BC8" w:rsidRDefault="00A628A2" w:rsidP="00B5063B">
      <w:pPr>
        <w:spacing w:after="0" w:line="240" w:lineRule="auto"/>
        <w:jc w:val="center"/>
        <w:rPr>
          <w:rFonts w:ascii="Arial" w:hAnsi="Arial" w:cs="Arial"/>
          <w:b/>
          <w:sz w:val="24"/>
          <w:szCs w:val="24"/>
        </w:rPr>
      </w:pPr>
      <w:r>
        <w:rPr>
          <w:rFonts w:ascii="Arial" w:hAnsi="Arial" w:cs="Arial"/>
          <w:b/>
          <w:sz w:val="24"/>
          <w:szCs w:val="24"/>
        </w:rPr>
        <w:t>Hévíz Város Önkormányzat</w:t>
      </w:r>
      <w:r w:rsidR="00AC481D">
        <w:rPr>
          <w:rFonts w:ascii="Arial" w:hAnsi="Arial" w:cs="Arial"/>
          <w:b/>
          <w:sz w:val="24"/>
          <w:szCs w:val="24"/>
        </w:rPr>
        <w:t xml:space="preserve"> Képviselő-testülete</w:t>
      </w:r>
    </w:p>
    <w:p w:rsidR="00A101F2" w:rsidRPr="00B12CDF" w:rsidRDefault="00F83C96" w:rsidP="00B5063B">
      <w:pPr>
        <w:spacing w:after="0" w:line="240" w:lineRule="auto"/>
        <w:jc w:val="center"/>
        <w:rPr>
          <w:rFonts w:ascii="Arial" w:hAnsi="Arial" w:cs="Arial"/>
          <w:b/>
          <w:sz w:val="24"/>
          <w:szCs w:val="24"/>
        </w:rPr>
      </w:pPr>
      <w:r w:rsidRPr="00B12CDF">
        <w:rPr>
          <w:rFonts w:ascii="Arial" w:hAnsi="Arial" w:cs="Arial"/>
          <w:b/>
          <w:sz w:val="24"/>
          <w:szCs w:val="24"/>
        </w:rPr>
        <w:t>201</w:t>
      </w:r>
      <w:r w:rsidR="00AF5839">
        <w:rPr>
          <w:rFonts w:ascii="Arial" w:hAnsi="Arial" w:cs="Arial"/>
          <w:b/>
          <w:sz w:val="24"/>
          <w:szCs w:val="24"/>
        </w:rPr>
        <w:t>7</w:t>
      </w:r>
      <w:r w:rsidR="00113CBB" w:rsidRPr="00B12CDF">
        <w:rPr>
          <w:rFonts w:ascii="Arial" w:hAnsi="Arial" w:cs="Arial"/>
          <w:b/>
          <w:sz w:val="24"/>
          <w:szCs w:val="24"/>
        </w:rPr>
        <w:t>.</w:t>
      </w:r>
      <w:r w:rsidR="00E56586" w:rsidRPr="00B12CDF">
        <w:rPr>
          <w:rFonts w:ascii="Arial" w:hAnsi="Arial" w:cs="Arial"/>
          <w:b/>
          <w:sz w:val="24"/>
          <w:szCs w:val="24"/>
        </w:rPr>
        <w:t xml:space="preserve"> </w:t>
      </w:r>
      <w:r w:rsidR="0059736F">
        <w:rPr>
          <w:rFonts w:ascii="Arial" w:hAnsi="Arial" w:cs="Arial"/>
          <w:b/>
          <w:sz w:val="24"/>
          <w:szCs w:val="24"/>
        </w:rPr>
        <w:t xml:space="preserve">március </w:t>
      </w:r>
      <w:r w:rsidR="00AF5839">
        <w:rPr>
          <w:rFonts w:ascii="Arial" w:hAnsi="Arial" w:cs="Arial"/>
          <w:b/>
          <w:sz w:val="24"/>
          <w:szCs w:val="24"/>
        </w:rPr>
        <w:t>30-a</w:t>
      </w:r>
      <w:r w:rsidR="00FE2A2D">
        <w:rPr>
          <w:rFonts w:ascii="Arial" w:hAnsi="Arial" w:cs="Arial"/>
          <w:b/>
          <w:sz w:val="24"/>
          <w:szCs w:val="24"/>
        </w:rPr>
        <w:t>i</w:t>
      </w:r>
      <w:r w:rsidR="00113CBB" w:rsidRPr="00B12CDF">
        <w:rPr>
          <w:rFonts w:ascii="Arial" w:hAnsi="Arial" w:cs="Arial"/>
          <w:b/>
          <w:sz w:val="24"/>
          <w:szCs w:val="24"/>
        </w:rPr>
        <w:t xml:space="preserve"> </w:t>
      </w:r>
      <w:r w:rsidR="00A101F2" w:rsidRPr="00B12CDF">
        <w:rPr>
          <w:rFonts w:ascii="Arial" w:hAnsi="Arial" w:cs="Arial"/>
          <w:b/>
          <w:sz w:val="24"/>
          <w:szCs w:val="24"/>
        </w:rPr>
        <w:t>ülésére</w:t>
      </w:r>
    </w:p>
    <w:p w:rsidR="00A101F2" w:rsidRPr="002D4BC8" w:rsidRDefault="00A101F2" w:rsidP="00A101F2">
      <w:pPr>
        <w:spacing w:after="0"/>
        <w:jc w:val="center"/>
        <w:rPr>
          <w:rFonts w:ascii="Arial" w:hAnsi="Arial" w:cs="Arial"/>
          <w:b/>
          <w:sz w:val="24"/>
          <w:szCs w:val="24"/>
        </w:rPr>
      </w:pPr>
    </w:p>
    <w:p w:rsidR="00A101F2" w:rsidRDefault="00A101F2" w:rsidP="00A101F2">
      <w:pPr>
        <w:spacing w:after="0"/>
        <w:jc w:val="center"/>
        <w:rPr>
          <w:rFonts w:ascii="Arial" w:hAnsi="Arial" w:cs="Arial"/>
          <w:b/>
          <w:sz w:val="24"/>
          <w:szCs w:val="24"/>
        </w:rPr>
      </w:pPr>
    </w:p>
    <w:p w:rsidR="00227CE7" w:rsidRDefault="00227CE7" w:rsidP="00A101F2">
      <w:pPr>
        <w:spacing w:after="0"/>
        <w:jc w:val="center"/>
        <w:rPr>
          <w:rFonts w:ascii="Arial" w:hAnsi="Arial" w:cs="Arial"/>
          <w:b/>
          <w:sz w:val="24"/>
          <w:szCs w:val="24"/>
        </w:rPr>
      </w:pPr>
    </w:p>
    <w:p w:rsidR="00227CE7" w:rsidRPr="002D4BC8" w:rsidRDefault="00227CE7" w:rsidP="00BD4BD3">
      <w:pPr>
        <w:spacing w:after="0" w:line="240" w:lineRule="auto"/>
        <w:jc w:val="center"/>
        <w:rPr>
          <w:rFonts w:ascii="Arial" w:hAnsi="Arial" w:cs="Arial"/>
          <w:b/>
          <w:sz w:val="24"/>
          <w:szCs w:val="24"/>
        </w:rPr>
      </w:pPr>
    </w:p>
    <w:p w:rsidR="00227CE7" w:rsidRPr="00ED3DFE" w:rsidRDefault="00A101F2" w:rsidP="00867227">
      <w:pPr>
        <w:spacing w:after="0" w:line="300" w:lineRule="exact"/>
        <w:ind w:left="2124" w:hanging="2124"/>
        <w:jc w:val="both"/>
        <w:rPr>
          <w:rFonts w:ascii="Arial" w:hAnsi="Arial" w:cs="Arial"/>
          <w:sz w:val="24"/>
          <w:szCs w:val="24"/>
        </w:rPr>
      </w:pPr>
      <w:r w:rsidRPr="00ED3DFE">
        <w:rPr>
          <w:rFonts w:ascii="Arial" w:hAnsi="Arial" w:cs="Arial"/>
          <w:b/>
          <w:sz w:val="24"/>
          <w:szCs w:val="24"/>
        </w:rPr>
        <w:t xml:space="preserve">Tárgy: </w:t>
      </w:r>
      <w:r w:rsidR="001D34E7" w:rsidRPr="00ED3DFE">
        <w:rPr>
          <w:rFonts w:ascii="Arial" w:hAnsi="Arial" w:cs="Arial"/>
          <w:b/>
          <w:sz w:val="24"/>
          <w:szCs w:val="24"/>
        </w:rPr>
        <w:tab/>
      </w:r>
      <w:r w:rsidR="008135AC">
        <w:rPr>
          <w:rFonts w:ascii="Arial" w:hAnsi="Arial" w:cs="Arial"/>
          <w:sz w:val="24"/>
          <w:szCs w:val="24"/>
        </w:rPr>
        <w:t xml:space="preserve">Beszámoló a </w:t>
      </w:r>
      <w:r w:rsidR="00971838">
        <w:rPr>
          <w:rFonts w:ascii="Arial" w:hAnsi="Arial" w:cs="Arial"/>
          <w:sz w:val="24"/>
          <w:szCs w:val="24"/>
        </w:rPr>
        <w:t>2016</w:t>
      </w:r>
      <w:r w:rsidR="008135AC">
        <w:rPr>
          <w:rFonts w:ascii="Arial" w:hAnsi="Arial" w:cs="Arial"/>
          <w:sz w:val="24"/>
          <w:szCs w:val="24"/>
        </w:rPr>
        <w:t>. évi adóigazgatási tevékenység</w:t>
      </w:r>
      <w:r w:rsidR="00697BEB">
        <w:rPr>
          <w:rFonts w:ascii="Arial" w:hAnsi="Arial" w:cs="Arial"/>
          <w:sz w:val="24"/>
          <w:szCs w:val="24"/>
        </w:rPr>
        <w:t xml:space="preserve">ről </w:t>
      </w:r>
    </w:p>
    <w:p w:rsidR="00A101F2" w:rsidRDefault="00A101F2" w:rsidP="00867227">
      <w:pPr>
        <w:spacing w:after="0" w:line="300" w:lineRule="exact"/>
        <w:jc w:val="both"/>
        <w:rPr>
          <w:rFonts w:ascii="Arial" w:hAnsi="Arial" w:cs="Arial"/>
          <w:sz w:val="24"/>
          <w:szCs w:val="24"/>
        </w:rPr>
      </w:pPr>
    </w:p>
    <w:p w:rsidR="00A101F2" w:rsidRPr="002D4BC8" w:rsidRDefault="00A101F2" w:rsidP="00867227">
      <w:pPr>
        <w:spacing w:after="0" w:line="300" w:lineRule="exact"/>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sidR="00227CE7">
        <w:rPr>
          <w:rFonts w:ascii="Arial" w:hAnsi="Arial" w:cs="Arial"/>
          <w:sz w:val="24"/>
          <w:szCs w:val="24"/>
        </w:rPr>
        <w:tab/>
      </w:r>
      <w:r w:rsidR="003D5C9B">
        <w:rPr>
          <w:rFonts w:ascii="Arial" w:hAnsi="Arial" w:cs="Arial"/>
          <w:sz w:val="24"/>
          <w:szCs w:val="24"/>
        </w:rPr>
        <w:t>d</w:t>
      </w:r>
      <w:r w:rsidR="002F7754">
        <w:rPr>
          <w:rFonts w:ascii="Arial" w:hAnsi="Arial" w:cs="Arial"/>
          <w:sz w:val="24"/>
          <w:szCs w:val="24"/>
        </w:rPr>
        <w:t>r. Tüske Róbert jegyző</w:t>
      </w:r>
    </w:p>
    <w:p w:rsidR="00BD4BD3" w:rsidRPr="002D4BC8" w:rsidRDefault="00BD4BD3" w:rsidP="00867227">
      <w:pPr>
        <w:spacing w:after="0" w:line="300" w:lineRule="exact"/>
        <w:jc w:val="both"/>
        <w:rPr>
          <w:rFonts w:ascii="Arial" w:hAnsi="Arial" w:cs="Arial"/>
          <w:sz w:val="24"/>
          <w:szCs w:val="24"/>
        </w:rPr>
      </w:pPr>
    </w:p>
    <w:p w:rsidR="00B51EE9" w:rsidRDefault="00A101F2" w:rsidP="00867227">
      <w:pPr>
        <w:autoSpaceDE w:val="0"/>
        <w:autoSpaceDN w:val="0"/>
        <w:adjustRightInd w:val="0"/>
        <w:spacing w:after="0" w:line="300" w:lineRule="exact"/>
        <w:ind w:left="2124" w:hanging="2124"/>
        <w:jc w:val="both"/>
        <w:rPr>
          <w:rFonts w:ascii="Arial" w:hAnsi="Arial" w:cs="Arial"/>
          <w:sz w:val="24"/>
          <w:szCs w:val="24"/>
        </w:rPr>
      </w:pPr>
      <w:r w:rsidRPr="002D4BC8">
        <w:rPr>
          <w:rFonts w:ascii="Arial" w:hAnsi="Arial" w:cs="Arial"/>
          <w:b/>
          <w:sz w:val="24"/>
          <w:szCs w:val="24"/>
        </w:rPr>
        <w:t>Készítette</w:t>
      </w:r>
      <w:proofErr w:type="gramStart"/>
      <w:r w:rsidRPr="002D4BC8">
        <w:rPr>
          <w:rFonts w:ascii="Arial" w:hAnsi="Arial" w:cs="Arial"/>
          <w:b/>
          <w:sz w:val="24"/>
          <w:szCs w:val="24"/>
        </w:rPr>
        <w:t xml:space="preserve">: </w:t>
      </w:r>
      <w:r w:rsidRPr="002D4BC8">
        <w:rPr>
          <w:rFonts w:ascii="Arial" w:hAnsi="Arial" w:cs="Arial"/>
          <w:sz w:val="24"/>
          <w:szCs w:val="24"/>
        </w:rPr>
        <w:t xml:space="preserve"> </w:t>
      </w:r>
      <w:r w:rsidR="00BD4BD3">
        <w:rPr>
          <w:rFonts w:ascii="Arial" w:hAnsi="Arial" w:cs="Arial"/>
          <w:sz w:val="24"/>
          <w:szCs w:val="24"/>
        </w:rPr>
        <w:tab/>
      </w:r>
      <w:r w:rsidR="00B51EE9">
        <w:rPr>
          <w:rFonts w:ascii="Arial" w:hAnsi="Arial" w:cs="Arial"/>
          <w:sz w:val="24"/>
          <w:szCs w:val="24"/>
        </w:rPr>
        <w:t>Fábiánné</w:t>
      </w:r>
      <w:proofErr w:type="gramEnd"/>
      <w:r w:rsidR="00B51EE9">
        <w:rPr>
          <w:rFonts w:ascii="Arial" w:hAnsi="Arial" w:cs="Arial"/>
          <w:sz w:val="24"/>
          <w:szCs w:val="24"/>
        </w:rPr>
        <w:t xml:space="preserve"> Hoffman Márta</w:t>
      </w:r>
      <w:r w:rsidR="00C91785">
        <w:rPr>
          <w:rFonts w:ascii="Arial" w:hAnsi="Arial" w:cs="Arial"/>
          <w:sz w:val="24"/>
          <w:szCs w:val="24"/>
        </w:rPr>
        <w:t xml:space="preserve"> mb.</w:t>
      </w:r>
      <w:r w:rsidR="00B51EE9">
        <w:rPr>
          <w:rFonts w:ascii="Arial" w:hAnsi="Arial" w:cs="Arial"/>
          <w:sz w:val="24"/>
          <w:szCs w:val="24"/>
        </w:rPr>
        <w:t xml:space="preserve"> </w:t>
      </w:r>
      <w:r w:rsidR="00A66B99">
        <w:rPr>
          <w:rFonts w:ascii="Arial" w:hAnsi="Arial" w:cs="Arial"/>
          <w:sz w:val="24"/>
          <w:szCs w:val="24"/>
        </w:rPr>
        <w:t xml:space="preserve">hatósági </w:t>
      </w:r>
      <w:r w:rsidR="00C91785">
        <w:rPr>
          <w:rFonts w:ascii="Arial" w:hAnsi="Arial" w:cs="Arial"/>
          <w:sz w:val="24"/>
          <w:szCs w:val="24"/>
        </w:rPr>
        <w:t>osztályvezető</w:t>
      </w:r>
    </w:p>
    <w:p w:rsidR="00A66B99"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Dr. Vértesaljainé Halami Katalin gépjárműadó és behajtási ügyintéző</w:t>
      </w:r>
    </w:p>
    <w:p w:rsidR="0054315A" w:rsidRDefault="0054315A"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Panka-Kovács Melinda hatósági ügyintéző</w:t>
      </w:r>
    </w:p>
    <w:p w:rsidR="00A66B99" w:rsidRPr="00416625" w:rsidRDefault="00A66B99" w:rsidP="00867227">
      <w:pPr>
        <w:tabs>
          <w:tab w:val="left" w:pos="2145"/>
        </w:tabs>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t>Pángerné Toplak Éva idegenforgalmi adóügyintéző</w:t>
      </w:r>
    </w:p>
    <w:p w:rsid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Szörényi László építményadó ügyintéző</w:t>
      </w:r>
    </w:p>
    <w:p w:rsidR="00A66B99" w:rsidRPr="00416625" w:rsidRDefault="00A66B99" w:rsidP="00867227">
      <w:pPr>
        <w:autoSpaceDE w:val="0"/>
        <w:autoSpaceDN w:val="0"/>
        <w:adjustRightInd w:val="0"/>
        <w:spacing w:after="0" w:line="300" w:lineRule="exact"/>
        <w:ind w:left="2124"/>
        <w:jc w:val="both"/>
        <w:rPr>
          <w:rFonts w:ascii="Arial" w:hAnsi="Arial" w:cs="Arial"/>
          <w:sz w:val="24"/>
          <w:szCs w:val="24"/>
        </w:rPr>
      </w:pPr>
      <w:r>
        <w:rPr>
          <w:rFonts w:ascii="Arial" w:hAnsi="Arial" w:cs="Arial"/>
          <w:sz w:val="24"/>
          <w:szCs w:val="24"/>
        </w:rPr>
        <w:t xml:space="preserve">Szűrösné Németh Hajnalka </w:t>
      </w:r>
      <w:r w:rsidR="001B1145">
        <w:rPr>
          <w:rFonts w:ascii="Arial" w:hAnsi="Arial" w:cs="Arial"/>
          <w:sz w:val="24"/>
          <w:szCs w:val="24"/>
        </w:rPr>
        <w:t>iparűzési adó ügyintéző</w:t>
      </w:r>
    </w:p>
    <w:p w:rsidR="00BD4BD3" w:rsidRDefault="00BD4BD3" w:rsidP="00867227">
      <w:pPr>
        <w:autoSpaceDE w:val="0"/>
        <w:autoSpaceDN w:val="0"/>
        <w:adjustRightInd w:val="0"/>
        <w:spacing w:after="0" w:line="300" w:lineRule="exact"/>
        <w:ind w:left="2124" w:hanging="2124"/>
        <w:jc w:val="both"/>
        <w:rPr>
          <w:rFonts w:ascii="Arial" w:hAnsi="Arial" w:cs="Arial"/>
          <w:sz w:val="24"/>
          <w:szCs w:val="24"/>
        </w:rPr>
      </w:pPr>
    </w:p>
    <w:p w:rsidR="00A101F2" w:rsidRPr="002D4BC8" w:rsidRDefault="008415CA" w:rsidP="00867227">
      <w:pPr>
        <w:autoSpaceDE w:val="0"/>
        <w:autoSpaceDN w:val="0"/>
        <w:adjustRightInd w:val="0"/>
        <w:spacing w:after="0" w:line="300" w:lineRule="exact"/>
        <w:ind w:left="2124" w:hanging="2124"/>
        <w:jc w:val="both"/>
        <w:rPr>
          <w:rFonts w:ascii="Arial" w:hAnsi="Arial" w:cs="Arial"/>
          <w:sz w:val="24"/>
          <w:szCs w:val="24"/>
        </w:rPr>
      </w:pPr>
      <w:r>
        <w:rPr>
          <w:rFonts w:ascii="Arial" w:hAnsi="Arial" w:cs="Arial"/>
          <w:sz w:val="24"/>
          <w:szCs w:val="24"/>
        </w:rPr>
        <w:tab/>
      </w:r>
    </w:p>
    <w:p w:rsidR="004D4D8B" w:rsidRDefault="00A101F2" w:rsidP="00867227">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Megtárgyalta:</w:t>
      </w:r>
      <w:r w:rsidRPr="002D4BC8">
        <w:rPr>
          <w:rFonts w:ascii="Arial" w:hAnsi="Arial" w:cs="Arial"/>
          <w:sz w:val="24"/>
          <w:szCs w:val="24"/>
        </w:rPr>
        <w:t xml:space="preserve"> </w:t>
      </w:r>
      <w:r w:rsidR="00520498">
        <w:rPr>
          <w:rFonts w:ascii="Arial" w:hAnsi="Arial" w:cs="Arial"/>
          <w:sz w:val="24"/>
          <w:szCs w:val="24"/>
        </w:rPr>
        <w:tab/>
      </w:r>
      <w:r w:rsidR="00B51EE9">
        <w:rPr>
          <w:rFonts w:ascii="Arial" w:hAnsi="Arial" w:cs="Arial"/>
          <w:sz w:val="24"/>
          <w:szCs w:val="24"/>
        </w:rPr>
        <w:t>Pénzügyi, Turisztikai és Városfejlesztési Bizottság</w:t>
      </w:r>
    </w:p>
    <w:p w:rsidR="00AD759D" w:rsidRDefault="00AD759D" w:rsidP="00867227">
      <w:pPr>
        <w:autoSpaceDE w:val="0"/>
        <w:autoSpaceDN w:val="0"/>
        <w:adjustRightInd w:val="0"/>
        <w:spacing w:after="0" w:line="300" w:lineRule="exact"/>
        <w:jc w:val="both"/>
        <w:rPr>
          <w:rFonts w:ascii="Arial" w:hAnsi="Arial" w:cs="Arial"/>
          <w:sz w:val="24"/>
          <w:szCs w:val="24"/>
        </w:rPr>
      </w:pPr>
      <w:r>
        <w:rPr>
          <w:rFonts w:ascii="Arial" w:hAnsi="Arial" w:cs="Arial"/>
          <w:sz w:val="24"/>
          <w:szCs w:val="24"/>
        </w:rPr>
        <w:tab/>
      </w:r>
      <w:r>
        <w:rPr>
          <w:rFonts w:ascii="Arial" w:hAnsi="Arial" w:cs="Arial"/>
          <w:sz w:val="24"/>
          <w:szCs w:val="24"/>
        </w:rPr>
        <w:tab/>
      </w:r>
    </w:p>
    <w:p w:rsidR="0020008B" w:rsidRDefault="0020008B" w:rsidP="00867227">
      <w:pPr>
        <w:autoSpaceDE w:val="0"/>
        <w:autoSpaceDN w:val="0"/>
        <w:adjustRightInd w:val="0"/>
        <w:spacing w:after="0" w:line="300" w:lineRule="exact"/>
        <w:jc w:val="both"/>
        <w:rPr>
          <w:rFonts w:ascii="Arial" w:hAnsi="Arial" w:cs="Arial"/>
          <w:sz w:val="24"/>
          <w:szCs w:val="24"/>
        </w:rPr>
      </w:pPr>
    </w:p>
    <w:p w:rsidR="00A101F2" w:rsidRPr="00227CE7" w:rsidRDefault="00A101F2" w:rsidP="0020008B">
      <w:pPr>
        <w:autoSpaceDE w:val="0"/>
        <w:autoSpaceDN w:val="0"/>
        <w:adjustRightInd w:val="0"/>
        <w:spacing w:after="0" w:line="300" w:lineRule="exact"/>
        <w:jc w:val="both"/>
        <w:rPr>
          <w:rFonts w:ascii="Arial" w:hAnsi="Arial" w:cs="Arial"/>
          <w:sz w:val="24"/>
          <w:szCs w:val="24"/>
        </w:rPr>
      </w:pPr>
      <w:r w:rsidRPr="002D4BC8">
        <w:rPr>
          <w:rFonts w:ascii="Arial" w:hAnsi="Arial" w:cs="Arial"/>
          <w:b/>
          <w:sz w:val="24"/>
          <w:szCs w:val="24"/>
        </w:rPr>
        <w:t>Törvényességi szempontból ellenőrizte:</w:t>
      </w:r>
      <w:r w:rsidR="00227CE7">
        <w:rPr>
          <w:rFonts w:ascii="Arial" w:hAnsi="Arial" w:cs="Arial"/>
          <w:b/>
          <w:sz w:val="24"/>
          <w:szCs w:val="24"/>
        </w:rPr>
        <w:t xml:space="preserve"> </w:t>
      </w:r>
      <w:r w:rsidR="003D5C9B">
        <w:rPr>
          <w:rFonts w:ascii="Arial" w:hAnsi="Arial" w:cs="Arial"/>
          <w:sz w:val="24"/>
          <w:szCs w:val="24"/>
        </w:rPr>
        <w:t>d</w:t>
      </w:r>
      <w:r w:rsidR="00227CE7">
        <w:rPr>
          <w:rFonts w:ascii="Arial" w:hAnsi="Arial" w:cs="Arial"/>
          <w:sz w:val="24"/>
          <w:szCs w:val="24"/>
        </w:rPr>
        <w:t>r. Tüske Róbert jegyző</w:t>
      </w:r>
    </w:p>
    <w:p w:rsidR="00A101F2" w:rsidRPr="002D4BC8" w:rsidRDefault="00A101F2"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sz w:val="24"/>
          <w:szCs w:val="24"/>
        </w:rPr>
      </w:pPr>
    </w:p>
    <w:p w:rsidR="00BD4BD3" w:rsidRPr="002D4BC8" w:rsidRDefault="00BD4BD3" w:rsidP="00BD4BD3">
      <w:pPr>
        <w:spacing w:after="0" w:line="240" w:lineRule="auto"/>
        <w:rPr>
          <w:rFonts w:ascii="Arial" w:hAnsi="Arial" w:cs="Arial"/>
          <w:sz w:val="24"/>
          <w:szCs w:val="24"/>
        </w:rPr>
      </w:pPr>
    </w:p>
    <w:p w:rsidR="00A101F2" w:rsidRPr="002D4BC8" w:rsidRDefault="00A101F2" w:rsidP="00BD4BD3">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0174EF" w:rsidRPr="00BB7DB2" w:rsidRDefault="00361BEF" w:rsidP="00BB7DB2">
      <w:pPr>
        <w:tabs>
          <w:tab w:val="center" w:pos="7797"/>
        </w:tabs>
        <w:spacing w:after="0" w:line="240" w:lineRule="auto"/>
        <w:jc w:val="both"/>
        <w:rPr>
          <w:rFonts w:ascii="Arial" w:hAnsi="Arial" w:cs="Arial"/>
          <w:sz w:val="24"/>
          <w:szCs w:val="24"/>
        </w:rPr>
      </w:pPr>
      <w:r>
        <w:rPr>
          <w:rFonts w:ascii="Arial" w:hAnsi="Arial" w:cs="Arial"/>
          <w:sz w:val="24"/>
          <w:szCs w:val="24"/>
        </w:rPr>
        <w:tab/>
      </w:r>
      <w:proofErr w:type="gramStart"/>
      <w:r w:rsidR="003D5C9B">
        <w:rPr>
          <w:rFonts w:ascii="Arial" w:hAnsi="Arial" w:cs="Arial"/>
          <w:sz w:val="24"/>
          <w:szCs w:val="24"/>
        </w:rPr>
        <w:t>d</w:t>
      </w:r>
      <w:r w:rsidR="00BB7DB2" w:rsidRPr="00BB7DB2">
        <w:rPr>
          <w:rFonts w:ascii="Arial" w:hAnsi="Arial" w:cs="Arial"/>
          <w:sz w:val="24"/>
          <w:szCs w:val="24"/>
        </w:rPr>
        <w:t>r.</w:t>
      </w:r>
      <w:proofErr w:type="gramEnd"/>
      <w:r w:rsidR="00BB7DB2" w:rsidRPr="00BB7DB2">
        <w:rPr>
          <w:rFonts w:ascii="Arial" w:hAnsi="Arial" w:cs="Arial"/>
          <w:sz w:val="24"/>
          <w:szCs w:val="24"/>
        </w:rPr>
        <w:t xml:space="preserve"> Tüske Róbert</w:t>
      </w:r>
    </w:p>
    <w:p w:rsidR="00E90B4A" w:rsidRPr="00BB7DB2" w:rsidRDefault="00BB7DB2" w:rsidP="00BB7DB2">
      <w:pPr>
        <w:tabs>
          <w:tab w:val="left" w:pos="7305"/>
        </w:tabs>
        <w:spacing w:after="0" w:line="240" w:lineRule="auto"/>
        <w:rPr>
          <w:rFonts w:ascii="Arial" w:hAnsi="Arial" w:cs="Arial"/>
          <w:sz w:val="24"/>
          <w:szCs w:val="24"/>
        </w:rPr>
      </w:pPr>
      <w:r w:rsidRPr="00BB7DB2">
        <w:rPr>
          <w:rFonts w:ascii="Arial" w:hAnsi="Arial" w:cs="Arial"/>
          <w:sz w:val="24"/>
          <w:szCs w:val="24"/>
        </w:rPr>
        <w:tab/>
      </w:r>
      <w:r>
        <w:rPr>
          <w:rFonts w:ascii="Arial" w:hAnsi="Arial" w:cs="Arial"/>
          <w:sz w:val="24"/>
          <w:szCs w:val="24"/>
        </w:rPr>
        <w:t xml:space="preserve"> </w:t>
      </w:r>
      <w:r w:rsidR="00D17D48">
        <w:rPr>
          <w:rFonts w:ascii="Arial" w:hAnsi="Arial" w:cs="Arial"/>
          <w:sz w:val="24"/>
          <w:szCs w:val="24"/>
        </w:rPr>
        <w:t xml:space="preserve"> </w:t>
      </w:r>
      <w:proofErr w:type="gramStart"/>
      <w:r w:rsidRPr="00BB7DB2">
        <w:rPr>
          <w:rFonts w:ascii="Arial" w:hAnsi="Arial" w:cs="Arial"/>
          <w:sz w:val="24"/>
          <w:szCs w:val="24"/>
        </w:rPr>
        <w:t>jegyző</w:t>
      </w:r>
      <w:proofErr w:type="gramEnd"/>
    </w:p>
    <w:p w:rsidR="00B12CDF" w:rsidRDefault="00157B65" w:rsidP="00BD4BD3">
      <w:pPr>
        <w:spacing w:after="0" w:line="240" w:lineRule="auto"/>
        <w:rPr>
          <w:rFonts w:ascii="Arial" w:hAnsi="Arial" w:cs="Arial"/>
          <w:sz w:val="24"/>
          <w:szCs w:val="24"/>
        </w:rPr>
      </w:pPr>
      <w:r>
        <w:rPr>
          <w:rFonts w:ascii="Arial" w:hAnsi="Arial" w:cs="Arial"/>
          <w:sz w:val="24"/>
          <w:szCs w:val="24"/>
        </w:rPr>
        <w:br w:type="page"/>
      </w:r>
    </w:p>
    <w:p w:rsidR="00BD6670" w:rsidRDefault="00BD6670" w:rsidP="00BD4BD3">
      <w:pPr>
        <w:spacing w:after="0" w:line="240" w:lineRule="auto"/>
        <w:rPr>
          <w:rFonts w:ascii="Arial" w:hAnsi="Arial" w:cs="Arial"/>
          <w:sz w:val="24"/>
          <w:szCs w:val="24"/>
        </w:rPr>
      </w:pPr>
    </w:p>
    <w:p w:rsidR="00BD6670" w:rsidRDefault="00BD6670" w:rsidP="00BD4BD3">
      <w:pPr>
        <w:spacing w:after="0" w:line="240" w:lineRule="auto"/>
        <w:rPr>
          <w:rFonts w:ascii="Arial" w:hAnsi="Arial" w:cs="Arial"/>
          <w:sz w:val="24"/>
          <w:szCs w:val="24"/>
        </w:rPr>
      </w:pPr>
    </w:p>
    <w:p w:rsidR="000174EF" w:rsidRDefault="00AC481D" w:rsidP="00E90B4A">
      <w:pPr>
        <w:spacing w:after="0" w:line="240" w:lineRule="auto"/>
        <w:jc w:val="center"/>
        <w:rPr>
          <w:rFonts w:ascii="Arial" w:hAnsi="Arial" w:cs="Arial"/>
          <w:b/>
          <w:sz w:val="24"/>
          <w:szCs w:val="24"/>
        </w:rPr>
      </w:pPr>
      <w:r>
        <w:rPr>
          <w:rFonts w:ascii="Arial" w:hAnsi="Arial" w:cs="Arial"/>
          <w:b/>
          <w:sz w:val="24"/>
          <w:szCs w:val="24"/>
        </w:rPr>
        <w:t>1</w:t>
      </w:r>
      <w:r w:rsidR="00E90B4A">
        <w:rPr>
          <w:rFonts w:ascii="Arial" w:hAnsi="Arial" w:cs="Arial"/>
          <w:b/>
          <w:sz w:val="24"/>
          <w:szCs w:val="24"/>
        </w:rPr>
        <w:t>.</w:t>
      </w:r>
    </w:p>
    <w:p w:rsidR="00E90B4A" w:rsidRDefault="00E90B4A" w:rsidP="00E90B4A">
      <w:pPr>
        <w:spacing w:after="0" w:line="240" w:lineRule="auto"/>
        <w:jc w:val="center"/>
        <w:rPr>
          <w:rFonts w:ascii="Arial" w:hAnsi="Arial" w:cs="Arial"/>
          <w:b/>
          <w:sz w:val="24"/>
          <w:szCs w:val="24"/>
        </w:rPr>
      </w:pPr>
    </w:p>
    <w:p w:rsidR="00E90B4A" w:rsidRDefault="00E90B4A" w:rsidP="00E90B4A">
      <w:pPr>
        <w:spacing w:after="0" w:line="240" w:lineRule="auto"/>
        <w:jc w:val="center"/>
        <w:rPr>
          <w:rFonts w:ascii="Arial" w:hAnsi="Arial" w:cs="Arial"/>
          <w:b/>
          <w:sz w:val="24"/>
          <w:szCs w:val="24"/>
        </w:rPr>
      </w:pPr>
      <w:r>
        <w:rPr>
          <w:rFonts w:ascii="Arial" w:hAnsi="Arial" w:cs="Arial"/>
          <w:b/>
          <w:sz w:val="24"/>
          <w:szCs w:val="24"/>
        </w:rPr>
        <w:t>Tárgy és tényállás ismertetése</w:t>
      </w:r>
    </w:p>
    <w:p w:rsidR="00E90B4A" w:rsidRDefault="00E90B4A" w:rsidP="00E90B4A">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Pr="006E395B" w:rsidRDefault="006E395B" w:rsidP="006E395B">
      <w:pPr>
        <w:spacing w:after="0" w:line="240" w:lineRule="auto"/>
        <w:jc w:val="center"/>
        <w:rPr>
          <w:rFonts w:ascii="Arial" w:hAnsi="Arial" w:cs="Arial"/>
          <w:b/>
          <w:sz w:val="24"/>
          <w:szCs w:val="24"/>
        </w:rPr>
      </w:pPr>
    </w:p>
    <w:p w:rsidR="006E395B" w:rsidRDefault="006E395B" w:rsidP="006E395B">
      <w:pPr>
        <w:spacing w:after="0" w:line="240" w:lineRule="auto"/>
        <w:jc w:val="both"/>
        <w:rPr>
          <w:rFonts w:ascii="Arial" w:hAnsi="Arial" w:cs="Arial"/>
          <w:b/>
        </w:rPr>
      </w:pPr>
      <w:r w:rsidRPr="006E395B">
        <w:rPr>
          <w:rFonts w:ascii="Arial" w:hAnsi="Arial" w:cs="Arial"/>
          <w:b/>
        </w:rPr>
        <w:t>Tisztelt Képviselő-testület!</w:t>
      </w:r>
    </w:p>
    <w:p w:rsidR="005A4B5C" w:rsidRDefault="005A4B5C" w:rsidP="006E395B">
      <w:pPr>
        <w:spacing w:after="0" w:line="240" w:lineRule="auto"/>
        <w:jc w:val="both"/>
        <w:rPr>
          <w:rFonts w:ascii="Arial" w:hAnsi="Arial" w:cs="Arial"/>
          <w:b/>
        </w:rPr>
      </w:pPr>
    </w:p>
    <w:p w:rsidR="005A4B5C" w:rsidRPr="006E395B" w:rsidRDefault="005A4B5C" w:rsidP="006E395B">
      <w:pPr>
        <w:spacing w:after="0" w:line="240" w:lineRule="auto"/>
        <w:jc w:val="both"/>
        <w:rPr>
          <w:rFonts w:ascii="Arial" w:hAnsi="Arial" w:cs="Arial"/>
          <w:b/>
        </w:rPr>
      </w:pPr>
    </w:p>
    <w:p w:rsidR="0081273A" w:rsidRPr="00305B4C" w:rsidRDefault="00632522" w:rsidP="0081273A">
      <w:pPr>
        <w:jc w:val="both"/>
        <w:rPr>
          <w:rFonts w:ascii="Arial" w:hAnsi="Arial" w:cs="Arial"/>
          <w:szCs w:val="24"/>
        </w:rPr>
      </w:pPr>
      <w:r w:rsidRPr="00305B4C">
        <w:rPr>
          <w:rFonts w:ascii="Arial" w:hAnsi="Arial" w:cs="Arial"/>
        </w:rPr>
        <w:t>A helyi önkormányzatok és szerve</w:t>
      </w:r>
      <w:r w:rsidR="0062074C" w:rsidRPr="00305B4C">
        <w:rPr>
          <w:rFonts w:ascii="Arial" w:hAnsi="Arial" w:cs="Arial"/>
        </w:rPr>
        <w:t>ik, a köztársasági megbízottak,</w:t>
      </w:r>
      <w:r w:rsidRPr="00305B4C">
        <w:rPr>
          <w:rFonts w:ascii="Arial" w:hAnsi="Arial" w:cs="Arial"/>
        </w:rPr>
        <w:t xml:space="preserve"> valamint egyes centrális alárendeltségű sze</w:t>
      </w:r>
      <w:r w:rsidR="0062074C" w:rsidRPr="00305B4C">
        <w:rPr>
          <w:rFonts w:ascii="Arial" w:hAnsi="Arial" w:cs="Arial"/>
        </w:rPr>
        <w:t>rvek feladat- és hatásköreiről</w:t>
      </w:r>
      <w:r w:rsidRPr="00305B4C">
        <w:rPr>
          <w:rFonts w:ascii="Arial" w:hAnsi="Arial" w:cs="Arial"/>
        </w:rPr>
        <w:t xml:space="preserve"> szóló 1991. évi XX</w:t>
      </w:r>
      <w:r w:rsidR="006E4422" w:rsidRPr="00305B4C">
        <w:rPr>
          <w:rFonts w:ascii="Arial" w:hAnsi="Arial" w:cs="Arial"/>
        </w:rPr>
        <w:t>.</w:t>
      </w:r>
      <w:r w:rsidRPr="00305B4C">
        <w:rPr>
          <w:rFonts w:ascii="Arial" w:hAnsi="Arial" w:cs="Arial"/>
        </w:rPr>
        <w:t xml:space="preserve"> törvény </w:t>
      </w:r>
      <w:r w:rsidR="00061317" w:rsidRPr="00305B4C">
        <w:rPr>
          <w:rFonts w:ascii="Arial" w:hAnsi="Arial" w:cs="Arial"/>
        </w:rPr>
        <w:t xml:space="preserve">138. </w:t>
      </w:r>
      <w:r w:rsidR="008F033F" w:rsidRPr="00305B4C">
        <w:rPr>
          <w:rFonts w:ascii="Arial" w:hAnsi="Arial" w:cs="Arial"/>
        </w:rPr>
        <w:t xml:space="preserve">§ (3) bekezdésének </w:t>
      </w:r>
      <w:r w:rsidR="008F033F" w:rsidRPr="00305B4C">
        <w:rPr>
          <w:rFonts w:ascii="Arial" w:hAnsi="Arial" w:cs="Arial"/>
          <w:i/>
        </w:rPr>
        <w:t>g)</w:t>
      </w:r>
      <w:r w:rsidR="008F033F" w:rsidRPr="00305B4C">
        <w:rPr>
          <w:rFonts w:ascii="Arial" w:hAnsi="Arial" w:cs="Arial"/>
        </w:rPr>
        <w:t xml:space="preserve"> pontja szerint a Képviselő-testület a jegyző beszámoltatása útján </w:t>
      </w:r>
      <w:r w:rsidR="007C6387" w:rsidRPr="00305B4C">
        <w:rPr>
          <w:rFonts w:ascii="Arial" w:hAnsi="Arial" w:cs="Arial"/>
        </w:rPr>
        <w:t>ellenőrzi az adóztatás</w:t>
      </w:r>
      <w:r w:rsidR="00E85B7B" w:rsidRPr="00305B4C">
        <w:rPr>
          <w:rFonts w:ascii="Arial" w:hAnsi="Arial" w:cs="Arial"/>
        </w:rPr>
        <w:t>t</w:t>
      </w:r>
      <w:r w:rsidR="007C6387" w:rsidRPr="00305B4C">
        <w:rPr>
          <w:rFonts w:ascii="Arial" w:hAnsi="Arial" w:cs="Arial"/>
        </w:rPr>
        <w:t xml:space="preserve">, a </w:t>
      </w:r>
      <w:r w:rsidR="007C6387" w:rsidRPr="00305B4C">
        <w:rPr>
          <w:rFonts w:ascii="Arial" w:hAnsi="Arial" w:cs="Arial"/>
          <w:i/>
        </w:rPr>
        <w:t>h)</w:t>
      </w:r>
      <w:r w:rsidR="007C6387" w:rsidRPr="00305B4C">
        <w:rPr>
          <w:rFonts w:ascii="Arial" w:hAnsi="Arial" w:cs="Arial"/>
        </w:rPr>
        <w:t xml:space="preserve"> pontja alapján tájékoztatja a lakosságot a helyi adókból származó bevételek összegéről.</w:t>
      </w:r>
      <w:r w:rsidR="006E4422" w:rsidRPr="00305B4C">
        <w:rPr>
          <w:rFonts w:ascii="Arial" w:hAnsi="Arial" w:cs="Arial"/>
        </w:rPr>
        <w:t xml:space="preserve"> </w:t>
      </w:r>
      <w:r w:rsidR="0081273A" w:rsidRPr="00305B4C">
        <w:rPr>
          <w:rFonts w:ascii="Arial" w:hAnsi="Arial" w:cs="Arial"/>
          <w:szCs w:val="24"/>
        </w:rPr>
        <w:t>Ennek meg</w:t>
      </w:r>
      <w:r w:rsidR="008135AC">
        <w:rPr>
          <w:rFonts w:ascii="Arial" w:hAnsi="Arial" w:cs="Arial"/>
          <w:szCs w:val="24"/>
        </w:rPr>
        <w:t xml:space="preserve">felelően az önkormányzati adóhatóság beszámolóját a </w:t>
      </w:r>
      <w:r w:rsidR="0081273A" w:rsidRPr="00305B4C">
        <w:rPr>
          <w:rFonts w:ascii="Arial" w:hAnsi="Arial" w:cs="Arial"/>
          <w:szCs w:val="24"/>
        </w:rPr>
        <w:t xml:space="preserve">2016. évi adóztatásról </w:t>
      </w:r>
      <w:r w:rsidR="008135AC">
        <w:rPr>
          <w:rFonts w:ascii="Arial" w:hAnsi="Arial" w:cs="Arial"/>
          <w:szCs w:val="24"/>
        </w:rPr>
        <w:t>és az adóbevételek alakulásáról előterjesztem.</w:t>
      </w:r>
    </w:p>
    <w:p w:rsidR="00632522" w:rsidRPr="00305B4C" w:rsidRDefault="0081273A" w:rsidP="000660BC">
      <w:pPr>
        <w:spacing w:after="0"/>
        <w:jc w:val="both"/>
        <w:rPr>
          <w:rFonts w:ascii="Arial" w:hAnsi="Arial" w:cs="Arial"/>
        </w:rPr>
      </w:pPr>
      <w:r w:rsidRPr="00305B4C">
        <w:rPr>
          <w:rFonts w:ascii="Arial" w:hAnsi="Arial" w:cs="Arial"/>
        </w:rPr>
        <w:t>A helyi adók legmagasabb jogforrása az Alaptörvény, majd ezt kö</w:t>
      </w:r>
      <w:r w:rsidR="00305B4C" w:rsidRPr="00305B4C">
        <w:rPr>
          <w:rFonts w:ascii="Arial" w:hAnsi="Arial" w:cs="Arial"/>
        </w:rPr>
        <w:t xml:space="preserve">veti a </w:t>
      </w:r>
      <w:r w:rsidRPr="00305B4C">
        <w:rPr>
          <w:rFonts w:ascii="Arial" w:hAnsi="Arial" w:cs="Arial"/>
        </w:rPr>
        <w:t>helyi adókról szóló 1990. évi C. törvény</w:t>
      </w:r>
      <w:r w:rsidR="00305B4C" w:rsidRPr="00305B4C">
        <w:rPr>
          <w:rFonts w:ascii="Arial" w:hAnsi="Arial" w:cs="Arial"/>
        </w:rPr>
        <w:t xml:space="preserve"> </w:t>
      </w:r>
      <w:r w:rsidR="00EB0D77" w:rsidRPr="00305B4C">
        <w:rPr>
          <w:rFonts w:ascii="Arial" w:hAnsi="Arial" w:cs="Arial"/>
        </w:rPr>
        <w:t xml:space="preserve">(a továbbiakban: </w:t>
      </w:r>
      <w:proofErr w:type="spellStart"/>
      <w:r w:rsidR="00EB0D77" w:rsidRPr="00305B4C">
        <w:rPr>
          <w:rFonts w:ascii="Arial" w:hAnsi="Arial" w:cs="Arial"/>
        </w:rPr>
        <w:t>Htv</w:t>
      </w:r>
      <w:proofErr w:type="spellEnd"/>
      <w:r w:rsidR="00EB0D77" w:rsidRPr="00305B4C">
        <w:rPr>
          <w:rFonts w:ascii="Arial" w:hAnsi="Arial" w:cs="Arial"/>
        </w:rPr>
        <w:t>.)</w:t>
      </w:r>
      <w:r w:rsidR="00305B4C" w:rsidRPr="00305B4C">
        <w:rPr>
          <w:rFonts w:ascii="Arial" w:hAnsi="Arial" w:cs="Arial"/>
        </w:rPr>
        <w:t xml:space="preserve">, valamint </w:t>
      </w:r>
      <w:r w:rsidR="00904A94" w:rsidRPr="00305B4C">
        <w:rPr>
          <w:rFonts w:ascii="Arial" w:hAnsi="Arial" w:cs="Arial"/>
        </w:rPr>
        <w:t>a Képviselő-testület által meghozott helyi rendeletek.</w:t>
      </w:r>
    </w:p>
    <w:p w:rsidR="00CD7184" w:rsidRPr="00305B4C" w:rsidRDefault="00CD7184" w:rsidP="000660BC">
      <w:pPr>
        <w:spacing w:after="0"/>
        <w:jc w:val="both"/>
        <w:rPr>
          <w:rFonts w:ascii="Arial" w:hAnsi="Arial" w:cs="Arial"/>
        </w:rPr>
      </w:pPr>
      <w:r w:rsidRPr="00305B4C">
        <w:rPr>
          <w:rFonts w:ascii="Arial" w:hAnsi="Arial" w:cs="Arial"/>
        </w:rPr>
        <w:t xml:space="preserve">A helyi önkormányzatok képviselő-testületei rendeletben szabályozhatják a helyi adók fajtáit, mértékét és esetleges kedvezményeit, amelyet törvényi felhatalmazás és keretek között tehetik meg. </w:t>
      </w:r>
      <w:r w:rsidR="008029BE" w:rsidRPr="00305B4C">
        <w:rPr>
          <w:rFonts w:ascii="Arial" w:hAnsi="Arial" w:cs="Arial"/>
        </w:rPr>
        <w:t xml:space="preserve">A </w:t>
      </w:r>
      <w:proofErr w:type="spellStart"/>
      <w:r w:rsidR="008029BE" w:rsidRPr="00305B4C">
        <w:rPr>
          <w:rFonts w:ascii="Arial" w:hAnsi="Arial" w:cs="Arial"/>
        </w:rPr>
        <w:t>Htv</w:t>
      </w:r>
      <w:proofErr w:type="spellEnd"/>
      <w:r w:rsidR="008029BE" w:rsidRPr="00305B4C">
        <w:rPr>
          <w:rFonts w:ascii="Arial" w:hAnsi="Arial" w:cs="Arial"/>
        </w:rPr>
        <w:t>. alapján a helyi adózás struktúrája három fő rendszerelemre épül nevezetesen: vagyoni típusú adók, kommunális adók és a helyi iparűzési adó.</w:t>
      </w:r>
    </w:p>
    <w:p w:rsidR="00AF5621" w:rsidRPr="00305B4C" w:rsidRDefault="00AF5621" w:rsidP="000660BC">
      <w:pPr>
        <w:spacing w:after="0"/>
        <w:jc w:val="both"/>
        <w:rPr>
          <w:rFonts w:ascii="Arial" w:hAnsi="Arial" w:cs="Arial"/>
        </w:rPr>
      </w:pPr>
      <w:r w:rsidRPr="00305B4C">
        <w:rPr>
          <w:rFonts w:ascii="Arial" w:hAnsi="Arial" w:cs="Arial"/>
        </w:rPr>
        <w:t>Hévíz Város Önkormányzata a helyi adók jelenleg alkalmazott adómértékeit a helyi sajátosságokhoz, a gazdálkodási követelményekhez és az adóalanyok teherviselő képességéhez igazodóan állapította meg, a törvényben meghatározott felső határ (adómaximum) figyelembe vételével.</w:t>
      </w:r>
    </w:p>
    <w:p w:rsidR="00AF5621" w:rsidRPr="00305B4C" w:rsidRDefault="00AF5621" w:rsidP="000660BC">
      <w:pPr>
        <w:spacing w:after="0"/>
        <w:jc w:val="both"/>
        <w:rPr>
          <w:rFonts w:ascii="Arial" w:hAnsi="Arial" w:cs="Arial"/>
        </w:rPr>
      </w:pPr>
    </w:p>
    <w:p w:rsidR="00CD7184" w:rsidRPr="00305B4C" w:rsidRDefault="008135AC" w:rsidP="000660BC">
      <w:pPr>
        <w:spacing w:after="0"/>
        <w:jc w:val="both"/>
        <w:rPr>
          <w:rFonts w:ascii="Arial" w:hAnsi="Arial" w:cs="Arial"/>
        </w:rPr>
      </w:pPr>
      <w:r>
        <w:rPr>
          <w:rFonts w:ascii="Arial" w:hAnsi="Arial" w:cs="Arial"/>
        </w:rPr>
        <w:t>Hévíz Város Önkormányzat 2</w:t>
      </w:r>
      <w:r w:rsidR="00204FAF" w:rsidRPr="00305B4C">
        <w:rPr>
          <w:rFonts w:ascii="Arial" w:hAnsi="Arial" w:cs="Arial"/>
        </w:rPr>
        <w:t>016. évi adóbevételein</w:t>
      </w:r>
      <w:r>
        <w:rPr>
          <w:rFonts w:ascii="Arial" w:hAnsi="Arial" w:cs="Arial"/>
        </w:rPr>
        <w:t>e</w:t>
      </w:r>
      <w:r w:rsidR="00204FAF" w:rsidRPr="00305B4C">
        <w:rPr>
          <w:rFonts w:ascii="Arial" w:hAnsi="Arial" w:cs="Arial"/>
        </w:rPr>
        <w:t xml:space="preserve">k alakulásában jelentős szerepet játszott </w:t>
      </w:r>
      <w:r w:rsidR="004D4F2E" w:rsidRPr="00305B4C">
        <w:rPr>
          <w:rFonts w:ascii="Arial" w:hAnsi="Arial" w:cs="Arial"/>
        </w:rPr>
        <w:t>a 2016. január 1. napjától hatályos</w:t>
      </w:r>
      <w:r w:rsidR="00AF5839" w:rsidRPr="00305B4C">
        <w:rPr>
          <w:rFonts w:ascii="Arial" w:hAnsi="Arial" w:cs="Arial"/>
        </w:rPr>
        <w:t>,</w:t>
      </w:r>
      <w:r w:rsidR="004D4F2E" w:rsidRPr="00305B4C">
        <w:rPr>
          <w:rFonts w:ascii="Arial" w:hAnsi="Arial" w:cs="Arial"/>
        </w:rPr>
        <w:t xml:space="preserve"> </w:t>
      </w:r>
      <w:r w:rsidR="00204FAF" w:rsidRPr="00305B4C">
        <w:rPr>
          <w:rFonts w:ascii="Arial" w:hAnsi="Arial" w:cs="Arial"/>
        </w:rPr>
        <w:t>a helyi adókról szóló 4/2010. (II.10.)</w:t>
      </w:r>
      <w:r w:rsidR="00CD7184" w:rsidRPr="00305B4C">
        <w:rPr>
          <w:rFonts w:ascii="Arial" w:hAnsi="Arial" w:cs="Arial"/>
        </w:rPr>
        <w:t xml:space="preserve"> </w:t>
      </w:r>
      <w:r w:rsidR="004D4F2E" w:rsidRPr="00305B4C">
        <w:rPr>
          <w:rFonts w:ascii="Arial" w:hAnsi="Arial" w:cs="Arial"/>
        </w:rPr>
        <w:t xml:space="preserve">önkormányzati rendelet (a továbbiakban: </w:t>
      </w:r>
      <w:proofErr w:type="spellStart"/>
      <w:r w:rsidR="00895123" w:rsidRPr="00305B4C">
        <w:rPr>
          <w:rFonts w:ascii="Arial" w:hAnsi="Arial" w:cs="Arial"/>
        </w:rPr>
        <w:t>Ör</w:t>
      </w:r>
      <w:proofErr w:type="spellEnd"/>
      <w:r w:rsidR="00895123" w:rsidRPr="00305B4C">
        <w:rPr>
          <w:rFonts w:ascii="Arial" w:hAnsi="Arial" w:cs="Arial"/>
        </w:rPr>
        <w:t>.)</w:t>
      </w:r>
      <w:r w:rsidR="004D4F2E" w:rsidRPr="00305B4C">
        <w:rPr>
          <w:rFonts w:ascii="Arial" w:hAnsi="Arial" w:cs="Arial"/>
        </w:rPr>
        <w:t xml:space="preserve"> 2015. évi </w:t>
      </w:r>
      <w:r w:rsidR="00AF5839" w:rsidRPr="00305B4C">
        <w:rPr>
          <w:rFonts w:ascii="Arial" w:hAnsi="Arial" w:cs="Arial"/>
        </w:rPr>
        <w:t>módosítása az idegenforgalmi</w:t>
      </w:r>
      <w:r w:rsidR="00C60F2B" w:rsidRPr="00305B4C">
        <w:rPr>
          <w:rFonts w:ascii="Arial" w:hAnsi="Arial" w:cs="Arial"/>
        </w:rPr>
        <w:t>-</w:t>
      </w:r>
      <w:r w:rsidR="004D4F2E" w:rsidRPr="00305B4C">
        <w:rPr>
          <w:rFonts w:ascii="Arial" w:hAnsi="Arial" w:cs="Arial"/>
        </w:rPr>
        <w:t>, továbbá az építményadó mértéknek emelése a szállásépület, szálláshel</w:t>
      </w:r>
      <w:r>
        <w:rPr>
          <w:rFonts w:ascii="Arial" w:hAnsi="Arial" w:cs="Arial"/>
        </w:rPr>
        <w:t>y továbbá a kereskedelmi egység</w:t>
      </w:r>
      <w:r w:rsidR="004D4F2E" w:rsidRPr="00305B4C">
        <w:rPr>
          <w:rFonts w:ascii="Arial" w:hAnsi="Arial" w:cs="Arial"/>
        </w:rPr>
        <w:t xml:space="preserve"> </w:t>
      </w:r>
      <w:r>
        <w:rPr>
          <w:rFonts w:ascii="Arial" w:hAnsi="Arial" w:cs="Arial"/>
        </w:rPr>
        <w:t>(</w:t>
      </w:r>
      <w:r w:rsidR="004D4F2E" w:rsidRPr="00305B4C">
        <w:rPr>
          <w:rFonts w:ascii="Arial" w:hAnsi="Arial" w:cs="Arial"/>
        </w:rPr>
        <w:t>iroda, szolgáltató tevékenység végzésére szolgáló építmény</w:t>
      </w:r>
      <w:r>
        <w:rPr>
          <w:rFonts w:ascii="Arial" w:hAnsi="Arial" w:cs="Arial"/>
        </w:rPr>
        <w:t>)</w:t>
      </w:r>
      <w:r w:rsidR="004D4F2E" w:rsidRPr="00305B4C">
        <w:rPr>
          <w:rFonts w:ascii="Arial" w:hAnsi="Arial" w:cs="Arial"/>
        </w:rPr>
        <w:t xml:space="preserve"> </w:t>
      </w:r>
      <w:r w:rsidR="00C60F2B" w:rsidRPr="00305B4C">
        <w:rPr>
          <w:rFonts w:ascii="Arial" w:hAnsi="Arial" w:cs="Arial"/>
        </w:rPr>
        <w:t>vonatkozásában.</w:t>
      </w:r>
      <w:r w:rsidR="004D4F2E" w:rsidRPr="00305B4C">
        <w:rPr>
          <w:rFonts w:ascii="Arial" w:hAnsi="Arial" w:cs="Arial"/>
        </w:rPr>
        <w:t xml:space="preserve"> </w:t>
      </w:r>
    </w:p>
    <w:p w:rsidR="00766746" w:rsidRPr="00305B4C" w:rsidRDefault="00E73A28" w:rsidP="00CA0EBD">
      <w:pPr>
        <w:spacing w:after="0"/>
        <w:jc w:val="both"/>
        <w:rPr>
          <w:rFonts w:ascii="Arial" w:hAnsi="Arial" w:cs="Arial"/>
        </w:rPr>
      </w:pPr>
      <w:r w:rsidRPr="00305B4C">
        <w:rPr>
          <w:rFonts w:ascii="Arial" w:hAnsi="Arial" w:cs="Arial"/>
        </w:rPr>
        <w:t>2016. július 1. napi hatállyal</w:t>
      </w:r>
      <w:r w:rsidR="00C60F2B" w:rsidRPr="00305B4C">
        <w:rPr>
          <w:rFonts w:ascii="Arial" w:hAnsi="Arial" w:cs="Arial"/>
        </w:rPr>
        <w:t xml:space="preserve"> adómentesség megállapításáról is döntött a Képviselő-testület, miszerint adómentesség illeti meg a háziorvos, védőnő vállalkozót, akinek a vállalkozási szintű adóalapja az adóévben a 20 millió forintot nem haladja meg.</w:t>
      </w:r>
    </w:p>
    <w:p w:rsidR="00455198" w:rsidRPr="00305B4C" w:rsidRDefault="009B5CEB" w:rsidP="009B5CEB">
      <w:pPr>
        <w:spacing w:after="0"/>
        <w:jc w:val="both"/>
        <w:rPr>
          <w:rFonts w:ascii="Arial" w:hAnsi="Arial" w:cs="Arial"/>
        </w:rPr>
      </w:pPr>
      <w:r w:rsidRPr="00305B4C">
        <w:rPr>
          <w:rFonts w:ascii="Arial" w:hAnsi="Arial" w:cs="Arial"/>
        </w:rPr>
        <w:t>A helyi adók mértékeinek többsége (építményadó, idegenforgalmi adó) törvény által szabályozottan évente valorizálódik, kivétel az iparűzési adó, ahol az adóalapra vetített 2 százalékos mérték állandó.</w:t>
      </w:r>
    </w:p>
    <w:p w:rsidR="000C64AD" w:rsidRPr="00305B4C" w:rsidRDefault="000C64AD" w:rsidP="009B5CEB">
      <w:pPr>
        <w:spacing w:after="0"/>
        <w:jc w:val="both"/>
        <w:rPr>
          <w:rFonts w:ascii="Arial" w:hAnsi="Arial" w:cs="Arial"/>
        </w:rPr>
      </w:pPr>
    </w:p>
    <w:p w:rsidR="009B5CEB" w:rsidRPr="00305B4C" w:rsidRDefault="009B5CEB" w:rsidP="009B5CEB">
      <w:pPr>
        <w:spacing w:after="0"/>
        <w:jc w:val="both"/>
        <w:rPr>
          <w:rFonts w:ascii="Arial" w:hAnsi="Arial" w:cs="Arial"/>
        </w:rPr>
      </w:pPr>
      <w:r w:rsidRPr="00305B4C">
        <w:rPr>
          <w:rFonts w:ascii="Arial" w:hAnsi="Arial" w:cs="Arial"/>
        </w:rPr>
        <w:t xml:space="preserve">A Nemzetgazdasági Minisztérium tájékoztatója szerint 2016. január 1-jétől az adómaximum és az </w:t>
      </w:r>
      <w:proofErr w:type="spellStart"/>
      <w:r w:rsidR="00895123" w:rsidRPr="00305B4C">
        <w:rPr>
          <w:rFonts w:ascii="Arial" w:hAnsi="Arial" w:cs="Arial"/>
        </w:rPr>
        <w:t>Ör</w:t>
      </w:r>
      <w:proofErr w:type="spellEnd"/>
      <w:r w:rsidR="00895123" w:rsidRPr="00305B4C">
        <w:rPr>
          <w:rFonts w:ascii="Arial" w:hAnsi="Arial" w:cs="Arial"/>
        </w:rPr>
        <w:t>.</w:t>
      </w:r>
      <w:r w:rsidRPr="00305B4C">
        <w:rPr>
          <w:rFonts w:ascii="Arial" w:hAnsi="Arial" w:cs="Arial"/>
        </w:rPr>
        <w:t xml:space="preserve"> szerinti adómérték az alábbia</w:t>
      </w:r>
      <w:r w:rsidR="007D4E68" w:rsidRPr="00305B4C">
        <w:rPr>
          <w:rFonts w:ascii="Arial" w:hAnsi="Arial" w:cs="Arial"/>
        </w:rPr>
        <w:t>k szerint alakult:</w:t>
      </w:r>
    </w:p>
    <w:p w:rsidR="000C64AD" w:rsidRPr="00305B4C" w:rsidRDefault="000C64AD" w:rsidP="009B5CEB">
      <w:pPr>
        <w:spacing w:after="0"/>
        <w:jc w:val="both"/>
        <w:rPr>
          <w:rFonts w:ascii="Arial" w:hAnsi="Arial" w:cs="Arial"/>
        </w:rPr>
      </w:pPr>
    </w:p>
    <w:tbl>
      <w:tblPr>
        <w:tblStyle w:val="Rcsostblzat"/>
        <w:tblW w:w="0" w:type="auto"/>
        <w:tblLook w:val="04A0" w:firstRow="1" w:lastRow="0" w:firstColumn="1" w:lastColumn="0" w:noHBand="0" w:noVBand="1"/>
      </w:tblPr>
      <w:tblGrid>
        <w:gridCol w:w="4815"/>
        <w:gridCol w:w="4587"/>
      </w:tblGrid>
      <w:tr w:rsidR="00305B4C" w:rsidRPr="00305B4C" w:rsidTr="000C64AD">
        <w:tc>
          <w:tcPr>
            <w:tcW w:w="4815" w:type="dxa"/>
          </w:tcPr>
          <w:p w:rsidR="007D4E68" w:rsidRPr="00305B4C" w:rsidRDefault="00AF5621" w:rsidP="00AF5621">
            <w:pPr>
              <w:spacing w:after="0"/>
              <w:jc w:val="both"/>
              <w:rPr>
                <w:rFonts w:ascii="Arial" w:hAnsi="Arial" w:cs="Arial"/>
              </w:rPr>
            </w:pPr>
            <w:r w:rsidRPr="00305B4C">
              <w:rPr>
                <w:rFonts w:ascii="Arial" w:hAnsi="Arial" w:cs="Arial"/>
              </w:rPr>
              <w:t>Törvényi a</w:t>
            </w:r>
            <w:r w:rsidR="007D4E68" w:rsidRPr="00305B4C">
              <w:rPr>
                <w:rFonts w:ascii="Arial" w:hAnsi="Arial" w:cs="Arial"/>
              </w:rPr>
              <w:t>dómaximum</w:t>
            </w:r>
          </w:p>
        </w:tc>
        <w:tc>
          <w:tcPr>
            <w:tcW w:w="4587" w:type="dxa"/>
          </w:tcPr>
          <w:p w:rsidR="007D4E68" w:rsidRPr="00305B4C" w:rsidRDefault="007D4E68" w:rsidP="00895123">
            <w:pPr>
              <w:spacing w:after="0"/>
              <w:jc w:val="both"/>
              <w:rPr>
                <w:rFonts w:ascii="Arial" w:hAnsi="Arial" w:cs="Arial"/>
              </w:rPr>
            </w:pPr>
            <w:r w:rsidRPr="00305B4C">
              <w:rPr>
                <w:rFonts w:ascii="Arial" w:hAnsi="Arial" w:cs="Arial"/>
              </w:rPr>
              <w:t xml:space="preserve">Hévíz </w:t>
            </w:r>
            <w:r w:rsidR="00AF5839" w:rsidRPr="00305B4C">
              <w:rPr>
                <w:rFonts w:ascii="Arial" w:hAnsi="Arial" w:cs="Arial"/>
              </w:rPr>
              <w:t xml:space="preserve">hatályos </w:t>
            </w:r>
            <w:proofErr w:type="spellStart"/>
            <w:r w:rsidR="00895123" w:rsidRPr="00305B4C">
              <w:rPr>
                <w:rFonts w:ascii="Arial" w:hAnsi="Arial" w:cs="Arial"/>
              </w:rPr>
              <w:t>Ör</w:t>
            </w:r>
            <w:proofErr w:type="spellEnd"/>
            <w:r w:rsidR="00895123" w:rsidRPr="00305B4C">
              <w:rPr>
                <w:rFonts w:ascii="Arial" w:hAnsi="Arial" w:cs="Arial"/>
              </w:rPr>
              <w:t>.</w:t>
            </w:r>
            <w:r w:rsidR="00AF5839" w:rsidRPr="00305B4C">
              <w:rPr>
                <w:rFonts w:ascii="Arial" w:hAnsi="Arial" w:cs="Arial"/>
              </w:rPr>
              <w:t xml:space="preserve"> alapján</w:t>
            </w:r>
          </w:p>
        </w:tc>
      </w:tr>
      <w:tr w:rsidR="00305B4C" w:rsidRPr="00305B4C" w:rsidTr="000C64AD">
        <w:tc>
          <w:tcPr>
            <w:tcW w:w="4815" w:type="dxa"/>
          </w:tcPr>
          <w:p w:rsidR="007D4E68" w:rsidRPr="00305B4C" w:rsidRDefault="007D4E68" w:rsidP="007D4E68">
            <w:pPr>
              <w:tabs>
                <w:tab w:val="center" w:pos="2242"/>
              </w:tabs>
              <w:spacing w:after="0"/>
              <w:jc w:val="both"/>
              <w:rPr>
                <w:rFonts w:ascii="Arial" w:hAnsi="Arial" w:cs="Arial"/>
              </w:rPr>
            </w:pPr>
            <w:r w:rsidRPr="00305B4C">
              <w:rPr>
                <w:rFonts w:ascii="Arial" w:hAnsi="Arial" w:cs="Arial"/>
              </w:rPr>
              <w:t>Építményadó:</w:t>
            </w:r>
            <w:r w:rsidRPr="00305B4C">
              <w:rPr>
                <w:rFonts w:ascii="Arial" w:hAnsi="Arial" w:cs="Arial"/>
              </w:rPr>
              <w:tab/>
              <w:t>1848,4 Ft/m2</w:t>
            </w:r>
          </w:p>
        </w:tc>
        <w:tc>
          <w:tcPr>
            <w:tcW w:w="4587" w:type="dxa"/>
          </w:tcPr>
          <w:p w:rsidR="007D4E68" w:rsidRPr="00305B4C" w:rsidRDefault="007D4E68" w:rsidP="009B5CEB">
            <w:pPr>
              <w:spacing w:after="0"/>
              <w:jc w:val="both"/>
              <w:rPr>
                <w:rFonts w:ascii="Arial" w:hAnsi="Arial" w:cs="Arial"/>
              </w:rPr>
            </w:pPr>
            <w:r w:rsidRPr="00305B4C">
              <w:rPr>
                <w:rFonts w:ascii="Arial" w:hAnsi="Arial" w:cs="Arial"/>
              </w:rPr>
              <w:t>Építményadó:</w:t>
            </w:r>
          </w:p>
          <w:p w:rsidR="007D4E68" w:rsidRPr="00305B4C" w:rsidRDefault="007D4E68" w:rsidP="009B5CEB">
            <w:pPr>
              <w:spacing w:after="0"/>
              <w:jc w:val="both"/>
              <w:rPr>
                <w:rFonts w:ascii="Arial" w:hAnsi="Arial" w:cs="Arial"/>
              </w:rPr>
            </w:pPr>
            <w:r w:rsidRPr="00305B4C">
              <w:rPr>
                <w:rFonts w:ascii="Arial" w:hAnsi="Arial" w:cs="Arial"/>
              </w:rPr>
              <w:t xml:space="preserve">szállásépület, </w:t>
            </w:r>
            <w:proofErr w:type="gramStart"/>
            <w:r w:rsidRPr="00305B4C">
              <w:rPr>
                <w:rFonts w:ascii="Arial" w:hAnsi="Arial" w:cs="Arial"/>
              </w:rPr>
              <w:t>szálláshely         1000</w:t>
            </w:r>
            <w:proofErr w:type="gramEnd"/>
            <w:r w:rsidRPr="00305B4C">
              <w:rPr>
                <w:rFonts w:ascii="Arial" w:hAnsi="Arial" w:cs="Arial"/>
              </w:rPr>
              <w:t xml:space="preserve"> Ft/m2/év</w:t>
            </w:r>
          </w:p>
          <w:p w:rsidR="007D4E68" w:rsidRPr="00305B4C" w:rsidRDefault="007D4E68" w:rsidP="009B5CEB">
            <w:pPr>
              <w:spacing w:after="0"/>
              <w:jc w:val="both"/>
              <w:rPr>
                <w:rFonts w:ascii="Arial" w:hAnsi="Arial" w:cs="Arial"/>
              </w:rPr>
            </w:pPr>
            <w:r w:rsidRPr="00305B4C">
              <w:rPr>
                <w:rFonts w:ascii="Arial" w:hAnsi="Arial" w:cs="Arial"/>
              </w:rPr>
              <w:t>keresk. egység, iroda</w:t>
            </w:r>
            <w:proofErr w:type="gramStart"/>
            <w:r w:rsidRPr="00305B4C">
              <w:rPr>
                <w:rFonts w:ascii="Arial" w:hAnsi="Arial" w:cs="Arial"/>
              </w:rPr>
              <w:t>,</w:t>
            </w:r>
            <w:proofErr w:type="spellStart"/>
            <w:r w:rsidRPr="00305B4C">
              <w:rPr>
                <w:rFonts w:ascii="Arial" w:hAnsi="Arial" w:cs="Arial"/>
              </w:rPr>
              <w:t>szolg.tev</w:t>
            </w:r>
            <w:proofErr w:type="spellEnd"/>
            <w:proofErr w:type="gramEnd"/>
            <w:r w:rsidRPr="00305B4C">
              <w:rPr>
                <w:rFonts w:ascii="Arial" w:hAnsi="Arial" w:cs="Arial"/>
              </w:rPr>
              <w:t>. 800 Ft/m2/év</w:t>
            </w:r>
          </w:p>
          <w:p w:rsidR="007D4E68" w:rsidRPr="00305B4C" w:rsidRDefault="007D4E68" w:rsidP="009B5CEB">
            <w:pPr>
              <w:spacing w:after="0"/>
              <w:jc w:val="both"/>
              <w:rPr>
                <w:rFonts w:ascii="Arial" w:hAnsi="Arial" w:cs="Arial"/>
              </w:rPr>
            </w:pPr>
            <w:r w:rsidRPr="00305B4C">
              <w:rPr>
                <w:rFonts w:ascii="Arial" w:hAnsi="Arial" w:cs="Arial"/>
              </w:rPr>
              <w:t>lakás, lakóépület, gépjárműt.      600 Ft/m2/év</w:t>
            </w:r>
          </w:p>
        </w:tc>
      </w:tr>
      <w:tr w:rsidR="00305B4C" w:rsidRPr="00305B4C" w:rsidTr="000C64AD">
        <w:tc>
          <w:tcPr>
            <w:tcW w:w="4815" w:type="dxa"/>
          </w:tcPr>
          <w:p w:rsidR="007D4E68" w:rsidRPr="00305B4C" w:rsidRDefault="007D4E68" w:rsidP="007D4E68">
            <w:pPr>
              <w:tabs>
                <w:tab w:val="left" w:pos="1740"/>
              </w:tabs>
              <w:spacing w:after="0"/>
              <w:jc w:val="both"/>
              <w:rPr>
                <w:rFonts w:ascii="Arial" w:hAnsi="Arial" w:cs="Arial"/>
              </w:rPr>
            </w:pPr>
            <w:r w:rsidRPr="00305B4C">
              <w:rPr>
                <w:rFonts w:ascii="Arial" w:hAnsi="Arial" w:cs="Arial"/>
              </w:rPr>
              <w:t>Telekadó:</w:t>
            </w:r>
            <w:r w:rsidRPr="00305B4C">
              <w:rPr>
                <w:rFonts w:ascii="Arial" w:hAnsi="Arial" w:cs="Arial"/>
              </w:rPr>
              <w:tab/>
              <w:t>336 Ft/m2</w:t>
            </w:r>
          </w:p>
        </w:tc>
        <w:tc>
          <w:tcPr>
            <w:tcW w:w="4587" w:type="dxa"/>
          </w:tcPr>
          <w:p w:rsidR="007D4E68" w:rsidRPr="00305B4C" w:rsidRDefault="007D4E68" w:rsidP="009B5CEB">
            <w:pPr>
              <w:spacing w:after="0"/>
              <w:jc w:val="both"/>
              <w:rPr>
                <w:rFonts w:ascii="Arial" w:hAnsi="Arial" w:cs="Arial"/>
              </w:rPr>
            </w:pPr>
            <w:r w:rsidRPr="00305B4C">
              <w:rPr>
                <w:rFonts w:ascii="Arial" w:hAnsi="Arial" w:cs="Arial"/>
              </w:rPr>
              <w:t>----</w:t>
            </w:r>
          </w:p>
        </w:tc>
      </w:tr>
    </w:tbl>
    <w:p w:rsidR="00305B4C" w:rsidRPr="00305B4C" w:rsidRDefault="00305B4C">
      <w:r w:rsidRPr="00305B4C">
        <w:br w:type="page"/>
      </w:r>
    </w:p>
    <w:tbl>
      <w:tblPr>
        <w:tblStyle w:val="Rcsostblzat"/>
        <w:tblW w:w="0" w:type="auto"/>
        <w:tblLook w:val="04A0" w:firstRow="1" w:lastRow="0" w:firstColumn="1" w:lastColumn="0" w:noHBand="0" w:noVBand="1"/>
      </w:tblPr>
      <w:tblGrid>
        <w:gridCol w:w="4815"/>
        <w:gridCol w:w="4587"/>
      </w:tblGrid>
      <w:tr w:rsidR="00305B4C" w:rsidRPr="00305B4C" w:rsidTr="000C64AD">
        <w:tc>
          <w:tcPr>
            <w:tcW w:w="4815" w:type="dxa"/>
          </w:tcPr>
          <w:p w:rsidR="007D4E68" w:rsidRPr="00305B4C" w:rsidRDefault="007D4E68" w:rsidP="009B5CEB">
            <w:pPr>
              <w:spacing w:after="0"/>
              <w:jc w:val="both"/>
              <w:rPr>
                <w:rFonts w:ascii="Arial" w:hAnsi="Arial" w:cs="Arial"/>
              </w:rPr>
            </w:pPr>
            <w:r w:rsidRPr="00305B4C">
              <w:rPr>
                <w:rFonts w:ascii="Arial" w:hAnsi="Arial" w:cs="Arial"/>
              </w:rPr>
              <w:lastRenderedPageBreak/>
              <w:t xml:space="preserve">Magánszemély kommunális adója </w:t>
            </w:r>
          </w:p>
          <w:p w:rsidR="007D4E68" w:rsidRPr="00305B4C" w:rsidRDefault="007D4E68" w:rsidP="007D4E68">
            <w:pPr>
              <w:tabs>
                <w:tab w:val="left" w:pos="1590"/>
              </w:tabs>
              <w:spacing w:after="0"/>
              <w:jc w:val="both"/>
              <w:rPr>
                <w:rFonts w:ascii="Arial" w:hAnsi="Arial" w:cs="Arial"/>
              </w:rPr>
            </w:pPr>
            <w:r w:rsidRPr="00305B4C">
              <w:rPr>
                <w:rFonts w:ascii="Arial" w:hAnsi="Arial" w:cs="Arial"/>
              </w:rPr>
              <w:tab/>
              <w:t>28 567,1 Ft/adótárgy</w:t>
            </w:r>
          </w:p>
        </w:tc>
        <w:tc>
          <w:tcPr>
            <w:tcW w:w="4587" w:type="dxa"/>
          </w:tcPr>
          <w:p w:rsidR="007D4E68" w:rsidRPr="00305B4C" w:rsidRDefault="007D4E68" w:rsidP="009B5CEB">
            <w:pPr>
              <w:spacing w:after="0"/>
              <w:jc w:val="both"/>
              <w:rPr>
                <w:rFonts w:ascii="Arial" w:hAnsi="Arial" w:cs="Arial"/>
              </w:rPr>
            </w:pPr>
            <w:r w:rsidRPr="00305B4C">
              <w:rPr>
                <w:rFonts w:ascii="Arial" w:hAnsi="Arial" w:cs="Arial"/>
              </w:rPr>
              <w:t>----</w:t>
            </w:r>
          </w:p>
        </w:tc>
      </w:tr>
      <w:tr w:rsidR="00305B4C" w:rsidRPr="00305B4C" w:rsidTr="000C64AD">
        <w:tc>
          <w:tcPr>
            <w:tcW w:w="4815" w:type="dxa"/>
          </w:tcPr>
          <w:p w:rsidR="007D4E68" w:rsidRPr="00305B4C" w:rsidRDefault="000C64AD" w:rsidP="009B5CEB">
            <w:pPr>
              <w:spacing w:after="0"/>
              <w:jc w:val="both"/>
              <w:rPr>
                <w:rFonts w:ascii="Arial" w:hAnsi="Arial" w:cs="Arial"/>
              </w:rPr>
            </w:pPr>
            <w:r w:rsidRPr="00305B4C">
              <w:rPr>
                <w:rFonts w:ascii="Arial" w:hAnsi="Arial" w:cs="Arial"/>
              </w:rPr>
              <w:t>Tartózkodási idő utáni idegenforgalmi adó</w:t>
            </w:r>
          </w:p>
          <w:p w:rsidR="000C64AD" w:rsidRPr="00305B4C" w:rsidRDefault="000C64AD" w:rsidP="009B5CEB">
            <w:pPr>
              <w:spacing w:after="0"/>
              <w:jc w:val="both"/>
              <w:rPr>
                <w:rFonts w:ascii="Arial" w:hAnsi="Arial" w:cs="Arial"/>
              </w:rPr>
            </w:pPr>
            <w:r w:rsidRPr="00305B4C">
              <w:rPr>
                <w:rFonts w:ascii="Arial" w:hAnsi="Arial" w:cs="Arial"/>
              </w:rPr>
              <w:t xml:space="preserve">                                504,1 Ft/fő/vendégéjszaka</w:t>
            </w:r>
          </w:p>
        </w:tc>
        <w:tc>
          <w:tcPr>
            <w:tcW w:w="4587" w:type="dxa"/>
          </w:tcPr>
          <w:p w:rsidR="000C64AD" w:rsidRPr="00305B4C" w:rsidRDefault="000C64AD" w:rsidP="000C64AD">
            <w:pPr>
              <w:spacing w:after="0"/>
              <w:jc w:val="both"/>
              <w:rPr>
                <w:rFonts w:ascii="Arial" w:hAnsi="Arial" w:cs="Arial"/>
              </w:rPr>
            </w:pPr>
            <w:r w:rsidRPr="00305B4C">
              <w:rPr>
                <w:rFonts w:ascii="Arial" w:hAnsi="Arial" w:cs="Arial"/>
              </w:rPr>
              <w:t>Tartózkodási idő utáni idegenforgalmi adó</w:t>
            </w:r>
          </w:p>
          <w:p w:rsidR="007D4E68" w:rsidRPr="00305B4C" w:rsidRDefault="000C64AD" w:rsidP="000C64AD">
            <w:pPr>
              <w:spacing w:after="0"/>
              <w:jc w:val="both"/>
              <w:rPr>
                <w:rFonts w:ascii="Arial" w:hAnsi="Arial" w:cs="Arial"/>
              </w:rPr>
            </w:pPr>
            <w:r w:rsidRPr="00305B4C">
              <w:rPr>
                <w:rFonts w:ascii="Arial" w:hAnsi="Arial" w:cs="Arial"/>
              </w:rPr>
              <w:t xml:space="preserve">                             500 Ft/fő/vendégéjszaka</w:t>
            </w:r>
          </w:p>
        </w:tc>
      </w:tr>
    </w:tbl>
    <w:p w:rsidR="007D4E68" w:rsidRDefault="007D4E68" w:rsidP="009B5CEB">
      <w:pPr>
        <w:spacing w:after="0"/>
        <w:jc w:val="both"/>
        <w:rPr>
          <w:rFonts w:ascii="Arial" w:hAnsi="Arial" w:cs="Arial"/>
        </w:rPr>
      </w:pPr>
    </w:p>
    <w:p w:rsidR="000C64AD" w:rsidRDefault="000C64AD" w:rsidP="001A2530">
      <w:pPr>
        <w:tabs>
          <w:tab w:val="center" w:pos="4422"/>
          <w:tab w:val="left" w:pos="6045"/>
        </w:tabs>
        <w:spacing w:after="0" w:line="240" w:lineRule="auto"/>
        <w:rPr>
          <w:rFonts w:ascii="Arial" w:hAnsi="Arial" w:cs="Arial"/>
          <w:b/>
        </w:rPr>
      </w:pPr>
    </w:p>
    <w:p w:rsidR="001A2530" w:rsidRPr="00305B4C" w:rsidRDefault="001A2530" w:rsidP="00330E8F">
      <w:pPr>
        <w:pStyle w:val="Listaszerbekezds"/>
        <w:numPr>
          <w:ilvl w:val="0"/>
          <w:numId w:val="36"/>
        </w:numPr>
        <w:tabs>
          <w:tab w:val="center" w:pos="4422"/>
          <w:tab w:val="left" w:pos="6045"/>
        </w:tabs>
        <w:spacing w:after="0" w:line="240" w:lineRule="auto"/>
        <w:rPr>
          <w:rFonts w:ascii="Arial" w:hAnsi="Arial" w:cs="Arial"/>
          <w:b/>
        </w:rPr>
      </w:pPr>
      <w:r w:rsidRPr="00305B4C">
        <w:rPr>
          <w:rFonts w:ascii="Arial" w:hAnsi="Arial" w:cs="Arial"/>
          <w:b/>
        </w:rPr>
        <w:t>Adóbevételek ala</w:t>
      </w:r>
      <w:r w:rsidR="007D4E68" w:rsidRPr="00305B4C">
        <w:rPr>
          <w:rFonts w:ascii="Arial" w:hAnsi="Arial" w:cs="Arial"/>
          <w:b/>
        </w:rPr>
        <w:t>kulás</w:t>
      </w:r>
      <w:r w:rsidR="00305B4C" w:rsidRPr="00305B4C">
        <w:rPr>
          <w:rFonts w:ascii="Arial" w:hAnsi="Arial" w:cs="Arial"/>
          <w:b/>
        </w:rPr>
        <w:t>a</w:t>
      </w:r>
      <w:r w:rsidR="007D4E68" w:rsidRPr="00305B4C">
        <w:rPr>
          <w:rFonts w:ascii="Arial" w:hAnsi="Arial" w:cs="Arial"/>
          <w:b/>
        </w:rPr>
        <w:t xml:space="preserve"> 2016</w:t>
      </w:r>
      <w:r w:rsidRPr="00305B4C">
        <w:rPr>
          <w:rFonts w:ascii="Arial" w:hAnsi="Arial" w:cs="Arial"/>
          <w:b/>
        </w:rPr>
        <w:t>. évben</w:t>
      </w:r>
    </w:p>
    <w:p w:rsidR="00330E8F" w:rsidRPr="00330E8F" w:rsidRDefault="00330E8F" w:rsidP="00330E8F">
      <w:pPr>
        <w:tabs>
          <w:tab w:val="center" w:pos="4422"/>
          <w:tab w:val="left" w:pos="6045"/>
        </w:tabs>
        <w:spacing w:after="0" w:line="240" w:lineRule="auto"/>
        <w:rPr>
          <w:rFonts w:ascii="Arial" w:hAnsi="Arial" w:cs="Arial"/>
          <w:b/>
        </w:rPr>
      </w:pPr>
    </w:p>
    <w:p w:rsidR="00A91935" w:rsidRPr="00305B4C" w:rsidRDefault="00330E8F" w:rsidP="00A91935">
      <w:pPr>
        <w:spacing w:after="0"/>
        <w:jc w:val="both"/>
        <w:rPr>
          <w:rFonts w:ascii="Arial" w:hAnsi="Arial" w:cs="Arial"/>
        </w:rPr>
      </w:pPr>
      <w:r w:rsidRPr="00305B4C">
        <w:rPr>
          <w:rFonts w:ascii="Arial" w:hAnsi="Arial" w:cs="Arial"/>
        </w:rPr>
        <w:t xml:space="preserve">Hévíz Város Önkormányzat </w:t>
      </w:r>
      <w:r w:rsidR="000C64AD" w:rsidRPr="00305B4C">
        <w:rPr>
          <w:rFonts w:ascii="Arial" w:hAnsi="Arial" w:cs="Arial"/>
        </w:rPr>
        <w:t xml:space="preserve">feladatellátást a saját bevételek (helyi adóbevételek), az állami támogatások, valamint az átengedett központi adók (pl.: gépjárműadó) biztosították. Az adóhatóság által beszedett központi adók és bírságok eltérő mértékben szintén az önkormányzatot illették meg. </w:t>
      </w:r>
      <w:r w:rsidR="00A91935" w:rsidRPr="00305B4C">
        <w:rPr>
          <w:rFonts w:ascii="Arial" w:hAnsi="Arial" w:cs="Arial"/>
        </w:rPr>
        <w:t xml:space="preserve"> Hévíz Város Önkormányzat működési bevételeinek </w:t>
      </w:r>
      <w:r w:rsidR="00743B3C" w:rsidRPr="00305B4C">
        <w:rPr>
          <w:rFonts w:ascii="Arial" w:hAnsi="Arial" w:cs="Arial"/>
        </w:rPr>
        <w:t>48.5 %-</w:t>
      </w:r>
      <w:r w:rsidR="00A91935" w:rsidRPr="00305B4C">
        <w:rPr>
          <w:rFonts w:ascii="Arial" w:hAnsi="Arial" w:cs="Arial"/>
        </w:rPr>
        <w:t xml:space="preserve">át a közhatalmi bevételek – helyi adók </w:t>
      </w:r>
      <w:r w:rsidR="00743B3C" w:rsidRPr="00305B4C">
        <w:rPr>
          <w:rFonts w:ascii="Arial" w:hAnsi="Arial" w:cs="Arial"/>
        </w:rPr>
        <w:t xml:space="preserve">47.6 </w:t>
      </w:r>
      <w:r w:rsidR="008029BE" w:rsidRPr="00305B4C">
        <w:rPr>
          <w:rFonts w:ascii="Arial" w:hAnsi="Arial" w:cs="Arial"/>
        </w:rPr>
        <w:t>%-</w:t>
      </w:r>
      <w:r w:rsidR="00A91935" w:rsidRPr="00305B4C">
        <w:rPr>
          <w:rFonts w:ascii="Arial" w:hAnsi="Arial" w:cs="Arial"/>
        </w:rPr>
        <w:t xml:space="preserve">át (építményadó, idegenforgalmi adó, iparűzési adó); átengedett központi adók </w:t>
      </w:r>
      <w:r w:rsidR="00743B3C" w:rsidRPr="00305B4C">
        <w:rPr>
          <w:rFonts w:ascii="Arial" w:hAnsi="Arial" w:cs="Arial"/>
        </w:rPr>
        <w:t xml:space="preserve">0.7 </w:t>
      </w:r>
      <w:r w:rsidR="00A91935" w:rsidRPr="00305B4C">
        <w:rPr>
          <w:rFonts w:ascii="Arial" w:hAnsi="Arial" w:cs="Arial"/>
        </w:rPr>
        <w:t>%</w:t>
      </w:r>
      <w:r w:rsidR="00743B3C" w:rsidRPr="00305B4C">
        <w:rPr>
          <w:rFonts w:ascii="Arial" w:hAnsi="Arial" w:cs="Arial"/>
        </w:rPr>
        <w:t>-át</w:t>
      </w:r>
      <w:r w:rsidR="00A91935" w:rsidRPr="00305B4C">
        <w:rPr>
          <w:rFonts w:ascii="Arial" w:hAnsi="Arial" w:cs="Arial"/>
        </w:rPr>
        <w:t xml:space="preserve"> (gépjárműadó); bírságok, pótlékok és egyéb sajátos bevételek </w:t>
      </w:r>
      <w:r w:rsidR="00743B3C" w:rsidRPr="00305B4C">
        <w:rPr>
          <w:rFonts w:ascii="Arial" w:hAnsi="Arial" w:cs="Arial"/>
        </w:rPr>
        <w:t xml:space="preserve">0.2 </w:t>
      </w:r>
      <w:r w:rsidR="00A91935" w:rsidRPr="00305B4C">
        <w:rPr>
          <w:rFonts w:ascii="Arial" w:hAnsi="Arial" w:cs="Arial"/>
        </w:rPr>
        <w:t xml:space="preserve">% </w:t>
      </w:r>
      <w:proofErr w:type="spellStart"/>
      <w:r w:rsidR="00A91935" w:rsidRPr="00305B4C">
        <w:rPr>
          <w:rFonts w:ascii="Arial" w:hAnsi="Arial" w:cs="Arial"/>
        </w:rPr>
        <w:t>-</w:t>
      </w:r>
      <w:r w:rsidR="00743B3C" w:rsidRPr="00305B4C">
        <w:rPr>
          <w:rFonts w:ascii="Arial" w:hAnsi="Arial" w:cs="Arial"/>
        </w:rPr>
        <w:t>át</w:t>
      </w:r>
      <w:proofErr w:type="spellEnd"/>
      <w:r w:rsidR="00A91935" w:rsidRPr="00305B4C">
        <w:rPr>
          <w:rFonts w:ascii="Arial" w:hAnsi="Arial" w:cs="Arial"/>
        </w:rPr>
        <w:t xml:space="preserve"> biztosítják.</w:t>
      </w:r>
    </w:p>
    <w:p w:rsidR="00330E8F" w:rsidRPr="000C64AD" w:rsidRDefault="00330E8F" w:rsidP="00330E8F">
      <w:pPr>
        <w:spacing w:after="0"/>
        <w:jc w:val="both"/>
        <w:rPr>
          <w:rFonts w:ascii="Arial" w:hAnsi="Arial" w:cs="Arial"/>
          <w:color w:val="002060"/>
        </w:rPr>
      </w:pPr>
    </w:p>
    <w:tbl>
      <w:tblPr>
        <w:tblW w:w="8960" w:type="dxa"/>
        <w:jc w:val="center"/>
        <w:tblCellMar>
          <w:left w:w="70" w:type="dxa"/>
          <w:right w:w="70" w:type="dxa"/>
        </w:tblCellMar>
        <w:tblLook w:val="04A0" w:firstRow="1" w:lastRow="0" w:firstColumn="1" w:lastColumn="0" w:noHBand="0" w:noVBand="1"/>
      </w:tblPr>
      <w:tblGrid>
        <w:gridCol w:w="3800"/>
        <w:gridCol w:w="1720"/>
        <w:gridCol w:w="3440"/>
      </w:tblGrid>
      <w:tr w:rsidR="00305B4C" w:rsidRPr="00305B4C" w:rsidTr="00612861">
        <w:trPr>
          <w:trHeight w:val="900"/>
          <w:jc w:val="center"/>
        </w:trPr>
        <w:tc>
          <w:tcPr>
            <w:tcW w:w="552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330E8F" w:rsidRPr="00305B4C" w:rsidRDefault="007D4E68" w:rsidP="00775173">
            <w:pPr>
              <w:spacing w:after="0" w:line="240" w:lineRule="auto"/>
              <w:jc w:val="center"/>
              <w:rPr>
                <w:rFonts w:ascii="Arial" w:eastAsia="Times New Roman" w:hAnsi="Arial" w:cs="Arial"/>
                <w:b/>
                <w:bCs/>
                <w:lang w:eastAsia="hu-HU"/>
              </w:rPr>
            </w:pPr>
            <w:r w:rsidRPr="00305B4C">
              <w:rPr>
                <w:rFonts w:ascii="Arial" w:eastAsia="Times New Roman" w:hAnsi="Arial" w:cs="Arial"/>
                <w:b/>
                <w:bCs/>
                <w:lang w:eastAsia="hu-HU"/>
              </w:rPr>
              <w:t>2016</w:t>
            </w:r>
            <w:r w:rsidR="00330E8F" w:rsidRPr="00305B4C">
              <w:rPr>
                <w:rFonts w:ascii="Arial" w:eastAsia="Times New Roman" w:hAnsi="Arial" w:cs="Arial"/>
                <w:b/>
                <w:bCs/>
                <w:lang w:eastAsia="hu-HU"/>
              </w:rPr>
              <w:t>. évre tervezett helyi adó bevételek</w:t>
            </w:r>
            <w:r w:rsidR="00AF5839" w:rsidRPr="00305B4C">
              <w:rPr>
                <w:rFonts w:ascii="Arial" w:eastAsia="Times New Roman" w:hAnsi="Arial" w:cs="Arial"/>
                <w:b/>
                <w:bCs/>
                <w:lang w:eastAsia="hu-HU"/>
              </w:rPr>
              <w:t xml:space="preserve"> e Ft-ban</w:t>
            </w:r>
          </w:p>
        </w:tc>
        <w:tc>
          <w:tcPr>
            <w:tcW w:w="3440" w:type="dxa"/>
            <w:tcBorders>
              <w:top w:val="single" w:sz="4" w:space="0" w:color="auto"/>
              <w:left w:val="nil"/>
              <w:bottom w:val="single" w:sz="4" w:space="0" w:color="auto"/>
              <w:right w:val="single" w:sz="4" w:space="0" w:color="auto"/>
            </w:tcBorders>
            <w:shd w:val="clear" w:color="auto" w:fill="auto"/>
            <w:vAlign w:val="center"/>
            <w:hideMark/>
          </w:tcPr>
          <w:p w:rsidR="00330E8F" w:rsidRPr="00305B4C" w:rsidRDefault="000C64AD" w:rsidP="009D3137">
            <w:pPr>
              <w:spacing w:after="0" w:line="240" w:lineRule="auto"/>
              <w:jc w:val="center"/>
              <w:rPr>
                <w:rFonts w:ascii="Arial" w:eastAsia="Times New Roman" w:hAnsi="Arial" w:cs="Arial"/>
                <w:b/>
                <w:bCs/>
                <w:lang w:eastAsia="hu-HU"/>
              </w:rPr>
            </w:pPr>
            <w:r w:rsidRPr="00305B4C">
              <w:rPr>
                <w:rFonts w:ascii="Arial" w:eastAsia="Times New Roman" w:hAnsi="Arial" w:cs="Arial"/>
                <w:b/>
                <w:bCs/>
                <w:lang w:eastAsia="hu-HU"/>
              </w:rPr>
              <w:t>2016</w:t>
            </w:r>
            <w:r w:rsidR="00330E8F" w:rsidRPr="00305B4C">
              <w:rPr>
                <w:rFonts w:ascii="Arial" w:eastAsia="Times New Roman" w:hAnsi="Arial" w:cs="Arial"/>
                <w:b/>
                <w:bCs/>
                <w:lang w:eastAsia="hu-HU"/>
              </w:rPr>
              <w:t xml:space="preserve">. december 31. napjáig teljesült </w:t>
            </w:r>
            <w:r w:rsidR="00AF5839" w:rsidRPr="00305B4C">
              <w:rPr>
                <w:rFonts w:ascii="Arial" w:eastAsia="Times New Roman" w:hAnsi="Arial" w:cs="Arial"/>
                <w:b/>
                <w:bCs/>
                <w:lang w:eastAsia="hu-HU"/>
              </w:rPr>
              <w:t>e Ft</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lang w:eastAsia="hu-HU"/>
              </w:rPr>
            </w:pPr>
            <w:r w:rsidRPr="00305B4C">
              <w:rPr>
                <w:rFonts w:ascii="Arial" w:eastAsia="Times New Roman" w:hAnsi="Arial" w:cs="Arial"/>
                <w:lang w:eastAsia="hu-HU"/>
              </w:rPr>
              <w:t>építményadó</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174.000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225.176</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lang w:eastAsia="hu-HU"/>
              </w:rPr>
            </w:pPr>
            <w:r w:rsidRPr="00305B4C">
              <w:rPr>
                <w:rFonts w:ascii="Arial" w:eastAsia="Times New Roman" w:hAnsi="Arial" w:cs="Arial"/>
                <w:lang w:eastAsia="hu-HU"/>
              </w:rPr>
              <w:t>iparűzési adó</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414.000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417.449</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lang w:eastAsia="hu-HU"/>
              </w:rPr>
            </w:pPr>
            <w:r w:rsidRPr="00305B4C">
              <w:rPr>
                <w:rFonts w:ascii="Arial" w:eastAsia="Times New Roman" w:hAnsi="Arial" w:cs="Arial"/>
                <w:lang w:eastAsia="hu-HU"/>
              </w:rPr>
              <w:t>idegenforgalmi adó</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500.000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540.752</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lang w:eastAsia="hu-HU"/>
              </w:rPr>
            </w:pPr>
            <w:r w:rsidRPr="00305B4C">
              <w:rPr>
                <w:rFonts w:ascii="Arial" w:eastAsia="Times New Roman" w:hAnsi="Arial" w:cs="Arial"/>
                <w:lang w:eastAsia="hu-HU"/>
              </w:rPr>
              <w:t>gépjárműadó</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16.000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17.622</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lang w:eastAsia="hu-HU"/>
              </w:rPr>
            </w:pPr>
            <w:r w:rsidRPr="00305B4C">
              <w:rPr>
                <w:rFonts w:ascii="Arial" w:eastAsia="Times New Roman" w:hAnsi="Arial" w:cs="Arial"/>
                <w:lang w:eastAsia="hu-HU"/>
              </w:rPr>
              <w:t xml:space="preserve">bírság </w:t>
            </w:r>
            <w:r w:rsidRPr="00305B4C">
              <w:rPr>
                <w:rFonts w:ascii="Arial" w:eastAsia="Times New Roman" w:hAnsi="Arial" w:cs="Arial"/>
                <w:sz w:val="16"/>
                <w:szCs w:val="16"/>
                <w:lang w:eastAsia="hu-HU"/>
              </w:rPr>
              <w:t>(eredeti tervezett: 2000 e Ft)</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2.000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3.058</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lang w:eastAsia="hu-HU"/>
              </w:rPr>
            </w:pPr>
            <w:r w:rsidRPr="00305B4C">
              <w:rPr>
                <w:rFonts w:ascii="Arial" w:eastAsia="Times New Roman" w:hAnsi="Arial" w:cs="Arial"/>
                <w:lang w:eastAsia="hu-HU"/>
              </w:rPr>
              <w:t xml:space="preserve">pótlék </w:t>
            </w:r>
            <w:r w:rsidRPr="00305B4C">
              <w:rPr>
                <w:rFonts w:ascii="Arial" w:eastAsia="Times New Roman" w:hAnsi="Arial" w:cs="Arial"/>
                <w:sz w:val="16"/>
                <w:szCs w:val="16"/>
                <w:lang w:eastAsia="hu-HU"/>
              </w:rPr>
              <w:t>(eredeti tervezett: 500 e Ft)</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500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lang w:eastAsia="hu-HU"/>
              </w:rPr>
            </w:pPr>
            <w:r w:rsidRPr="00305B4C">
              <w:rPr>
                <w:rFonts w:ascii="Arial" w:eastAsia="Times New Roman" w:hAnsi="Arial" w:cs="Arial"/>
                <w:lang w:eastAsia="hu-HU"/>
              </w:rPr>
              <w:t>994</w:t>
            </w:r>
          </w:p>
        </w:tc>
      </w:tr>
      <w:tr w:rsidR="00305B4C" w:rsidRPr="00305B4C" w:rsidTr="000C64AD">
        <w:trPr>
          <w:trHeight w:val="450"/>
          <w:jc w:val="center"/>
        </w:trPr>
        <w:tc>
          <w:tcPr>
            <w:tcW w:w="3800" w:type="dxa"/>
            <w:tcBorders>
              <w:top w:val="nil"/>
              <w:left w:val="single" w:sz="4" w:space="0" w:color="auto"/>
              <w:bottom w:val="single" w:sz="4" w:space="0" w:color="auto"/>
              <w:right w:val="single" w:sz="4" w:space="0" w:color="auto"/>
            </w:tcBorders>
            <w:shd w:val="clear" w:color="auto" w:fill="auto"/>
            <w:vAlign w:val="center"/>
            <w:hideMark/>
          </w:tcPr>
          <w:p w:rsidR="009C5116" w:rsidRPr="00305B4C" w:rsidRDefault="009C5116" w:rsidP="009C5116">
            <w:pPr>
              <w:spacing w:after="0" w:line="240" w:lineRule="auto"/>
              <w:jc w:val="both"/>
              <w:rPr>
                <w:rFonts w:ascii="Arial" w:eastAsia="Times New Roman" w:hAnsi="Arial" w:cs="Arial"/>
                <w:b/>
                <w:bCs/>
                <w:lang w:eastAsia="hu-HU"/>
              </w:rPr>
            </w:pPr>
            <w:r w:rsidRPr="00305B4C">
              <w:rPr>
                <w:rFonts w:ascii="Arial" w:eastAsia="Times New Roman" w:hAnsi="Arial" w:cs="Arial"/>
                <w:b/>
                <w:bCs/>
                <w:lang w:eastAsia="hu-HU"/>
              </w:rPr>
              <w:t>összesen</w:t>
            </w:r>
          </w:p>
        </w:tc>
        <w:tc>
          <w:tcPr>
            <w:tcW w:w="1720" w:type="dxa"/>
            <w:tcBorders>
              <w:top w:val="nil"/>
              <w:left w:val="nil"/>
              <w:bottom w:val="single" w:sz="4" w:space="0" w:color="auto"/>
              <w:right w:val="single" w:sz="4" w:space="0" w:color="auto"/>
            </w:tcBorders>
            <w:shd w:val="clear" w:color="auto" w:fill="auto"/>
            <w:vAlign w:val="center"/>
          </w:tcPr>
          <w:p w:rsidR="009C5116" w:rsidRPr="00305B4C" w:rsidRDefault="00AF5839" w:rsidP="009C5116">
            <w:pPr>
              <w:spacing w:after="0" w:line="240" w:lineRule="auto"/>
              <w:jc w:val="right"/>
              <w:rPr>
                <w:rFonts w:ascii="Arial" w:eastAsia="Times New Roman" w:hAnsi="Arial" w:cs="Arial"/>
                <w:b/>
                <w:bCs/>
                <w:lang w:eastAsia="hu-HU"/>
              </w:rPr>
            </w:pPr>
            <w:r w:rsidRPr="00305B4C">
              <w:rPr>
                <w:rFonts w:ascii="Arial" w:eastAsia="Times New Roman" w:hAnsi="Arial" w:cs="Arial"/>
                <w:b/>
                <w:bCs/>
                <w:lang w:eastAsia="hu-HU"/>
              </w:rPr>
              <w:t>1.106.500</w:t>
            </w:r>
          </w:p>
        </w:tc>
        <w:tc>
          <w:tcPr>
            <w:tcW w:w="3440" w:type="dxa"/>
            <w:tcBorders>
              <w:top w:val="nil"/>
              <w:left w:val="nil"/>
              <w:bottom w:val="single" w:sz="4" w:space="0" w:color="auto"/>
              <w:right w:val="single" w:sz="4" w:space="0" w:color="auto"/>
            </w:tcBorders>
            <w:shd w:val="clear" w:color="auto" w:fill="auto"/>
            <w:vAlign w:val="center"/>
          </w:tcPr>
          <w:p w:rsidR="009C5116" w:rsidRPr="00305B4C" w:rsidRDefault="00743B3C" w:rsidP="009C5116">
            <w:pPr>
              <w:spacing w:after="0" w:line="240" w:lineRule="auto"/>
              <w:jc w:val="right"/>
              <w:rPr>
                <w:rFonts w:ascii="Arial" w:eastAsia="Times New Roman" w:hAnsi="Arial" w:cs="Arial"/>
                <w:b/>
                <w:bCs/>
                <w:lang w:eastAsia="hu-HU"/>
              </w:rPr>
            </w:pPr>
            <w:r w:rsidRPr="00305B4C">
              <w:rPr>
                <w:rFonts w:ascii="Arial" w:eastAsia="Times New Roman" w:hAnsi="Arial" w:cs="Arial"/>
                <w:b/>
                <w:bCs/>
                <w:lang w:eastAsia="hu-HU"/>
              </w:rPr>
              <w:t>1.205.051</w:t>
            </w:r>
          </w:p>
        </w:tc>
      </w:tr>
    </w:tbl>
    <w:p w:rsidR="00F50400" w:rsidRPr="00305B4C" w:rsidRDefault="00F50400" w:rsidP="002C7472">
      <w:pPr>
        <w:autoSpaceDE w:val="0"/>
        <w:autoSpaceDN w:val="0"/>
        <w:adjustRightInd w:val="0"/>
        <w:spacing w:after="0"/>
        <w:jc w:val="both"/>
        <w:rPr>
          <w:rFonts w:ascii="Arial" w:hAnsi="Arial" w:cs="Arial"/>
        </w:rPr>
      </w:pPr>
    </w:p>
    <w:p w:rsidR="00731291" w:rsidRPr="00AF5621" w:rsidRDefault="00731291" w:rsidP="002C7472">
      <w:pPr>
        <w:spacing w:after="0"/>
        <w:rPr>
          <w:rFonts w:ascii="Arial" w:hAnsi="Arial" w:cs="Arial"/>
          <w:color w:val="002060"/>
        </w:rPr>
      </w:pPr>
    </w:p>
    <w:p w:rsidR="004F761B" w:rsidRPr="00305B4C" w:rsidRDefault="00311CFA" w:rsidP="006A1891">
      <w:pPr>
        <w:spacing w:after="0"/>
        <w:jc w:val="both"/>
        <w:rPr>
          <w:rFonts w:ascii="Arial" w:hAnsi="Arial" w:cs="Arial"/>
        </w:rPr>
      </w:pPr>
      <w:r w:rsidRPr="00305B4C">
        <w:rPr>
          <w:rFonts w:ascii="Arial" w:hAnsi="Arial" w:cs="Arial"/>
        </w:rPr>
        <w:t>Az önkormányzatot megillető adójellegű bevételek szignifikáns része a</w:t>
      </w:r>
      <w:r w:rsidR="004F761B" w:rsidRPr="00305B4C">
        <w:rPr>
          <w:rFonts w:ascii="Arial" w:hAnsi="Arial" w:cs="Arial"/>
        </w:rPr>
        <w:t>z idegenforgalmi adóból befolyó összeg, mely minden beszedett adóforintja után további 1</w:t>
      </w:r>
      <w:r w:rsidR="008029BE" w:rsidRPr="00305B4C">
        <w:rPr>
          <w:rFonts w:ascii="Arial" w:hAnsi="Arial" w:cs="Arial"/>
        </w:rPr>
        <w:t>,55</w:t>
      </w:r>
      <w:r w:rsidR="00D719D4" w:rsidRPr="00305B4C">
        <w:rPr>
          <w:rFonts w:ascii="Arial" w:hAnsi="Arial" w:cs="Arial"/>
        </w:rPr>
        <w:t xml:space="preserve"> </w:t>
      </w:r>
      <w:r w:rsidR="004F761B" w:rsidRPr="00305B4C">
        <w:rPr>
          <w:rFonts w:ascii="Arial" w:hAnsi="Arial" w:cs="Arial"/>
        </w:rPr>
        <w:t>Ft normatív támogatás</w:t>
      </w:r>
      <w:r w:rsidR="00B6248E" w:rsidRPr="00305B4C">
        <w:rPr>
          <w:rFonts w:ascii="Arial" w:hAnsi="Arial" w:cs="Arial"/>
        </w:rPr>
        <w:t>t igényelhettünk.</w:t>
      </w:r>
      <w:r w:rsidR="007A7944" w:rsidRPr="00305B4C">
        <w:rPr>
          <w:rFonts w:ascii="Arial" w:hAnsi="Arial" w:cs="Arial"/>
        </w:rPr>
        <w:t xml:space="preserve"> A bevételek másik legjelentősebb</w:t>
      </w:r>
      <w:r w:rsidR="008135AC">
        <w:rPr>
          <w:rFonts w:ascii="Arial" w:hAnsi="Arial" w:cs="Arial"/>
        </w:rPr>
        <w:t xml:space="preserve"> részét képezi az iparűzési adó.</w:t>
      </w:r>
      <w:r w:rsidR="007A7944" w:rsidRPr="00305B4C">
        <w:rPr>
          <w:rFonts w:ascii="Arial" w:hAnsi="Arial" w:cs="Arial"/>
        </w:rPr>
        <w:t xml:space="preserve"> </w:t>
      </w:r>
      <w:r w:rsidR="008135AC">
        <w:rPr>
          <w:rFonts w:ascii="Arial" w:hAnsi="Arial" w:cs="Arial"/>
        </w:rPr>
        <w:t>A</w:t>
      </w:r>
      <w:r w:rsidR="00AF5621" w:rsidRPr="00305B4C">
        <w:rPr>
          <w:rFonts w:ascii="Arial" w:hAnsi="Arial" w:cs="Arial"/>
        </w:rPr>
        <w:t xml:space="preserve">z építményadó emelésével </w:t>
      </w:r>
      <w:r w:rsidR="003541A8" w:rsidRPr="00305B4C">
        <w:rPr>
          <w:rFonts w:ascii="Arial" w:hAnsi="Arial" w:cs="Arial"/>
        </w:rPr>
        <w:t xml:space="preserve">a 2015. december 31. napi állapothoz képest </w:t>
      </w:r>
      <w:r w:rsidR="00743B3C" w:rsidRPr="00305B4C">
        <w:rPr>
          <w:rFonts w:ascii="Arial" w:hAnsi="Arial" w:cs="Arial"/>
        </w:rPr>
        <w:t xml:space="preserve">9.9 %-os </w:t>
      </w:r>
      <w:r w:rsidR="003541A8" w:rsidRPr="00305B4C">
        <w:rPr>
          <w:rFonts w:ascii="Arial" w:hAnsi="Arial" w:cs="Arial"/>
        </w:rPr>
        <w:t>bevétel növekedést értünk el.</w:t>
      </w:r>
    </w:p>
    <w:p w:rsidR="002B789F" w:rsidRPr="00305B4C" w:rsidRDefault="002B789F" w:rsidP="002B789F">
      <w:pPr>
        <w:spacing w:after="120"/>
        <w:jc w:val="both"/>
        <w:rPr>
          <w:rFonts w:ascii="Arial" w:hAnsi="Arial" w:cs="Arial"/>
        </w:rPr>
      </w:pPr>
      <w:r w:rsidRPr="00305B4C">
        <w:rPr>
          <w:rFonts w:ascii="Arial" w:hAnsi="Arial" w:cs="Arial"/>
        </w:rPr>
        <w:t>Az önkormányzatnál maradó adóbevételek beérkezéseinek zöme az első és harmadik negyedévhez köt</w:t>
      </w:r>
      <w:r w:rsidR="009849DD" w:rsidRPr="00305B4C">
        <w:rPr>
          <w:rFonts w:ascii="Arial" w:hAnsi="Arial" w:cs="Arial"/>
        </w:rPr>
        <w:t xml:space="preserve">hetőek, hiszen a március 15-ei és </w:t>
      </w:r>
      <w:r w:rsidRPr="00305B4C">
        <w:rPr>
          <w:rFonts w:ascii="Arial" w:hAnsi="Arial" w:cs="Arial"/>
        </w:rPr>
        <w:t>szeptember 15-</w:t>
      </w:r>
      <w:r w:rsidR="009849DD" w:rsidRPr="00305B4C">
        <w:rPr>
          <w:rFonts w:ascii="Arial" w:hAnsi="Arial" w:cs="Arial"/>
        </w:rPr>
        <w:t>e</w:t>
      </w:r>
      <w:r w:rsidRPr="00305B4C">
        <w:rPr>
          <w:rFonts w:ascii="Arial" w:hAnsi="Arial" w:cs="Arial"/>
        </w:rPr>
        <w:t>i befizetési határi</w:t>
      </w:r>
      <w:r w:rsidR="00A9448E" w:rsidRPr="00305B4C">
        <w:rPr>
          <w:rFonts w:ascii="Arial" w:hAnsi="Arial" w:cs="Arial"/>
        </w:rPr>
        <w:t>dők ekkor járnak le. E</w:t>
      </w:r>
      <w:r w:rsidRPr="00305B4C">
        <w:rPr>
          <w:rFonts w:ascii="Arial" w:hAnsi="Arial" w:cs="Arial"/>
        </w:rPr>
        <w:t xml:space="preserve">ddig kell megfizetni az adózóknak a helyi építményadó és a gépjárműadók éves előírásainak 50-50 %-át, valamint az esedékes iparűzési adóelőlegeket. </w:t>
      </w:r>
    </w:p>
    <w:p w:rsidR="002B789F" w:rsidRPr="00305B4C" w:rsidRDefault="002B789F" w:rsidP="002B789F">
      <w:pPr>
        <w:spacing w:after="120"/>
        <w:jc w:val="both"/>
        <w:rPr>
          <w:rFonts w:ascii="Arial" w:hAnsi="Arial" w:cs="Arial"/>
        </w:rPr>
      </w:pPr>
      <w:r w:rsidRPr="00305B4C">
        <w:rPr>
          <w:rFonts w:ascii="Arial" w:hAnsi="Arial" w:cs="Arial"/>
        </w:rPr>
        <w:t xml:space="preserve">Jellemzően a követeléskezelési és végrehajtási eljárások eredményei is a második félévben jelennek meg a teljesülések között. </w:t>
      </w:r>
    </w:p>
    <w:p w:rsidR="002B789F" w:rsidRPr="00305B4C" w:rsidRDefault="002B789F" w:rsidP="002B789F">
      <w:pPr>
        <w:spacing w:after="120"/>
        <w:jc w:val="both"/>
        <w:rPr>
          <w:rFonts w:ascii="Arial" w:hAnsi="Arial" w:cs="Arial"/>
        </w:rPr>
      </w:pPr>
      <w:r w:rsidRPr="00305B4C">
        <w:rPr>
          <w:rFonts w:ascii="Arial" w:hAnsi="Arial" w:cs="Arial"/>
        </w:rPr>
        <w:t>Az adóév végén (december 20-i</w:t>
      </w:r>
      <w:r w:rsidR="00CA3F69" w:rsidRPr="00305B4C">
        <w:rPr>
          <w:rFonts w:ascii="Arial" w:hAnsi="Arial" w:cs="Arial"/>
        </w:rPr>
        <w:t>g</w:t>
      </w:r>
      <w:r w:rsidRPr="00305B4C">
        <w:rPr>
          <w:rFonts w:ascii="Arial" w:hAnsi="Arial" w:cs="Arial"/>
        </w:rPr>
        <w:t xml:space="preserve">) egészítik </w:t>
      </w:r>
      <w:r w:rsidR="00CA3F69" w:rsidRPr="00305B4C">
        <w:rPr>
          <w:rFonts w:ascii="Arial" w:hAnsi="Arial" w:cs="Arial"/>
        </w:rPr>
        <w:t>k</w:t>
      </w:r>
      <w:r w:rsidRPr="00305B4C">
        <w:rPr>
          <w:rFonts w:ascii="Arial" w:hAnsi="Arial" w:cs="Arial"/>
        </w:rPr>
        <w:t xml:space="preserve">i a vállalkozások az iparűzési adóelőlegeket, így ekkor is jelentős befizetések érkezhetnek – iparűzési adóbevételként – az önkormányzat számlájára. Ennek tervezése azonban gyakorlatilag lehetetlen. </w:t>
      </w:r>
    </w:p>
    <w:p w:rsidR="00085129" w:rsidRPr="00305B4C" w:rsidRDefault="002B789F" w:rsidP="002C7472">
      <w:pPr>
        <w:spacing w:after="0"/>
        <w:jc w:val="both"/>
        <w:rPr>
          <w:rFonts w:ascii="Arial" w:hAnsi="Arial" w:cs="Arial"/>
        </w:rPr>
      </w:pPr>
      <w:r w:rsidRPr="00305B4C">
        <w:rPr>
          <w:rFonts w:ascii="Arial" w:hAnsi="Arial" w:cs="Arial"/>
        </w:rPr>
        <w:t xml:space="preserve">Adóbevételeink a tervezetthez képest </w:t>
      </w:r>
      <w:r w:rsidR="00117905">
        <w:rPr>
          <w:rFonts w:ascii="Arial" w:hAnsi="Arial" w:cs="Arial"/>
        </w:rPr>
        <w:t>10</w:t>
      </w:r>
      <w:r w:rsidR="00151E7D" w:rsidRPr="00305B4C">
        <w:rPr>
          <w:rFonts w:ascii="Arial" w:hAnsi="Arial" w:cs="Arial"/>
        </w:rPr>
        <w:t>8.9</w:t>
      </w:r>
      <w:r w:rsidRPr="00305B4C">
        <w:rPr>
          <w:rFonts w:ascii="Arial" w:hAnsi="Arial" w:cs="Arial"/>
        </w:rPr>
        <w:t xml:space="preserve"> %-ban teljesültek</w:t>
      </w:r>
      <w:r w:rsidR="003541A8" w:rsidRPr="00305B4C">
        <w:rPr>
          <w:rFonts w:ascii="Arial" w:hAnsi="Arial" w:cs="Arial"/>
        </w:rPr>
        <w:t>, a tervhe</w:t>
      </w:r>
      <w:r w:rsidR="008135AC">
        <w:rPr>
          <w:rFonts w:ascii="Arial" w:hAnsi="Arial" w:cs="Arial"/>
        </w:rPr>
        <w:t xml:space="preserve">z képest legnagyobb növekedést </w:t>
      </w:r>
      <w:r w:rsidR="00151E7D" w:rsidRPr="00305B4C">
        <w:rPr>
          <w:rFonts w:ascii="Arial" w:hAnsi="Arial" w:cs="Arial"/>
        </w:rPr>
        <w:t xml:space="preserve">51.176 </w:t>
      </w:r>
      <w:r w:rsidR="008135AC">
        <w:rPr>
          <w:rFonts w:ascii="Arial" w:hAnsi="Arial" w:cs="Arial"/>
        </w:rPr>
        <w:t xml:space="preserve">e Ft-ot </w:t>
      </w:r>
      <w:r w:rsidR="003541A8" w:rsidRPr="00305B4C">
        <w:rPr>
          <w:rFonts w:ascii="Arial" w:hAnsi="Arial" w:cs="Arial"/>
        </w:rPr>
        <w:t xml:space="preserve">az építményadó bevétel generált, idegenforgalmi adóbevételünk </w:t>
      </w:r>
      <w:r w:rsidR="00151E7D" w:rsidRPr="00305B4C">
        <w:rPr>
          <w:rFonts w:ascii="Arial" w:hAnsi="Arial" w:cs="Arial"/>
        </w:rPr>
        <w:t xml:space="preserve">40.752 </w:t>
      </w:r>
      <w:r w:rsidR="003541A8" w:rsidRPr="00305B4C">
        <w:rPr>
          <w:rFonts w:ascii="Arial" w:hAnsi="Arial" w:cs="Arial"/>
        </w:rPr>
        <w:t>e Ft-</w:t>
      </w:r>
      <w:r w:rsidR="00895123" w:rsidRPr="00305B4C">
        <w:rPr>
          <w:rFonts w:ascii="Arial" w:hAnsi="Arial" w:cs="Arial"/>
        </w:rPr>
        <w:t xml:space="preserve">tal </w:t>
      </w:r>
      <w:r w:rsidR="003541A8" w:rsidRPr="00305B4C">
        <w:rPr>
          <w:rFonts w:ascii="Arial" w:hAnsi="Arial" w:cs="Arial"/>
        </w:rPr>
        <w:t>haladta meg a tervezett bevételt.</w:t>
      </w:r>
      <w:r w:rsidR="000A1A87">
        <w:rPr>
          <w:rFonts w:ascii="Arial" w:hAnsi="Arial" w:cs="Arial"/>
        </w:rPr>
        <w:t xml:space="preserve"> </w:t>
      </w:r>
      <w:r w:rsidR="008135AC">
        <w:rPr>
          <w:rFonts w:ascii="Arial" w:hAnsi="Arial" w:cs="Arial"/>
        </w:rPr>
        <w:t>A túlteljesítés oka, hogy</w:t>
      </w:r>
      <w:r w:rsidR="000A1A87">
        <w:rPr>
          <w:rFonts w:ascii="Arial" w:hAnsi="Arial" w:cs="Arial"/>
        </w:rPr>
        <w:t xml:space="preserve"> ezen adónemek tervezés</w:t>
      </w:r>
      <w:r w:rsidR="00936FAE">
        <w:rPr>
          <w:rFonts w:ascii="Arial" w:hAnsi="Arial" w:cs="Arial"/>
        </w:rPr>
        <w:t>é</w:t>
      </w:r>
      <w:r w:rsidR="000A1A87">
        <w:rPr>
          <w:rFonts w:ascii="Arial" w:hAnsi="Arial" w:cs="Arial"/>
        </w:rPr>
        <w:t>nél az adómérték változás nem került figyelembe vételre.</w:t>
      </w:r>
    </w:p>
    <w:p w:rsidR="002B789F" w:rsidRPr="003541A8" w:rsidRDefault="002B789F" w:rsidP="007A7944">
      <w:pPr>
        <w:spacing w:after="120"/>
        <w:jc w:val="both"/>
        <w:rPr>
          <w:rFonts w:ascii="Arial" w:hAnsi="Arial" w:cs="Arial"/>
          <w:b/>
          <w:color w:val="002060"/>
        </w:rPr>
      </w:pPr>
    </w:p>
    <w:p w:rsidR="00C90C8F" w:rsidRDefault="00C90C8F" w:rsidP="00C90C8F">
      <w:pPr>
        <w:pStyle w:val="Listaszerbekezds"/>
        <w:numPr>
          <w:ilvl w:val="0"/>
          <w:numId w:val="33"/>
        </w:numPr>
        <w:spacing w:after="120"/>
        <w:jc w:val="both"/>
        <w:rPr>
          <w:rFonts w:ascii="Arial" w:hAnsi="Arial" w:cs="Arial"/>
          <w:b/>
        </w:rPr>
      </w:pPr>
      <w:r w:rsidRPr="000308A1">
        <w:rPr>
          <w:rFonts w:ascii="Arial" w:hAnsi="Arial" w:cs="Arial"/>
          <w:b/>
        </w:rPr>
        <w:lastRenderedPageBreak/>
        <w:t>Adóigazgatási feladatok</w:t>
      </w:r>
    </w:p>
    <w:p w:rsidR="00C90C8F" w:rsidRDefault="00C90C8F" w:rsidP="00C90C8F">
      <w:pPr>
        <w:pStyle w:val="Listaszerbekezds"/>
        <w:spacing w:after="120"/>
        <w:ind w:left="360"/>
        <w:jc w:val="both"/>
        <w:rPr>
          <w:rFonts w:ascii="Arial" w:hAnsi="Arial" w:cs="Arial"/>
          <w:b/>
        </w:rPr>
      </w:pPr>
    </w:p>
    <w:p w:rsidR="00975EF0" w:rsidRPr="00305B4C" w:rsidRDefault="00975EF0" w:rsidP="00975EF0">
      <w:pPr>
        <w:pStyle w:val="Listaszerbekezds"/>
        <w:spacing w:after="120"/>
        <w:ind w:left="0"/>
        <w:jc w:val="both"/>
        <w:rPr>
          <w:rFonts w:ascii="Arial" w:hAnsi="Arial" w:cs="Arial"/>
        </w:rPr>
      </w:pPr>
      <w:r w:rsidRPr="00305B4C">
        <w:rPr>
          <w:rFonts w:ascii="Arial" w:hAnsi="Arial" w:cs="Arial"/>
        </w:rPr>
        <w:t>Az</w:t>
      </w:r>
      <w:r w:rsidR="0044521B">
        <w:rPr>
          <w:rFonts w:ascii="Arial" w:hAnsi="Arial" w:cs="Arial"/>
        </w:rPr>
        <w:t xml:space="preserve"> önkormányzati adóhatósági,</w:t>
      </w:r>
      <w:r w:rsidRPr="00305B4C">
        <w:rPr>
          <w:rFonts w:ascii="Arial" w:hAnsi="Arial" w:cs="Arial"/>
        </w:rPr>
        <w:t xml:space="preserve"> adóigazgatási feladatok ellátása az adózás rendjéről szóló 2003. évi XCII. törvény (a továbbiakban</w:t>
      </w:r>
      <w:r w:rsidR="0044521B">
        <w:rPr>
          <w:rFonts w:ascii="Arial" w:hAnsi="Arial" w:cs="Arial"/>
        </w:rPr>
        <w:t xml:space="preserve">: Art.) rendelkezése alapján a </w:t>
      </w:r>
      <w:r w:rsidRPr="00305B4C">
        <w:rPr>
          <w:rFonts w:ascii="Arial" w:hAnsi="Arial" w:cs="Arial"/>
        </w:rPr>
        <w:t xml:space="preserve">jegyző </w:t>
      </w:r>
      <w:r w:rsidR="0044521B">
        <w:rPr>
          <w:rFonts w:ascii="Arial" w:hAnsi="Arial" w:cs="Arial"/>
        </w:rPr>
        <w:t xml:space="preserve">feladat- és </w:t>
      </w:r>
      <w:r w:rsidRPr="00305B4C">
        <w:rPr>
          <w:rFonts w:ascii="Arial" w:hAnsi="Arial" w:cs="Arial"/>
        </w:rPr>
        <w:t>hatásköre. A feladat végrehajtása az SZMSZ alapján a Hatósági Osztály s</w:t>
      </w:r>
      <w:r w:rsidR="00184378" w:rsidRPr="00305B4C">
        <w:rPr>
          <w:rFonts w:ascii="Arial" w:hAnsi="Arial" w:cs="Arial"/>
        </w:rPr>
        <w:t>zervezeti rendszerében történ</w:t>
      </w:r>
      <w:r w:rsidR="00F66A53">
        <w:rPr>
          <w:rFonts w:ascii="Arial" w:hAnsi="Arial" w:cs="Arial"/>
        </w:rPr>
        <w:t>ik, 4 fő látja el a feladatokat, az idegenforgalmi adóellenőrzésben további 1 fő hatósági ügyintéző és 2 fő szezonálisan foglalkoztatott köztisztviselő vett részt.</w:t>
      </w:r>
    </w:p>
    <w:p w:rsidR="00151E7D" w:rsidRDefault="00151E7D" w:rsidP="00975EF0">
      <w:pPr>
        <w:pStyle w:val="Listaszerbekezds"/>
        <w:spacing w:after="120"/>
        <w:ind w:left="0"/>
        <w:jc w:val="both"/>
        <w:rPr>
          <w:rFonts w:ascii="Arial" w:hAnsi="Arial" w:cs="Arial"/>
          <w:color w:val="1F3864" w:themeColor="accent5" w:themeShade="80"/>
        </w:rPr>
      </w:pPr>
    </w:p>
    <w:p w:rsidR="00975EF0" w:rsidRPr="00305B4C" w:rsidRDefault="00975EF0" w:rsidP="00975EF0">
      <w:pPr>
        <w:pStyle w:val="Listaszerbekezds"/>
        <w:spacing w:after="120"/>
        <w:ind w:left="0"/>
        <w:jc w:val="both"/>
        <w:rPr>
          <w:rFonts w:ascii="Arial" w:hAnsi="Arial" w:cs="Arial"/>
        </w:rPr>
      </w:pPr>
      <w:r w:rsidRPr="00305B4C">
        <w:rPr>
          <w:rFonts w:ascii="Arial" w:hAnsi="Arial" w:cs="Arial"/>
        </w:rPr>
        <w:t>Kiemelt feladat a költségvetési egyensúly fenntartása érdekében az önkormányzat adóbevételeinek a biztosítása, lehetőség szerint a növelése, a hatósági ügyintézés során a jogszerűség, hatékonyság és célszerűség biztosítása.</w:t>
      </w:r>
    </w:p>
    <w:p w:rsidR="005944DE" w:rsidRDefault="005944DE" w:rsidP="00975EF0">
      <w:pPr>
        <w:pStyle w:val="Listaszerbekezds"/>
        <w:spacing w:after="120"/>
        <w:ind w:left="0"/>
        <w:jc w:val="both"/>
        <w:rPr>
          <w:rFonts w:ascii="Arial" w:hAnsi="Arial" w:cs="Arial"/>
          <w:color w:val="1F3864" w:themeColor="accent5" w:themeShade="80"/>
        </w:rPr>
      </w:pPr>
    </w:p>
    <w:p w:rsidR="00975EF0" w:rsidRPr="00305B4C" w:rsidRDefault="00975EF0" w:rsidP="00975EF0">
      <w:pPr>
        <w:pStyle w:val="Listaszerbekezds"/>
        <w:spacing w:after="120"/>
        <w:ind w:left="0"/>
        <w:jc w:val="both"/>
        <w:rPr>
          <w:rFonts w:ascii="Arial" w:hAnsi="Arial" w:cs="Arial"/>
        </w:rPr>
      </w:pPr>
      <w:r w:rsidRPr="00305B4C">
        <w:rPr>
          <w:rFonts w:ascii="Arial" w:hAnsi="Arial" w:cs="Arial"/>
        </w:rPr>
        <w:t>Az adóigazgatási munka az alábbi területekre bontható:</w:t>
      </w:r>
    </w:p>
    <w:p w:rsidR="00975EF0" w:rsidRPr="00305B4C" w:rsidRDefault="00975EF0" w:rsidP="00975EF0">
      <w:pPr>
        <w:pStyle w:val="Listaszerbekezds"/>
        <w:numPr>
          <w:ilvl w:val="0"/>
          <w:numId w:val="44"/>
        </w:numPr>
        <w:spacing w:after="120"/>
        <w:jc w:val="both"/>
        <w:rPr>
          <w:rFonts w:ascii="Arial" w:hAnsi="Arial" w:cs="Arial"/>
        </w:rPr>
      </w:pPr>
      <w:r w:rsidRPr="00305B4C">
        <w:rPr>
          <w:rFonts w:ascii="Arial" w:hAnsi="Arial" w:cs="Arial"/>
        </w:rPr>
        <w:t>adókötelezettség megállapítása, ezen belül a bevallások feldolgozása,</w:t>
      </w:r>
      <w:r w:rsidR="003727F6" w:rsidRPr="00305B4C">
        <w:rPr>
          <w:rFonts w:ascii="Arial" w:hAnsi="Arial" w:cs="Arial"/>
        </w:rPr>
        <w:t xml:space="preserve"> hatósági adatszolgáltatás alapján a gépjárműadó kötelezettség feldolgozása,</w:t>
      </w:r>
      <w:r w:rsidRPr="00305B4C">
        <w:rPr>
          <w:rFonts w:ascii="Arial" w:hAnsi="Arial" w:cs="Arial"/>
        </w:rPr>
        <w:t xml:space="preserve"> az adófizetést megállapító határozatok elkészítése, az adóztatást érintő változások nyomon követése, befizetések könyvelése,</w:t>
      </w:r>
    </w:p>
    <w:p w:rsidR="00975EF0" w:rsidRPr="00305B4C" w:rsidRDefault="00975EF0" w:rsidP="00975EF0">
      <w:pPr>
        <w:pStyle w:val="Listaszerbekezds"/>
        <w:numPr>
          <w:ilvl w:val="0"/>
          <w:numId w:val="44"/>
        </w:numPr>
        <w:spacing w:after="120"/>
        <w:jc w:val="both"/>
        <w:rPr>
          <w:rFonts w:ascii="Arial" w:hAnsi="Arial" w:cs="Arial"/>
        </w:rPr>
      </w:pPr>
      <w:r w:rsidRPr="00305B4C">
        <w:rPr>
          <w:rFonts w:ascii="Arial" w:hAnsi="Arial" w:cs="Arial"/>
        </w:rPr>
        <w:t>adókötelezettség ellenőrzése,</w:t>
      </w:r>
    </w:p>
    <w:p w:rsidR="00975EF0" w:rsidRPr="00305B4C" w:rsidRDefault="00975EF0" w:rsidP="00975EF0">
      <w:pPr>
        <w:pStyle w:val="Listaszerbekezds"/>
        <w:numPr>
          <w:ilvl w:val="0"/>
          <w:numId w:val="44"/>
        </w:numPr>
        <w:spacing w:after="120"/>
        <w:jc w:val="both"/>
        <w:rPr>
          <w:rFonts w:ascii="Arial" w:hAnsi="Arial" w:cs="Arial"/>
        </w:rPr>
      </w:pPr>
      <w:r w:rsidRPr="00305B4C">
        <w:rPr>
          <w:rFonts w:ascii="Arial" w:hAnsi="Arial" w:cs="Arial"/>
        </w:rPr>
        <w:t>végrehajtási feladatok ellátása.</w:t>
      </w:r>
    </w:p>
    <w:p w:rsidR="001E77AA" w:rsidRPr="00305B4C" w:rsidRDefault="003727F6" w:rsidP="005944DE">
      <w:pPr>
        <w:spacing w:after="0"/>
        <w:jc w:val="both"/>
        <w:rPr>
          <w:rFonts w:ascii="Arial" w:hAnsi="Arial" w:cs="Arial"/>
        </w:rPr>
      </w:pPr>
      <w:r w:rsidRPr="00305B4C">
        <w:rPr>
          <w:rFonts w:ascii="Arial" w:hAnsi="Arial" w:cs="Arial"/>
        </w:rPr>
        <w:t>Feladatkörünkbe tartozik továbbá az adók módjára behajtandó köztartozások kezelése, a kim</w:t>
      </w:r>
      <w:r w:rsidR="009A3F49" w:rsidRPr="00305B4C">
        <w:rPr>
          <w:rFonts w:ascii="Arial" w:hAnsi="Arial" w:cs="Arial"/>
        </w:rPr>
        <w:t>utatott köztartozások behajtása, adó- és értékbizonyítvány kiállítása, továbbá kérelemre a köztartozás mentesség igazolása.</w:t>
      </w:r>
    </w:p>
    <w:p w:rsidR="00B7168F" w:rsidRPr="00305B4C" w:rsidRDefault="00B7168F" w:rsidP="005944DE">
      <w:pPr>
        <w:pStyle w:val="Cmsor1"/>
        <w:jc w:val="both"/>
        <w:rPr>
          <w:rFonts w:ascii="Arial" w:hAnsi="Arial" w:cs="Arial"/>
          <w:sz w:val="22"/>
          <w:szCs w:val="22"/>
        </w:rPr>
      </w:pPr>
      <w:r w:rsidRPr="00305B4C">
        <w:rPr>
          <w:rFonts w:ascii="Arial" w:hAnsi="Arial" w:cs="Arial"/>
          <w:sz w:val="22"/>
          <w:szCs w:val="22"/>
        </w:rPr>
        <w:t>Az</w:t>
      </w:r>
      <w:r w:rsidR="00C520B7" w:rsidRPr="00305B4C">
        <w:rPr>
          <w:rFonts w:ascii="Arial" w:hAnsi="Arial" w:cs="Arial"/>
          <w:sz w:val="22"/>
          <w:szCs w:val="22"/>
        </w:rPr>
        <w:t xml:space="preserve"> önkormányzati adóhatóság hatáskörébe tartozó adók és adók módjára behajtandó köztartozások nyilvántartásának, kezelésének, elszámolásának, valamint az önkormányzati adóhatóság adatszolgáltatási eljárásának szabályairól </w:t>
      </w:r>
      <w:r w:rsidRPr="00305B4C">
        <w:rPr>
          <w:rFonts w:ascii="Arial" w:hAnsi="Arial" w:cs="Arial"/>
          <w:sz w:val="22"/>
          <w:szCs w:val="22"/>
        </w:rPr>
        <w:t xml:space="preserve"> 37/2015. (XII. 28.) NGM rendelet az adatszolgáltatási feladatokat szabályozza. </w:t>
      </w:r>
    </w:p>
    <w:p w:rsidR="00C90C8F" w:rsidRPr="00305B4C" w:rsidRDefault="00C90C8F" w:rsidP="005944DE">
      <w:pPr>
        <w:autoSpaceDE w:val="0"/>
        <w:autoSpaceDN w:val="0"/>
        <w:adjustRightInd w:val="0"/>
        <w:spacing w:after="0"/>
        <w:jc w:val="both"/>
        <w:rPr>
          <w:rFonts w:ascii="Arial" w:hAnsi="Arial" w:cs="Arial"/>
        </w:rPr>
      </w:pPr>
      <w:r w:rsidRPr="00305B4C">
        <w:rPr>
          <w:rFonts w:ascii="Arial" w:hAnsi="Arial" w:cs="Arial"/>
        </w:rPr>
        <w:t xml:space="preserve">Ez alapján az önkormányzati adóhatóság hatáskörébe tartozó helyi adókra, jövedéki adóra, az önkormányzati adóhatóságnál adóüggyel összefüggésben fizetendő közigazgatási hatósági eljárási illetékekre vonatkozó nyilvántartásait, kezelését és elszámolását, és az ezzel kapcsolatos adatszolgáltatást is ellátja. </w:t>
      </w:r>
    </w:p>
    <w:p w:rsidR="00C90C8F" w:rsidRPr="00305B4C" w:rsidRDefault="00C90C8F" w:rsidP="00C90C8F">
      <w:pPr>
        <w:autoSpaceDE w:val="0"/>
        <w:autoSpaceDN w:val="0"/>
        <w:adjustRightInd w:val="0"/>
        <w:jc w:val="both"/>
        <w:rPr>
          <w:rFonts w:ascii="Arial" w:hAnsi="Arial" w:cs="Arial"/>
        </w:rPr>
      </w:pPr>
      <w:r w:rsidRPr="00305B4C">
        <w:rPr>
          <w:rFonts w:ascii="Arial" w:hAnsi="Arial" w:cs="Arial"/>
        </w:rPr>
        <w:t xml:space="preserve">Fenti rendelet szabályainak megfelelően, adóigazgatásban negyedéves, féléves zárásokat kell teljesíteni és továbbítani a Magyar Államkincstár </w:t>
      </w:r>
      <w:r w:rsidR="00696256" w:rsidRPr="00305B4C">
        <w:rPr>
          <w:rFonts w:ascii="Arial" w:hAnsi="Arial" w:cs="Arial"/>
        </w:rPr>
        <w:t xml:space="preserve">(a továbbiakban: MÁK) </w:t>
      </w:r>
      <w:r w:rsidR="00305B4C" w:rsidRPr="00305B4C">
        <w:rPr>
          <w:rFonts w:ascii="Arial" w:hAnsi="Arial" w:cs="Arial"/>
        </w:rPr>
        <w:t xml:space="preserve">illetékes igazgatósága részére </w:t>
      </w:r>
      <w:r w:rsidR="00B6567E" w:rsidRPr="00305B4C">
        <w:rPr>
          <w:rFonts w:ascii="Arial" w:hAnsi="Arial" w:cs="Arial"/>
        </w:rPr>
        <w:t xml:space="preserve">továbbá </w:t>
      </w:r>
      <w:r w:rsidRPr="00305B4C">
        <w:rPr>
          <w:rFonts w:ascii="Arial" w:hAnsi="Arial" w:cs="Arial"/>
        </w:rPr>
        <w:t>adatszolgáltatás</w:t>
      </w:r>
      <w:r w:rsidR="00B6567E" w:rsidRPr="00305B4C">
        <w:rPr>
          <w:rFonts w:ascii="Arial" w:hAnsi="Arial" w:cs="Arial"/>
        </w:rPr>
        <w:t>okat teljesíteni az adónemek vonatkozásában.</w:t>
      </w:r>
      <w:r w:rsidRPr="00305B4C">
        <w:rPr>
          <w:rFonts w:ascii="Arial" w:hAnsi="Arial" w:cs="Arial"/>
        </w:rPr>
        <w:t xml:space="preserve"> </w:t>
      </w:r>
    </w:p>
    <w:p w:rsidR="00184378" w:rsidRPr="00246B33" w:rsidRDefault="0044521B" w:rsidP="00184378">
      <w:pPr>
        <w:jc w:val="both"/>
        <w:rPr>
          <w:rFonts w:ascii="Arial" w:hAnsi="Arial" w:cs="Arial"/>
        </w:rPr>
      </w:pPr>
      <w:r>
        <w:rPr>
          <w:rFonts w:ascii="Arial" w:hAnsi="Arial" w:cs="Arial"/>
        </w:rPr>
        <w:t xml:space="preserve">Az adóügyi feladatot végző köztisztviselők </w:t>
      </w:r>
      <w:r w:rsidR="00184378" w:rsidRPr="00246B33">
        <w:rPr>
          <w:rFonts w:ascii="Arial" w:hAnsi="Arial" w:cs="Arial"/>
        </w:rPr>
        <w:t>az önkormányzati adók behajtásá</w:t>
      </w:r>
      <w:r>
        <w:rPr>
          <w:rFonts w:ascii="Arial" w:hAnsi="Arial" w:cs="Arial"/>
        </w:rPr>
        <w:t>n túl ellátják még a következő feladatokat:</w:t>
      </w:r>
      <w:r w:rsidR="00184378" w:rsidRPr="00246B33">
        <w:rPr>
          <w:rFonts w:ascii="Arial" w:hAnsi="Arial" w:cs="Arial"/>
        </w:rPr>
        <w:t xml:space="preserve"> </w:t>
      </w:r>
    </w:p>
    <w:p w:rsidR="00184378" w:rsidRPr="00246B33" w:rsidRDefault="00184378" w:rsidP="00184378">
      <w:pPr>
        <w:pStyle w:val="Listaszerbekezds"/>
        <w:numPr>
          <w:ilvl w:val="0"/>
          <w:numId w:val="45"/>
        </w:numPr>
        <w:spacing w:after="0" w:line="240" w:lineRule="auto"/>
        <w:jc w:val="both"/>
        <w:rPr>
          <w:rFonts w:ascii="Arial" w:hAnsi="Arial" w:cs="Arial"/>
        </w:rPr>
      </w:pPr>
      <w:r w:rsidRPr="00246B33">
        <w:rPr>
          <w:rFonts w:ascii="Arial" w:hAnsi="Arial" w:cs="Arial"/>
        </w:rPr>
        <w:t>Az önkormányzati adóhatóság adószámláinak kezelése. Az adószámlák bankszámla kivonatának megérkezése után megtörté</w:t>
      </w:r>
      <w:r w:rsidR="0044521B">
        <w:rPr>
          <w:rFonts w:ascii="Arial" w:hAnsi="Arial" w:cs="Arial"/>
        </w:rPr>
        <w:t>nik a befizetések beazonosítása</w:t>
      </w:r>
      <w:r w:rsidRPr="00246B33">
        <w:rPr>
          <w:rFonts w:ascii="Arial" w:hAnsi="Arial" w:cs="Arial"/>
        </w:rPr>
        <w:t xml:space="preserve"> az adózókra. A bevételek és kiadások rögzítését követően, elkészülnek a pénzforgalmi naplók. </w:t>
      </w:r>
    </w:p>
    <w:p w:rsidR="00184378" w:rsidRPr="00246B33" w:rsidRDefault="00184378" w:rsidP="00184378">
      <w:pPr>
        <w:pStyle w:val="Listaszerbekezds"/>
        <w:numPr>
          <w:ilvl w:val="0"/>
          <w:numId w:val="45"/>
        </w:numPr>
        <w:spacing w:after="0" w:line="240" w:lineRule="auto"/>
        <w:jc w:val="both"/>
        <w:rPr>
          <w:rFonts w:ascii="Arial" w:hAnsi="Arial" w:cs="Arial"/>
        </w:rPr>
      </w:pPr>
      <w:r w:rsidRPr="00246B33">
        <w:rPr>
          <w:rFonts w:ascii="Arial" w:hAnsi="Arial" w:cs="Arial"/>
        </w:rPr>
        <w:t xml:space="preserve">Intézkedés történik a téves befizetések átfutóra helyezéséről, túlfizetések rendezéséről, könyveléséről. </w:t>
      </w:r>
    </w:p>
    <w:p w:rsidR="00184378" w:rsidRPr="00246B33" w:rsidRDefault="00184378" w:rsidP="00184378">
      <w:pPr>
        <w:pStyle w:val="Listaszerbekezds"/>
        <w:numPr>
          <w:ilvl w:val="0"/>
          <w:numId w:val="45"/>
        </w:numPr>
        <w:spacing w:after="0" w:line="240" w:lineRule="auto"/>
        <w:jc w:val="both"/>
        <w:rPr>
          <w:rFonts w:ascii="Arial" w:hAnsi="Arial" w:cs="Arial"/>
        </w:rPr>
      </w:pPr>
      <w:r w:rsidRPr="00246B33">
        <w:rPr>
          <w:rFonts w:ascii="Arial" w:hAnsi="Arial" w:cs="Arial"/>
        </w:rPr>
        <w:t>Szü</w:t>
      </w:r>
      <w:r w:rsidR="001925F2" w:rsidRPr="00246B33">
        <w:rPr>
          <w:rFonts w:ascii="Arial" w:hAnsi="Arial" w:cs="Arial"/>
        </w:rPr>
        <w:t>kség esetén elvégezzük az Ö</w:t>
      </w:r>
      <w:r w:rsidRPr="00246B33">
        <w:rPr>
          <w:rFonts w:ascii="Arial" w:hAnsi="Arial" w:cs="Arial"/>
        </w:rPr>
        <w:t>NKADO program verzió váltásával kapcsolatos feladatokat.</w:t>
      </w:r>
    </w:p>
    <w:p w:rsidR="00184378" w:rsidRPr="00246B33" w:rsidRDefault="00184378" w:rsidP="00184378">
      <w:pPr>
        <w:pStyle w:val="Listaszerbekezds"/>
        <w:numPr>
          <w:ilvl w:val="0"/>
          <w:numId w:val="45"/>
        </w:numPr>
        <w:spacing w:after="0" w:line="240" w:lineRule="auto"/>
        <w:jc w:val="both"/>
        <w:rPr>
          <w:rFonts w:ascii="Arial" w:hAnsi="Arial" w:cs="Arial"/>
        </w:rPr>
      </w:pPr>
      <w:r w:rsidRPr="00246B33">
        <w:rPr>
          <w:rFonts w:ascii="Arial" w:hAnsi="Arial" w:cs="Arial"/>
        </w:rPr>
        <w:t>Adóerő</w:t>
      </w:r>
      <w:r w:rsidR="005944DE" w:rsidRPr="00246B33">
        <w:rPr>
          <w:rFonts w:ascii="Arial" w:hAnsi="Arial" w:cs="Arial"/>
        </w:rPr>
        <w:t xml:space="preserve"> </w:t>
      </w:r>
      <w:r w:rsidRPr="00246B33">
        <w:rPr>
          <w:rFonts w:ascii="Arial" w:hAnsi="Arial" w:cs="Arial"/>
        </w:rPr>
        <w:t>képesség mértékéről adatszolgáltatás a Közgazdasági Osztály részére.</w:t>
      </w:r>
    </w:p>
    <w:p w:rsidR="00DF59EA" w:rsidRPr="00246B33" w:rsidRDefault="00DF59EA" w:rsidP="00C90C8F">
      <w:pPr>
        <w:autoSpaceDE w:val="0"/>
        <w:autoSpaceDN w:val="0"/>
        <w:adjustRightInd w:val="0"/>
        <w:jc w:val="both"/>
        <w:rPr>
          <w:rFonts w:ascii="Arial" w:hAnsi="Arial" w:cs="Arial"/>
        </w:rPr>
      </w:pPr>
    </w:p>
    <w:p w:rsidR="00C90C8F" w:rsidRPr="00246B33" w:rsidRDefault="00DF59EA" w:rsidP="00C90C8F">
      <w:pPr>
        <w:autoSpaceDE w:val="0"/>
        <w:autoSpaceDN w:val="0"/>
        <w:adjustRightInd w:val="0"/>
        <w:jc w:val="both"/>
        <w:rPr>
          <w:rFonts w:ascii="Arial" w:hAnsi="Arial" w:cs="Arial"/>
        </w:rPr>
      </w:pPr>
      <w:r w:rsidRPr="00246B33">
        <w:rPr>
          <w:rFonts w:ascii="Arial" w:hAnsi="Arial" w:cs="Arial"/>
        </w:rPr>
        <w:t xml:space="preserve">Az adónyilvántartás vezetése az 1989-ben bevezetett a Pénzügyminisztérium által jóváhagyott </w:t>
      </w:r>
      <w:r w:rsidR="00696256" w:rsidRPr="00246B33">
        <w:rPr>
          <w:rFonts w:ascii="Arial" w:hAnsi="Arial" w:cs="Arial"/>
        </w:rPr>
        <w:t>MÁK</w:t>
      </w:r>
      <w:r w:rsidRPr="00246B33">
        <w:rPr>
          <w:rFonts w:ascii="Arial" w:hAnsi="Arial" w:cs="Arial"/>
        </w:rPr>
        <w:t xml:space="preserve"> </w:t>
      </w:r>
      <w:r w:rsidR="001925F2" w:rsidRPr="00246B33">
        <w:rPr>
          <w:rFonts w:ascii="Arial" w:hAnsi="Arial" w:cs="Arial"/>
        </w:rPr>
        <w:t>által rendszeresített Ö</w:t>
      </w:r>
      <w:r w:rsidRPr="00246B33">
        <w:rPr>
          <w:rFonts w:ascii="Arial" w:hAnsi="Arial" w:cs="Arial"/>
        </w:rPr>
        <w:t>NKADO programmal történt.</w:t>
      </w:r>
    </w:p>
    <w:p w:rsidR="00573C38" w:rsidRPr="00246B33" w:rsidRDefault="001925F2" w:rsidP="00C90C8F">
      <w:pPr>
        <w:autoSpaceDE w:val="0"/>
        <w:autoSpaceDN w:val="0"/>
        <w:adjustRightInd w:val="0"/>
        <w:jc w:val="both"/>
        <w:rPr>
          <w:rFonts w:ascii="Arial" w:hAnsi="Arial" w:cs="Arial"/>
        </w:rPr>
      </w:pPr>
      <w:r w:rsidRPr="00246B33">
        <w:rPr>
          <w:rFonts w:ascii="Arial" w:hAnsi="Arial" w:cs="Arial"/>
        </w:rPr>
        <w:t>Az Ö</w:t>
      </w:r>
      <w:r w:rsidR="00573C38" w:rsidRPr="00246B33">
        <w:rPr>
          <w:rFonts w:ascii="Arial" w:hAnsi="Arial" w:cs="Arial"/>
        </w:rPr>
        <w:t>NKADO programot 2017</w:t>
      </w:r>
      <w:r w:rsidR="005944DE" w:rsidRPr="00246B33">
        <w:rPr>
          <w:rFonts w:ascii="Arial" w:hAnsi="Arial" w:cs="Arial"/>
        </w:rPr>
        <w:t>. évben – várhatóan március végére</w:t>
      </w:r>
      <w:r w:rsidR="00573C38" w:rsidRPr="00246B33">
        <w:rPr>
          <w:rFonts w:ascii="Arial" w:hAnsi="Arial" w:cs="Arial"/>
        </w:rPr>
        <w:t xml:space="preserve"> </w:t>
      </w:r>
      <w:r w:rsidR="00756EEB" w:rsidRPr="00246B33">
        <w:rPr>
          <w:rFonts w:ascii="Arial" w:hAnsi="Arial" w:cs="Arial"/>
        </w:rPr>
        <w:t>–</w:t>
      </w:r>
      <w:r w:rsidR="00573C38" w:rsidRPr="00246B33">
        <w:rPr>
          <w:rFonts w:ascii="Arial" w:hAnsi="Arial" w:cs="Arial"/>
        </w:rPr>
        <w:t xml:space="preserve"> </w:t>
      </w:r>
      <w:r w:rsidR="00117905">
        <w:rPr>
          <w:rFonts w:ascii="Arial" w:hAnsi="Arial" w:cs="Arial"/>
        </w:rPr>
        <w:t>az elektronikus közigazgatás</w:t>
      </w:r>
      <w:r w:rsidR="00756EEB" w:rsidRPr="00246B33">
        <w:rPr>
          <w:rFonts w:ascii="Arial" w:hAnsi="Arial" w:cs="Arial"/>
        </w:rPr>
        <w:t xml:space="preserve"> kiterjesztésének állomásaként a közigazgatási feladatokat támog</w:t>
      </w:r>
      <w:r w:rsidR="00696256" w:rsidRPr="00246B33">
        <w:rPr>
          <w:rFonts w:ascii="Arial" w:hAnsi="Arial" w:cs="Arial"/>
        </w:rPr>
        <w:t>ató, az állam által biztosított</w:t>
      </w:r>
      <w:r w:rsidR="00756EEB" w:rsidRPr="00246B33">
        <w:rPr>
          <w:rFonts w:ascii="Arial" w:hAnsi="Arial" w:cs="Arial"/>
        </w:rPr>
        <w:t xml:space="preserve"> központi számítástechnikai hálózaton keresztül távoli alkalmazásszolgáltatást nyújtó </w:t>
      </w:r>
      <w:r w:rsidR="00756EEB" w:rsidRPr="00246B33">
        <w:rPr>
          <w:rFonts w:ascii="Arial" w:hAnsi="Arial" w:cs="Arial"/>
        </w:rPr>
        <w:lastRenderedPageBreak/>
        <w:t>számítástechnikai rendszer az önkormányzati ASP</w:t>
      </w:r>
      <w:r w:rsidR="00696256" w:rsidRPr="00246B33">
        <w:rPr>
          <w:rFonts w:ascii="Arial" w:hAnsi="Arial" w:cs="Arial"/>
        </w:rPr>
        <w:t xml:space="preserve"> (</w:t>
      </w:r>
      <w:proofErr w:type="spellStart"/>
      <w:r w:rsidR="00696256" w:rsidRPr="00246B33">
        <w:rPr>
          <w:rStyle w:val="st"/>
          <w:rFonts w:ascii="Arial" w:hAnsi="Arial" w:cs="Arial"/>
        </w:rPr>
        <w:t>Application</w:t>
      </w:r>
      <w:proofErr w:type="spellEnd"/>
      <w:r w:rsidR="00696256" w:rsidRPr="00246B33">
        <w:rPr>
          <w:rStyle w:val="st"/>
          <w:rFonts w:ascii="Arial" w:hAnsi="Arial" w:cs="Arial"/>
        </w:rPr>
        <w:t xml:space="preserve"> Service </w:t>
      </w:r>
      <w:proofErr w:type="spellStart"/>
      <w:r w:rsidR="00696256" w:rsidRPr="00246B33">
        <w:rPr>
          <w:rStyle w:val="st"/>
          <w:rFonts w:ascii="Arial" w:hAnsi="Arial" w:cs="Arial"/>
        </w:rPr>
        <w:t>Provider</w:t>
      </w:r>
      <w:proofErr w:type="spellEnd"/>
      <w:r w:rsidR="00696256" w:rsidRPr="00246B33">
        <w:rPr>
          <w:rStyle w:val="st"/>
          <w:rFonts w:ascii="Arial" w:hAnsi="Arial" w:cs="Arial"/>
        </w:rPr>
        <w:t>)</w:t>
      </w:r>
      <w:r w:rsidR="00756EEB" w:rsidRPr="00246B33">
        <w:rPr>
          <w:rFonts w:ascii="Arial" w:hAnsi="Arial" w:cs="Arial"/>
        </w:rPr>
        <w:t xml:space="preserve"> </w:t>
      </w:r>
      <w:r w:rsidR="00696256" w:rsidRPr="00246B33">
        <w:rPr>
          <w:rFonts w:ascii="Arial" w:hAnsi="Arial" w:cs="Arial"/>
        </w:rPr>
        <w:t xml:space="preserve">alkalmazás-szolgáltatás </w:t>
      </w:r>
      <w:r w:rsidR="0044521B">
        <w:rPr>
          <w:rFonts w:ascii="Arial" w:hAnsi="Arial" w:cs="Arial"/>
        </w:rPr>
        <w:t xml:space="preserve">(ASP ADO) </w:t>
      </w:r>
      <w:r w:rsidR="00756EEB" w:rsidRPr="00246B33">
        <w:rPr>
          <w:rFonts w:ascii="Arial" w:hAnsi="Arial" w:cs="Arial"/>
        </w:rPr>
        <w:t>váltja fel.</w:t>
      </w:r>
    </w:p>
    <w:p w:rsidR="00756EEB" w:rsidRPr="00246B33" w:rsidRDefault="00756EEB" w:rsidP="00756EEB">
      <w:pPr>
        <w:pStyle w:val="Listaszerbekezds"/>
        <w:ind w:left="0"/>
        <w:jc w:val="both"/>
        <w:rPr>
          <w:rFonts w:ascii="Arial" w:hAnsi="Arial" w:cs="Arial"/>
        </w:rPr>
      </w:pPr>
      <w:r w:rsidRPr="00246B33">
        <w:rPr>
          <w:rFonts w:ascii="Arial" w:hAnsi="Arial" w:cs="Arial"/>
        </w:rPr>
        <w:t xml:space="preserve">Az ASP </w:t>
      </w:r>
      <w:r w:rsidR="0044521B">
        <w:rPr>
          <w:rFonts w:ascii="Arial" w:hAnsi="Arial" w:cs="Arial"/>
        </w:rPr>
        <w:t>ADO</w:t>
      </w:r>
      <w:r w:rsidRPr="00246B33">
        <w:rPr>
          <w:rFonts w:ascii="Arial" w:hAnsi="Arial" w:cs="Arial"/>
        </w:rPr>
        <w:t xml:space="preserve"> rendszer csatlakozásához az adóügyintézőknek 2016. évben jelentős többletfeladatot kellett vé</w:t>
      </w:r>
      <w:r w:rsidR="004C3A0F">
        <w:rPr>
          <w:rFonts w:ascii="Arial" w:hAnsi="Arial" w:cs="Arial"/>
        </w:rPr>
        <w:t xml:space="preserve">grehajtani. A migráció </w:t>
      </w:r>
      <w:r w:rsidR="002E782A">
        <w:rPr>
          <w:rFonts w:ascii="Arial" w:hAnsi="Arial" w:cs="Arial"/>
        </w:rPr>
        <w:t>(</w:t>
      </w:r>
      <w:r w:rsidR="007C44C0">
        <w:rPr>
          <w:rFonts w:ascii="Arial" w:hAnsi="Arial" w:cs="Arial"/>
        </w:rPr>
        <w:t xml:space="preserve">jelen szövegkörnyezetben: </w:t>
      </w:r>
      <w:r w:rsidR="002E782A">
        <w:rPr>
          <w:rFonts w:ascii="Arial" w:hAnsi="Arial" w:cs="Arial"/>
        </w:rPr>
        <w:t xml:space="preserve">adatok áttelepítése) </w:t>
      </w:r>
      <w:r w:rsidRPr="00246B33">
        <w:rPr>
          <w:rFonts w:ascii="Arial" w:hAnsi="Arial" w:cs="Arial"/>
        </w:rPr>
        <w:t xml:space="preserve">folyamata alapvetően nem egy egyszeri folyamat, a megfelelő minőségű adat eléréséhez migrációs körök többszöri végrehajtását végeztük el. </w:t>
      </w:r>
    </w:p>
    <w:p w:rsidR="00756EEB" w:rsidRPr="00246B33" w:rsidRDefault="00756EEB" w:rsidP="00756EEB">
      <w:pPr>
        <w:pStyle w:val="Listaszerbekezds"/>
        <w:ind w:left="0"/>
        <w:jc w:val="both"/>
        <w:rPr>
          <w:rFonts w:ascii="Arial" w:hAnsi="Arial" w:cs="Arial"/>
        </w:rPr>
      </w:pPr>
      <w:r w:rsidRPr="00246B33">
        <w:rPr>
          <w:rFonts w:ascii="Arial" w:hAnsi="Arial" w:cs="Arial"/>
        </w:rPr>
        <w:t xml:space="preserve">A migrációs feladatok első szakaszai már 2016. májusában elkezdődtek, az adózói alapadatok és törzsadatok felülvizsgálatával, javításával. </w:t>
      </w:r>
    </w:p>
    <w:p w:rsidR="00756EEB" w:rsidRPr="00246B33" w:rsidRDefault="004C3A0F" w:rsidP="00756EEB">
      <w:pPr>
        <w:pStyle w:val="Listaszerbekezds"/>
        <w:ind w:left="0"/>
        <w:jc w:val="both"/>
        <w:rPr>
          <w:rFonts w:ascii="Arial" w:hAnsi="Arial" w:cs="Arial"/>
        </w:rPr>
      </w:pPr>
      <w:r>
        <w:rPr>
          <w:rFonts w:ascii="Arial" w:hAnsi="Arial" w:cs="Arial"/>
        </w:rPr>
        <w:t>Megtörténtek a migráció</w:t>
      </w:r>
      <w:r w:rsidR="00756EEB" w:rsidRPr="00246B33">
        <w:rPr>
          <w:rFonts w:ascii="Arial" w:hAnsi="Arial" w:cs="Arial"/>
        </w:rPr>
        <w:t xml:space="preserve"> szempontjából kritikus adathibák javításai. A migráció során adódtak olyan adathibák, amelynek javítása ugyan kritikus fontosságú, de időben nem sürgető, elvégezhető a célrendszeri migrációt követően. </w:t>
      </w:r>
    </w:p>
    <w:p w:rsidR="00756EEB" w:rsidRPr="00246B33" w:rsidRDefault="00756EEB" w:rsidP="00756EEB">
      <w:pPr>
        <w:pStyle w:val="Listaszerbekezds"/>
        <w:ind w:left="0"/>
        <w:jc w:val="both"/>
        <w:rPr>
          <w:rFonts w:ascii="Arial" w:hAnsi="Arial" w:cs="Arial"/>
        </w:rPr>
      </w:pPr>
      <w:r w:rsidRPr="00246B33">
        <w:rPr>
          <w:rFonts w:ascii="Arial" w:hAnsi="Arial" w:cs="Arial"/>
        </w:rPr>
        <w:t>A migrációs állományok javítását minden esetben dokumentálni kellett, hogy a következő migrációs k</w:t>
      </w:r>
      <w:r w:rsidR="004C3A0F">
        <w:rPr>
          <w:rFonts w:ascii="Arial" w:hAnsi="Arial" w:cs="Arial"/>
        </w:rPr>
        <w:t>örben, illetve az éles migráció</w:t>
      </w:r>
      <w:r w:rsidRPr="00246B33">
        <w:rPr>
          <w:rFonts w:ascii="Arial" w:hAnsi="Arial" w:cs="Arial"/>
        </w:rPr>
        <w:t xml:space="preserve"> során pontosan követ</w:t>
      </w:r>
      <w:r w:rsidR="004C3A0F">
        <w:rPr>
          <w:rFonts w:ascii="Arial" w:hAnsi="Arial" w:cs="Arial"/>
        </w:rPr>
        <w:t>hető</w:t>
      </w:r>
      <w:r w:rsidRPr="00246B33">
        <w:rPr>
          <w:rFonts w:ascii="Arial" w:hAnsi="Arial" w:cs="Arial"/>
        </w:rPr>
        <w:t xml:space="preserve"> legyen a szükséges adatjavítás. A hibás javításáról az adóügyintézők gondoskodtak, a MÁK munkatársai útmutatásai és felügyelete alapján. </w:t>
      </w:r>
      <w:r w:rsidR="0029175B">
        <w:rPr>
          <w:rFonts w:ascii="Arial" w:hAnsi="Arial" w:cs="Arial"/>
        </w:rPr>
        <w:t>Határozatainkkal, fizetési felhívásainkkal kb. 590 adatközlő felhívást bocsátottunk ki, elsősorban adóazonosító jel hiánya volt a kritikus hiba, de egyéb adatok hiánya is akadálya a migrációnak.</w:t>
      </w:r>
    </w:p>
    <w:p w:rsidR="00756EEB" w:rsidRPr="00246B33" w:rsidRDefault="00756EEB" w:rsidP="00756EEB">
      <w:pPr>
        <w:pStyle w:val="Listaszerbekezds"/>
        <w:ind w:left="0"/>
        <w:jc w:val="both"/>
        <w:rPr>
          <w:rFonts w:ascii="Arial" w:hAnsi="Arial" w:cs="Arial"/>
        </w:rPr>
      </w:pPr>
    </w:p>
    <w:p w:rsidR="00756EEB" w:rsidRDefault="00756EEB" w:rsidP="00756EEB">
      <w:pPr>
        <w:pStyle w:val="Listaszerbekezds"/>
        <w:ind w:left="0"/>
        <w:jc w:val="both"/>
        <w:rPr>
          <w:rFonts w:ascii="Arial" w:hAnsi="Arial" w:cs="Arial"/>
        </w:rPr>
      </w:pPr>
      <w:r w:rsidRPr="00246B33">
        <w:rPr>
          <w:rFonts w:ascii="Arial" w:hAnsi="Arial" w:cs="Arial"/>
        </w:rPr>
        <w:t xml:space="preserve">Az Adó szakrendszer migrációja során az aktuális adóév adatai kerülnek </w:t>
      </w:r>
      <w:proofErr w:type="spellStart"/>
      <w:r w:rsidRPr="00246B33">
        <w:rPr>
          <w:rFonts w:ascii="Arial" w:hAnsi="Arial" w:cs="Arial"/>
        </w:rPr>
        <w:t>átmigrálásra</w:t>
      </w:r>
      <w:proofErr w:type="spellEnd"/>
      <w:r w:rsidRPr="00246B33">
        <w:rPr>
          <w:rFonts w:ascii="Arial" w:hAnsi="Arial" w:cs="Arial"/>
        </w:rPr>
        <w:t xml:space="preserve">, emiatt éles </w:t>
      </w:r>
      <w:r w:rsidR="004C3A0F">
        <w:rPr>
          <w:rFonts w:ascii="Arial" w:hAnsi="Arial" w:cs="Arial"/>
        </w:rPr>
        <w:t xml:space="preserve">az </w:t>
      </w:r>
      <w:r w:rsidRPr="00246B33">
        <w:rPr>
          <w:rFonts w:ascii="Arial" w:hAnsi="Arial" w:cs="Arial"/>
        </w:rPr>
        <w:t>indulást követően az archív évek adóadatai nem lesznek elérhetőek az ASP A</w:t>
      </w:r>
      <w:r w:rsidR="005944DE" w:rsidRPr="00246B33">
        <w:rPr>
          <w:rFonts w:ascii="Arial" w:hAnsi="Arial" w:cs="Arial"/>
        </w:rPr>
        <w:t xml:space="preserve">dó </w:t>
      </w:r>
      <w:r w:rsidRPr="00246B33">
        <w:rPr>
          <w:rFonts w:ascii="Arial" w:hAnsi="Arial" w:cs="Arial"/>
        </w:rPr>
        <w:t>szakrendszerben. Az átállást kö</w:t>
      </w:r>
      <w:r w:rsidR="001925F2" w:rsidRPr="00246B33">
        <w:rPr>
          <w:rFonts w:ascii="Arial" w:hAnsi="Arial" w:cs="Arial"/>
        </w:rPr>
        <w:t>vetően, az előzmény rendszert (Ö</w:t>
      </w:r>
      <w:r w:rsidRPr="00246B33">
        <w:rPr>
          <w:rFonts w:ascii="Arial" w:hAnsi="Arial" w:cs="Arial"/>
        </w:rPr>
        <w:t>NKADO</w:t>
      </w:r>
      <w:proofErr w:type="gramStart"/>
      <w:r w:rsidRPr="00246B33">
        <w:rPr>
          <w:rFonts w:ascii="Arial" w:hAnsi="Arial" w:cs="Arial"/>
        </w:rPr>
        <w:t>)  -</w:t>
      </w:r>
      <w:proofErr w:type="gramEnd"/>
      <w:r w:rsidRPr="00246B33">
        <w:rPr>
          <w:rFonts w:ascii="Arial" w:hAnsi="Arial" w:cs="Arial"/>
        </w:rPr>
        <w:t xml:space="preserve"> még 5 évig, azaz az elévülési idő lejártáig - párhuzamosan működtetni szükséges, mert az archív évek teljes körű lekérdezhetősége csak ezáltal biztosított. </w:t>
      </w:r>
    </w:p>
    <w:p w:rsidR="003909B6" w:rsidRPr="00246B33" w:rsidRDefault="003909B6" w:rsidP="00756EEB">
      <w:pPr>
        <w:pStyle w:val="Listaszerbekezds"/>
        <w:ind w:left="0"/>
        <w:jc w:val="both"/>
        <w:rPr>
          <w:rFonts w:ascii="Arial" w:hAnsi="Arial" w:cs="Arial"/>
        </w:rPr>
      </w:pPr>
    </w:p>
    <w:p w:rsidR="00C90C8F" w:rsidRDefault="00C90C8F" w:rsidP="00C90C8F">
      <w:pPr>
        <w:numPr>
          <w:ilvl w:val="1"/>
          <w:numId w:val="33"/>
        </w:numPr>
        <w:spacing w:before="240" w:after="240"/>
        <w:jc w:val="both"/>
        <w:rPr>
          <w:rFonts w:ascii="Arial" w:hAnsi="Arial" w:cs="Arial"/>
          <w:b/>
        </w:rPr>
      </w:pPr>
      <w:r w:rsidRPr="00FB0978">
        <w:rPr>
          <w:rFonts w:ascii="Arial" w:hAnsi="Arial" w:cs="Arial"/>
          <w:b/>
        </w:rPr>
        <w:t>Építményadó</w:t>
      </w:r>
    </w:p>
    <w:p w:rsidR="007D20F6" w:rsidRPr="00246B33" w:rsidRDefault="007D20F6" w:rsidP="00633A53">
      <w:pPr>
        <w:pStyle w:val="Listaszerbekezds"/>
        <w:spacing w:after="240" w:line="240" w:lineRule="auto"/>
        <w:ind w:left="0"/>
        <w:jc w:val="both"/>
        <w:rPr>
          <w:rFonts w:ascii="Arial" w:hAnsi="Arial" w:cs="Arial"/>
        </w:rPr>
      </w:pPr>
      <w:r w:rsidRPr="00246B33">
        <w:rPr>
          <w:rFonts w:ascii="Arial" w:hAnsi="Arial" w:cs="Arial"/>
        </w:rPr>
        <w:t>Építményadó esetében az adó mértéke 2016. január 1. napjától</w:t>
      </w:r>
      <w:r w:rsidR="0044521B">
        <w:rPr>
          <w:rFonts w:ascii="Arial" w:hAnsi="Arial" w:cs="Arial"/>
        </w:rPr>
        <w:t>:</w:t>
      </w:r>
      <w:r w:rsidRPr="00246B33">
        <w:rPr>
          <w:rFonts w:ascii="Arial" w:hAnsi="Arial" w:cs="Arial"/>
        </w:rPr>
        <w:t xml:space="preserve"> szállásépület, szálláshely - ide nem értve az egyéb szálláshelyet - esetén 1.000 forint/m</w:t>
      </w:r>
      <w:r w:rsidRPr="00246B33">
        <w:rPr>
          <w:rFonts w:ascii="Arial" w:hAnsi="Arial" w:cs="Arial"/>
          <w:vertAlign w:val="superscript"/>
        </w:rPr>
        <w:t>2</w:t>
      </w:r>
      <w:r w:rsidR="0044521B">
        <w:rPr>
          <w:rFonts w:ascii="Arial" w:hAnsi="Arial" w:cs="Arial"/>
        </w:rPr>
        <w:t>/év. K</w:t>
      </w:r>
      <w:r w:rsidRPr="00246B33">
        <w:rPr>
          <w:rFonts w:ascii="Arial" w:hAnsi="Arial" w:cs="Arial"/>
        </w:rPr>
        <w:t xml:space="preserve">ereskedelmi egység, iroda, szolgáltató tevékenység végzésre szolgáló építmény esetén, - ide nem értve az </w:t>
      </w:r>
      <w:r w:rsidRPr="00246B33">
        <w:rPr>
          <w:rFonts w:ascii="Arial" w:hAnsi="Arial" w:cs="Arial"/>
          <w:i/>
          <w:iCs/>
        </w:rPr>
        <w:t>előzőekben említettek</w:t>
      </w:r>
      <w:r w:rsidRPr="00246B33">
        <w:rPr>
          <w:rFonts w:ascii="Arial" w:hAnsi="Arial" w:cs="Arial"/>
        </w:rPr>
        <w:t xml:space="preserve"> hatálya alá tartozó építményeket - 800 forint/m</w:t>
      </w:r>
      <w:r w:rsidRPr="00246B33">
        <w:rPr>
          <w:rFonts w:ascii="Arial" w:hAnsi="Arial" w:cs="Arial"/>
          <w:vertAlign w:val="superscript"/>
        </w:rPr>
        <w:t>2</w:t>
      </w:r>
      <w:r w:rsidR="0044521B">
        <w:rPr>
          <w:rFonts w:ascii="Arial" w:hAnsi="Arial" w:cs="Arial"/>
        </w:rPr>
        <w:t>/év. L</w:t>
      </w:r>
      <w:r w:rsidRPr="00246B33">
        <w:rPr>
          <w:rFonts w:ascii="Arial" w:hAnsi="Arial" w:cs="Arial"/>
        </w:rPr>
        <w:t>akás, lakóépület, a lakáshoz, üdülőhöz tartozó gépjárműtároló és minden más építmény, amely az előző két esetben leírtak hatálya alá nem tartozó építmény esetén 600 forint/m</w:t>
      </w:r>
      <w:r w:rsidRPr="00246B33">
        <w:rPr>
          <w:rFonts w:ascii="Arial" w:hAnsi="Arial" w:cs="Arial"/>
          <w:vertAlign w:val="superscript"/>
        </w:rPr>
        <w:t>2</w:t>
      </w:r>
      <w:r w:rsidRPr="00246B33">
        <w:rPr>
          <w:rFonts w:ascii="Arial" w:hAnsi="Arial" w:cs="Arial"/>
        </w:rPr>
        <w:t>/év.</w:t>
      </w:r>
    </w:p>
    <w:p w:rsidR="007D20F6" w:rsidRPr="00246B33" w:rsidRDefault="007D20F6" w:rsidP="00AC50A4">
      <w:pPr>
        <w:pStyle w:val="Listaszerbekezds"/>
        <w:spacing w:before="240" w:after="240" w:line="240" w:lineRule="auto"/>
        <w:ind w:left="0"/>
        <w:jc w:val="both"/>
        <w:rPr>
          <w:rFonts w:ascii="Arial" w:hAnsi="Arial" w:cs="Arial"/>
        </w:rPr>
      </w:pPr>
      <w:r w:rsidRPr="00246B33">
        <w:rPr>
          <w:rFonts w:ascii="Arial" w:hAnsi="Arial" w:cs="Arial"/>
        </w:rPr>
        <w:t>Építményadó hatálya alá tartozó adózók száma az alábbiak szerint alakult:</w:t>
      </w:r>
    </w:p>
    <w:tbl>
      <w:tblPr>
        <w:tblW w:w="8847" w:type="dxa"/>
        <w:jc w:val="center"/>
        <w:tblCellMar>
          <w:left w:w="70" w:type="dxa"/>
          <w:right w:w="70" w:type="dxa"/>
        </w:tblCellMar>
        <w:tblLook w:val="04A0" w:firstRow="1" w:lastRow="0" w:firstColumn="1" w:lastColumn="0" w:noHBand="0" w:noVBand="1"/>
      </w:tblPr>
      <w:tblGrid>
        <w:gridCol w:w="4425"/>
        <w:gridCol w:w="4422"/>
      </w:tblGrid>
      <w:tr w:rsidR="007D20F6" w:rsidRPr="00A547AA" w:rsidTr="00BA03D2">
        <w:trPr>
          <w:trHeight w:val="702"/>
          <w:jc w:val="center"/>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adózók száma ismétlődések nélkül (fő)</w:t>
            </w:r>
          </w:p>
        </w:tc>
        <w:tc>
          <w:tcPr>
            <w:tcW w:w="4422"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adózók részére történt kivetések száma (fő)</w:t>
            </w:r>
          </w:p>
        </w:tc>
      </w:tr>
      <w:tr w:rsidR="00A547AA" w:rsidRPr="00A547AA" w:rsidTr="00BA03D2">
        <w:trPr>
          <w:trHeight w:val="255"/>
          <w:jc w:val="center"/>
        </w:trPr>
        <w:tc>
          <w:tcPr>
            <w:tcW w:w="4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4 000</w:t>
            </w:r>
          </w:p>
        </w:tc>
        <w:tc>
          <w:tcPr>
            <w:tcW w:w="4422"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6 265</w:t>
            </w:r>
          </w:p>
        </w:tc>
      </w:tr>
      <w:tr w:rsidR="007D20F6" w:rsidRPr="00A547AA" w:rsidTr="00BA03D2">
        <w:trPr>
          <w:trHeight w:val="1226"/>
          <w:jc w:val="center"/>
        </w:trPr>
        <w:tc>
          <w:tcPr>
            <w:tcW w:w="4425" w:type="dxa"/>
            <w:tcBorders>
              <w:top w:val="single" w:sz="4" w:space="0" w:color="auto"/>
              <w:left w:val="single" w:sz="4" w:space="0" w:color="auto"/>
              <w:bottom w:val="single" w:sz="4" w:space="0" w:color="auto"/>
              <w:right w:val="single" w:sz="4" w:space="0" w:color="auto"/>
            </w:tcBorders>
            <w:shd w:val="clear" w:color="auto" w:fill="auto"/>
            <w:hideMark/>
          </w:tcPr>
          <w:p w:rsidR="007D20F6" w:rsidRPr="00A547AA" w:rsidRDefault="007D20F6" w:rsidP="00BA03D2">
            <w:pPr>
              <w:spacing w:after="0" w:line="240" w:lineRule="auto"/>
              <w:rPr>
                <w:rFonts w:ascii="Arial" w:eastAsia="Times New Roman" w:hAnsi="Arial" w:cs="Arial"/>
                <w:lang w:eastAsia="hu-HU"/>
              </w:rPr>
            </w:pPr>
            <w:r w:rsidRPr="00A547AA">
              <w:rPr>
                <w:rFonts w:ascii="Arial" w:eastAsia="Times New Roman" w:hAnsi="Arial" w:cs="Arial"/>
                <w:lang w:eastAsia="hu-HU"/>
              </w:rPr>
              <w:t>A több ingatlannal, vagy ingatlanon belül több jellegű építménnyel (pl. garázs, gazdasági épület, üzlet, stb.) rendelkezők kiszűrésre kerültek.</w:t>
            </w:r>
          </w:p>
        </w:tc>
        <w:tc>
          <w:tcPr>
            <w:tcW w:w="4422" w:type="dxa"/>
            <w:tcBorders>
              <w:top w:val="single" w:sz="4" w:space="0" w:color="auto"/>
              <w:left w:val="nil"/>
              <w:bottom w:val="single" w:sz="4" w:space="0" w:color="auto"/>
              <w:right w:val="single" w:sz="4" w:space="0" w:color="auto"/>
            </w:tcBorders>
            <w:shd w:val="clear" w:color="auto" w:fill="auto"/>
            <w:hideMark/>
          </w:tcPr>
          <w:p w:rsidR="007D20F6" w:rsidRPr="00A547AA" w:rsidRDefault="007D20F6" w:rsidP="00BA03D2">
            <w:pPr>
              <w:spacing w:after="0" w:line="240" w:lineRule="auto"/>
              <w:rPr>
                <w:rFonts w:ascii="Arial" w:eastAsia="Times New Roman" w:hAnsi="Arial" w:cs="Arial"/>
                <w:lang w:eastAsia="hu-HU"/>
              </w:rPr>
            </w:pPr>
            <w:r w:rsidRPr="00A547AA">
              <w:rPr>
                <w:rFonts w:ascii="Arial" w:eastAsia="Times New Roman" w:hAnsi="Arial" w:cs="Arial"/>
                <w:lang w:eastAsia="hu-HU"/>
              </w:rPr>
              <w:t>Az adat ismétlődéseket tartalmaz, mert több adózó esetén előfordul, hogy több ingatlannal, vagy ingatlanon belül több jellegű építménnyel (pl. garázs, gazdasági épület, üzlet, stb.) rendelkezik.</w:t>
            </w:r>
          </w:p>
        </w:tc>
      </w:tr>
    </w:tbl>
    <w:p w:rsidR="007D20F6" w:rsidRPr="00A547AA" w:rsidRDefault="007D20F6" w:rsidP="00633A53">
      <w:pPr>
        <w:pStyle w:val="Listaszerbekezds"/>
        <w:spacing w:before="240" w:after="240" w:line="240" w:lineRule="auto"/>
        <w:ind w:left="142"/>
        <w:jc w:val="both"/>
        <w:rPr>
          <w:rFonts w:ascii="Arial" w:hAnsi="Arial" w:cs="Arial"/>
        </w:rPr>
      </w:pPr>
      <w:r w:rsidRPr="00A547AA">
        <w:rPr>
          <w:rFonts w:ascii="Arial" w:hAnsi="Arial" w:cs="Arial"/>
        </w:rPr>
        <w:t xml:space="preserve"> Az adótárgyak száma a következő:</w:t>
      </w:r>
    </w:p>
    <w:tbl>
      <w:tblPr>
        <w:tblW w:w="8950" w:type="dxa"/>
        <w:jc w:val="center"/>
        <w:tblCellMar>
          <w:left w:w="70" w:type="dxa"/>
          <w:right w:w="70" w:type="dxa"/>
        </w:tblCellMar>
        <w:tblLook w:val="04A0" w:firstRow="1" w:lastRow="0" w:firstColumn="1" w:lastColumn="0" w:noHBand="0" w:noVBand="1"/>
      </w:tblPr>
      <w:tblGrid>
        <w:gridCol w:w="4476"/>
        <w:gridCol w:w="4474"/>
      </w:tblGrid>
      <w:tr w:rsidR="007D20F6" w:rsidRPr="00A547AA" w:rsidTr="00BA03D2">
        <w:trPr>
          <w:trHeight w:val="702"/>
          <w:jc w:val="center"/>
        </w:trPr>
        <w:tc>
          <w:tcPr>
            <w:tcW w:w="4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0F6" w:rsidRPr="00A547AA" w:rsidRDefault="0044521B" w:rsidP="0044521B">
            <w:pPr>
              <w:spacing w:after="0" w:line="240" w:lineRule="auto"/>
              <w:jc w:val="center"/>
              <w:rPr>
                <w:rFonts w:ascii="Arial" w:eastAsia="Times New Roman" w:hAnsi="Arial" w:cs="Arial"/>
                <w:b/>
                <w:bCs/>
                <w:lang w:eastAsia="hu-HU"/>
              </w:rPr>
            </w:pPr>
            <w:r>
              <w:rPr>
                <w:rFonts w:ascii="Arial" w:eastAsia="Times New Roman" w:hAnsi="Arial" w:cs="Arial"/>
                <w:b/>
                <w:bCs/>
                <w:lang w:eastAsia="hu-HU"/>
              </w:rPr>
              <w:t>nyilvántartásban</w:t>
            </w:r>
            <w:r w:rsidR="007D20F6" w:rsidRPr="00A547AA">
              <w:rPr>
                <w:rFonts w:ascii="Arial" w:eastAsia="Times New Roman" w:hAnsi="Arial" w:cs="Arial"/>
                <w:b/>
                <w:bCs/>
                <w:lang w:eastAsia="hu-HU"/>
              </w:rPr>
              <w:t xml:space="preserve"> különböző helyrajzi számon lévő ingatlanok száma (db)</w:t>
            </w:r>
          </w:p>
        </w:tc>
        <w:tc>
          <w:tcPr>
            <w:tcW w:w="4474"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44521B" w:rsidP="0044521B">
            <w:pPr>
              <w:spacing w:after="0" w:line="240" w:lineRule="auto"/>
              <w:jc w:val="center"/>
              <w:rPr>
                <w:rFonts w:ascii="Arial" w:eastAsia="Times New Roman" w:hAnsi="Arial" w:cs="Arial"/>
                <w:b/>
                <w:bCs/>
                <w:lang w:eastAsia="hu-HU"/>
              </w:rPr>
            </w:pPr>
            <w:r>
              <w:rPr>
                <w:rFonts w:ascii="Arial" w:eastAsia="Times New Roman" w:hAnsi="Arial" w:cs="Arial"/>
                <w:b/>
                <w:bCs/>
                <w:lang w:eastAsia="hu-HU"/>
              </w:rPr>
              <w:t>nyilvántartásban</w:t>
            </w:r>
            <w:r w:rsidRPr="00A547AA">
              <w:rPr>
                <w:rFonts w:ascii="Arial" w:eastAsia="Times New Roman" w:hAnsi="Arial" w:cs="Arial"/>
                <w:b/>
                <w:bCs/>
                <w:lang w:eastAsia="hu-HU"/>
              </w:rPr>
              <w:t xml:space="preserve"> </w:t>
            </w:r>
            <w:r w:rsidR="007D20F6" w:rsidRPr="00A547AA">
              <w:rPr>
                <w:rFonts w:ascii="Arial" w:eastAsia="Times New Roman" w:hAnsi="Arial" w:cs="Arial"/>
                <w:b/>
                <w:bCs/>
                <w:lang w:eastAsia="hu-HU"/>
              </w:rPr>
              <w:t>lévő ingatlanokra vonatkozó kivetések száma (db)</w:t>
            </w:r>
          </w:p>
        </w:tc>
      </w:tr>
      <w:tr w:rsidR="00A547AA" w:rsidRPr="00A547AA" w:rsidTr="00BA03D2">
        <w:trPr>
          <w:trHeight w:val="255"/>
          <w:jc w:val="center"/>
        </w:trPr>
        <w:tc>
          <w:tcPr>
            <w:tcW w:w="44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3 932</w:t>
            </w:r>
          </w:p>
        </w:tc>
        <w:tc>
          <w:tcPr>
            <w:tcW w:w="4474"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6 265</w:t>
            </w:r>
          </w:p>
        </w:tc>
      </w:tr>
      <w:tr w:rsidR="007D20F6" w:rsidRPr="00A547AA" w:rsidTr="00BA03D2">
        <w:trPr>
          <w:trHeight w:val="729"/>
          <w:jc w:val="center"/>
        </w:trPr>
        <w:tc>
          <w:tcPr>
            <w:tcW w:w="4476" w:type="dxa"/>
            <w:tcBorders>
              <w:top w:val="single" w:sz="4" w:space="0" w:color="auto"/>
              <w:left w:val="single" w:sz="4" w:space="0" w:color="auto"/>
              <w:bottom w:val="single" w:sz="4" w:space="0" w:color="auto"/>
              <w:right w:val="single" w:sz="4" w:space="0" w:color="auto"/>
            </w:tcBorders>
            <w:shd w:val="clear" w:color="auto" w:fill="auto"/>
            <w:hideMark/>
          </w:tcPr>
          <w:p w:rsidR="007D20F6" w:rsidRPr="00A547AA" w:rsidRDefault="007D20F6" w:rsidP="00BA03D2">
            <w:pPr>
              <w:spacing w:after="0" w:line="240" w:lineRule="auto"/>
              <w:rPr>
                <w:rFonts w:ascii="Arial" w:eastAsia="Times New Roman" w:hAnsi="Arial" w:cs="Arial"/>
                <w:lang w:eastAsia="hu-HU"/>
              </w:rPr>
            </w:pPr>
            <w:r w:rsidRPr="00A547AA">
              <w:rPr>
                <w:rFonts w:ascii="Arial" w:eastAsia="Times New Roman" w:hAnsi="Arial" w:cs="Arial"/>
                <w:lang w:eastAsia="hu-HU"/>
              </w:rPr>
              <w:t xml:space="preserve">Egy helyrajzi számon lévő, a főépülettől különböző jellegű építményeket (pl. garázs, gazdasági épület, stb.) nem tartalmazza. </w:t>
            </w:r>
          </w:p>
        </w:tc>
        <w:tc>
          <w:tcPr>
            <w:tcW w:w="4474" w:type="dxa"/>
            <w:tcBorders>
              <w:top w:val="single" w:sz="4" w:space="0" w:color="auto"/>
              <w:left w:val="nil"/>
              <w:bottom w:val="single" w:sz="4" w:space="0" w:color="auto"/>
              <w:right w:val="single" w:sz="4" w:space="0" w:color="auto"/>
            </w:tcBorders>
            <w:shd w:val="clear" w:color="auto" w:fill="auto"/>
            <w:hideMark/>
          </w:tcPr>
          <w:p w:rsidR="007D20F6" w:rsidRPr="00A547AA" w:rsidRDefault="007D20F6" w:rsidP="00BA03D2">
            <w:pPr>
              <w:spacing w:after="0" w:line="240" w:lineRule="auto"/>
              <w:rPr>
                <w:rFonts w:ascii="Arial" w:eastAsia="Times New Roman" w:hAnsi="Arial" w:cs="Arial"/>
                <w:lang w:eastAsia="hu-HU"/>
              </w:rPr>
            </w:pPr>
            <w:r w:rsidRPr="00A547AA">
              <w:rPr>
                <w:rFonts w:ascii="Arial" w:eastAsia="Times New Roman" w:hAnsi="Arial" w:cs="Arial"/>
                <w:lang w:eastAsia="hu-HU"/>
              </w:rPr>
              <w:t>Az ingatlanok számában a résztulajdonok miatt ismétlődések szerepelnek. Azonos helyrajzi számon más-más jellegű építmények is előfordulnak.</w:t>
            </w:r>
          </w:p>
        </w:tc>
      </w:tr>
    </w:tbl>
    <w:p w:rsidR="007D20F6" w:rsidRPr="00A547AA" w:rsidRDefault="007D20F6" w:rsidP="00E4607D">
      <w:pPr>
        <w:spacing w:before="240" w:after="120" w:line="240" w:lineRule="auto"/>
        <w:jc w:val="both"/>
        <w:rPr>
          <w:rFonts w:ascii="Arial" w:hAnsi="Arial" w:cs="Arial"/>
        </w:rPr>
      </w:pPr>
      <w:r w:rsidRPr="00A547AA">
        <w:rPr>
          <w:rFonts w:ascii="Arial" w:hAnsi="Arial" w:cs="Arial"/>
        </w:rPr>
        <w:lastRenderedPageBreak/>
        <w:t>Az adóbevallások alapján jelenleg adókötelezettség alá eső terület:</w:t>
      </w:r>
    </w:p>
    <w:tbl>
      <w:tblPr>
        <w:tblW w:w="8925" w:type="dxa"/>
        <w:jc w:val="center"/>
        <w:tblCellMar>
          <w:left w:w="70" w:type="dxa"/>
          <w:right w:w="70" w:type="dxa"/>
        </w:tblCellMar>
        <w:tblLook w:val="04A0" w:firstRow="1" w:lastRow="0" w:firstColumn="1" w:lastColumn="0" w:noHBand="0" w:noVBand="1"/>
      </w:tblPr>
      <w:tblGrid>
        <w:gridCol w:w="4564"/>
        <w:gridCol w:w="4361"/>
      </w:tblGrid>
      <w:tr w:rsidR="007D20F6" w:rsidRPr="00A547AA" w:rsidTr="00BA03D2">
        <w:trPr>
          <w:trHeight w:val="519"/>
          <w:jc w:val="center"/>
        </w:trPr>
        <w:tc>
          <w:tcPr>
            <w:tcW w:w="4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építmények összes alapterülete (m</w:t>
            </w:r>
            <w:r w:rsidRPr="00A547AA">
              <w:rPr>
                <w:rFonts w:ascii="Arial" w:eastAsia="Times New Roman" w:hAnsi="Arial" w:cs="Arial"/>
                <w:b/>
                <w:bCs/>
                <w:vertAlign w:val="superscript"/>
                <w:lang w:eastAsia="hu-HU"/>
              </w:rPr>
              <w:t>2</w:t>
            </w:r>
            <w:r w:rsidRPr="00A547AA">
              <w:rPr>
                <w:rFonts w:ascii="Arial" w:eastAsia="Times New Roman" w:hAnsi="Arial" w:cs="Arial"/>
                <w:b/>
                <w:bCs/>
                <w:lang w:eastAsia="hu-HU"/>
              </w:rPr>
              <w:t>)</w:t>
            </w:r>
          </w:p>
        </w:tc>
        <w:tc>
          <w:tcPr>
            <w:tcW w:w="4361"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E31EDF" w:rsidP="00BA03D2">
            <w:pPr>
              <w:spacing w:after="0" w:line="240" w:lineRule="auto"/>
              <w:jc w:val="center"/>
              <w:rPr>
                <w:rFonts w:ascii="Arial" w:eastAsia="Times New Roman" w:hAnsi="Arial" w:cs="Arial"/>
                <w:b/>
                <w:bCs/>
                <w:lang w:eastAsia="hu-HU"/>
              </w:rPr>
            </w:pPr>
            <w:r>
              <w:rPr>
                <w:rFonts w:ascii="Arial" w:eastAsia="Times New Roman" w:hAnsi="Arial" w:cs="Arial"/>
                <w:b/>
                <w:bCs/>
                <w:lang w:eastAsia="hu-HU"/>
              </w:rPr>
              <w:t>tulajdoni hányad</w:t>
            </w:r>
            <w:r w:rsidR="007D20F6" w:rsidRPr="00A547AA">
              <w:rPr>
                <w:rFonts w:ascii="Arial" w:eastAsia="Times New Roman" w:hAnsi="Arial" w:cs="Arial"/>
                <w:b/>
                <w:bCs/>
                <w:lang w:eastAsia="hu-HU"/>
              </w:rPr>
              <w:t xml:space="preserve"> szerinti terület (m</w:t>
            </w:r>
            <w:r w:rsidR="007D20F6" w:rsidRPr="00A547AA">
              <w:rPr>
                <w:rFonts w:ascii="Arial" w:eastAsia="Times New Roman" w:hAnsi="Arial" w:cs="Arial"/>
                <w:b/>
                <w:bCs/>
                <w:vertAlign w:val="superscript"/>
                <w:lang w:eastAsia="hu-HU"/>
              </w:rPr>
              <w:t>2</w:t>
            </w:r>
            <w:r w:rsidR="007D20F6" w:rsidRPr="00A547AA">
              <w:rPr>
                <w:rFonts w:ascii="Arial" w:eastAsia="Times New Roman" w:hAnsi="Arial" w:cs="Arial"/>
                <w:b/>
                <w:bCs/>
                <w:lang w:eastAsia="hu-HU"/>
              </w:rPr>
              <w:t>)</w:t>
            </w:r>
          </w:p>
        </w:tc>
      </w:tr>
      <w:tr w:rsidR="007D20F6" w:rsidRPr="00A547AA" w:rsidTr="00BA03D2">
        <w:trPr>
          <w:trHeight w:val="255"/>
          <w:jc w:val="center"/>
        </w:trPr>
        <w:tc>
          <w:tcPr>
            <w:tcW w:w="4564" w:type="dxa"/>
            <w:tcBorders>
              <w:top w:val="nil"/>
              <w:left w:val="single" w:sz="4" w:space="0" w:color="auto"/>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596 600,67</w:t>
            </w:r>
          </w:p>
        </w:tc>
        <w:tc>
          <w:tcPr>
            <w:tcW w:w="4361"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558 842,93</w:t>
            </w:r>
          </w:p>
        </w:tc>
      </w:tr>
    </w:tbl>
    <w:p w:rsidR="007D20F6" w:rsidRPr="00A547AA" w:rsidRDefault="007D20F6" w:rsidP="00633A53">
      <w:pPr>
        <w:pStyle w:val="Listaszerbekezds"/>
        <w:spacing w:before="120" w:after="120" w:line="240" w:lineRule="auto"/>
        <w:ind w:left="0"/>
        <w:jc w:val="both"/>
        <w:rPr>
          <w:rFonts w:ascii="Arial" w:hAnsi="Arial" w:cs="Arial"/>
        </w:rPr>
      </w:pPr>
      <w:r w:rsidRPr="00A547AA">
        <w:rPr>
          <w:rFonts w:ascii="Arial" w:hAnsi="Arial" w:cs="Arial"/>
        </w:rPr>
        <w:t xml:space="preserve">A hatályos 4/2010. (II.10.) önkormányzati rendelet – a továbbiakban: </w:t>
      </w:r>
      <w:proofErr w:type="spellStart"/>
      <w:r w:rsidRPr="00A547AA">
        <w:rPr>
          <w:rFonts w:ascii="Arial" w:hAnsi="Arial" w:cs="Arial"/>
        </w:rPr>
        <w:t>Ör</w:t>
      </w:r>
      <w:proofErr w:type="spellEnd"/>
      <w:r w:rsidRPr="00A547AA">
        <w:rPr>
          <w:rFonts w:ascii="Arial" w:hAnsi="Arial" w:cs="Arial"/>
        </w:rPr>
        <w:t xml:space="preserve">. - 5. § (1) bekezdése adókedvezményt biztosít a magánszemély tulajdonosoknak, (illetve a Helyi adó tv. </w:t>
      </w:r>
      <w:proofErr w:type="gramStart"/>
      <w:r w:rsidRPr="00A547AA">
        <w:rPr>
          <w:rFonts w:ascii="Arial" w:hAnsi="Arial" w:cs="Arial"/>
        </w:rPr>
        <w:t>szerint</w:t>
      </w:r>
      <w:proofErr w:type="gramEnd"/>
      <w:r w:rsidRPr="00A547AA">
        <w:rPr>
          <w:rFonts w:ascii="Arial" w:hAnsi="Arial" w:cs="Arial"/>
        </w:rPr>
        <w:t xml:space="preserve"> az ingatlanra bejegyzett vagyoni értékű jog jogosultjainak) – tulajdonuk arányában – a lakásul szolgáló ingatlanuk, és a lakáshoz tartozó rendeltetésszerűen használt gépjárműtároló után.</w:t>
      </w:r>
    </w:p>
    <w:p w:rsidR="003909B6" w:rsidRDefault="003909B6" w:rsidP="00BA03D2">
      <w:pPr>
        <w:pStyle w:val="Listaszerbekezds"/>
        <w:spacing w:before="240" w:after="240" w:line="240" w:lineRule="auto"/>
        <w:ind w:left="0"/>
        <w:jc w:val="both"/>
        <w:rPr>
          <w:rFonts w:ascii="Arial" w:hAnsi="Arial" w:cs="Arial"/>
        </w:rPr>
      </w:pPr>
    </w:p>
    <w:p w:rsidR="007D20F6" w:rsidRPr="00A547AA" w:rsidRDefault="007D20F6" w:rsidP="00BA03D2">
      <w:pPr>
        <w:pStyle w:val="Listaszerbekezds"/>
        <w:spacing w:before="240" w:after="240" w:line="240" w:lineRule="auto"/>
        <w:ind w:left="0"/>
        <w:jc w:val="both"/>
        <w:rPr>
          <w:rFonts w:ascii="Arial" w:hAnsi="Arial" w:cs="Arial"/>
        </w:rPr>
      </w:pPr>
      <w:r w:rsidRPr="00A547AA">
        <w:rPr>
          <w:rFonts w:ascii="Arial" w:hAnsi="Arial" w:cs="Arial"/>
        </w:rPr>
        <w:t xml:space="preserve">Az építményadó bevételek az </w:t>
      </w:r>
      <w:proofErr w:type="spellStart"/>
      <w:r w:rsidRPr="00A547AA">
        <w:rPr>
          <w:rFonts w:ascii="Arial" w:hAnsi="Arial" w:cs="Arial"/>
        </w:rPr>
        <w:t>Ör.-ben</w:t>
      </w:r>
      <w:proofErr w:type="spellEnd"/>
      <w:r w:rsidRPr="00A547AA">
        <w:rPr>
          <w:rFonts w:ascii="Arial" w:hAnsi="Arial" w:cs="Arial"/>
        </w:rPr>
        <w:t xml:space="preserve"> szereplő adómértékek szerinti bontásban:</w:t>
      </w:r>
    </w:p>
    <w:tbl>
      <w:tblPr>
        <w:tblW w:w="8600" w:type="dxa"/>
        <w:jc w:val="center"/>
        <w:tblCellMar>
          <w:left w:w="70" w:type="dxa"/>
          <w:right w:w="70" w:type="dxa"/>
        </w:tblCellMar>
        <w:tblLook w:val="04A0" w:firstRow="1" w:lastRow="0" w:firstColumn="1" w:lastColumn="0" w:noHBand="0" w:noVBand="1"/>
      </w:tblPr>
      <w:tblGrid>
        <w:gridCol w:w="1720"/>
        <w:gridCol w:w="1720"/>
        <w:gridCol w:w="1720"/>
        <w:gridCol w:w="1720"/>
        <w:gridCol w:w="1720"/>
      </w:tblGrid>
      <w:tr w:rsidR="007D20F6" w:rsidRPr="00A547AA" w:rsidTr="00BA03D2">
        <w:trPr>
          <w:trHeight w:val="540"/>
          <w:jc w:val="center"/>
        </w:trPr>
        <w:tc>
          <w:tcPr>
            <w:tcW w:w="17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D20F6" w:rsidRDefault="0029175B" w:rsidP="00BA03D2">
            <w:pPr>
              <w:spacing w:after="0" w:line="240" w:lineRule="auto"/>
              <w:jc w:val="center"/>
              <w:rPr>
                <w:rFonts w:ascii="Arial" w:eastAsia="Times New Roman" w:hAnsi="Arial" w:cs="Arial"/>
                <w:b/>
                <w:bCs/>
                <w:lang w:eastAsia="hu-HU"/>
              </w:rPr>
            </w:pPr>
            <w:r>
              <w:rPr>
                <w:rFonts w:ascii="Arial" w:eastAsia="Times New Roman" w:hAnsi="Arial" w:cs="Arial"/>
                <w:b/>
                <w:bCs/>
                <w:lang w:eastAsia="hu-HU"/>
              </w:rPr>
              <w:t>kivethető</w:t>
            </w:r>
            <w:r w:rsidR="007D20F6" w:rsidRPr="00A547AA">
              <w:rPr>
                <w:rFonts w:ascii="Arial" w:eastAsia="Times New Roman" w:hAnsi="Arial" w:cs="Arial"/>
                <w:b/>
                <w:bCs/>
                <w:lang w:eastAsia="hu-HU"/>
              </w:rPr>
              <w:t xml:space="preserve"> adóbevétel (Ft)</w:t>
            </w:r>
          </w:p>
          <w:p w:rsidR="0029175B" w:rsidRPr="00A547AA" w:rsidRDefault="0029175B" w:rsidP="00BA03D2">
            <w:pPr>
              <w:spacing w:after="0" w:line="240" w:lineRule="auto"/>
              <w:jc w:val="center"/>
              <w:rPr>
                <w:rFonts w:ascii="Arial" w:eastAsia="Times New Roman" w:hAnsi="Arial" w:cs="Arial"/>
                <w:b/>
                <w:bCs/>
                <w:lang w:eastAsia="hu-HU"/>
              </w:rPr>
            </w:pP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adómérték (Ft/m</w:t>
            </w:r>
            <w:r w:rsidRPr="00A547AA">
              <w:rPr>
                <w:rFonts w:ascii="Arial" w:eastAsia="Times New Roman" w:hAnsi="Arial" w:cs="Arial"/>
                <w:b/>
                <w:bCs/>
                <w:vertAlign w:val="superscript"/>
                <w:lang w:eastAsia="hu-HU"/>
              </w:rPr>
              <w:t>2</w:t>
            </w:r>
            <w:r w:rsidRPr="00A547AA">
              <w:rPr>
                <w:rFonts w:ascii="Arial" w:eastAsia="Times New Roman" w:hAnsi="Arial" w:cs="Arial"/>
                <w:b/>
                <w:bCs/>
                <w:lang w:eastAsia="hu-HU"/>
              </w:rPr>
              <w:t>/év)</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db</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E31EDF" w:rsidP="00E31EDF">
            <w:pPr>
              <w:spacing w:after="0" w:line="240" w:lineRule="auto"/>
              <w:jc w:val="center"/>
              <w:rPr>
                <w:rFonts w:ascii="Arial" w:eastAsia="Times New Roman" w:hAnsi="Arial" w:cs="Arial"/>
                <w:b/>
                <w:bCs/>
                <w:lang w:eastAsia="hu-HU"/>
              </w:rPr>
            </w:pPr>
            <w:r>
              <w:rPr>
                <w:rFonts w:ascii="Arial" w:eastAsia="Times New Roman" w:hAnsi="Arial" w:cs="Arial"/>
                <w:b/>
                <w:bCs/>
                <w:lang w:eastAsia="hu-HU"/>
              </w:rPr>
              <w:t>tulajdoni hányad</w:t>
            </w:r>
            <w:r w:rsidRPr="00A547AA">
              <w:rPr>
                <w:rFonts w:ascii="Arial" w:eastAsia="Times New Roman" w:hAnsi="Arial" w:cs="Arial"/>
                <w:b/>
                <w:bCs/>
                <w:lang w:eastAsia="hu-HU"/>
              </w:rPr>
              <w:t xml:space="preserve"> </w:t>
            </w:r>
            <w:r w:rsidR="007D20F6" w:rsidRPr="00A547AA">
              <w:rPr>
                <w:rFonts w:ascii="Arial" w:eastAsia="Times New Roman" w:hAnsi="Arial" w:cs="Arial"/>
                <w:b/>
                <w:bCs/>
                <w:lang w:eastAsia="hu-HU"/>
              </w:rPr>
              <w:t>(m</w:t>
            </w:r>
            <w:r w:rsidR="007D20F6" w:rsidRPr="00A547AA">
              <w:rPr>
                <w:rFonts w:ascii="Arial" w:eastAsia="Times New Roman" w:hAnsi="Arial" w:cs="Arial"/>
                <w:b/>
                <w:bCs/>
                <w:vertAlign w:val="superscript"/>
                <w:lang w:eastAsia="hu-HU"/>
              </w:rPr>
              <w:t>2</w:t>
            </w:r>
            <w:r w:rsidR="007D20F6" w:rsidRPr="00A547AA">
              <w:rPr>
                <w:rFonts w:ascii="Arial" w:eastAsia="Times New Roman" w:hAnsi="Arial" w:cs="Arial"/>
                <w:b/>
                <w:bCs/>
                <w:lang w:eastAsia="hu-HU"/>
              </w:rPr>
              <w:t>)</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építményadó (Ft)</w:t>
            </w:r>
          </w:p>
        </w:tc>
      </w:tr>
      <w:tr w:rsidR="007D20F6" w:rsidRPr="00A547AA" w:rsidTr="00BA03D2">
        <w:trPr>
          <w:trHeight w:val="255"/>
          <w:jc w:val="center"/>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7D20F6" w:rsidRPr="00A547AA" w:rsidRDefault="007D20F6" w:rsidP="00BA03D2">
            <w:pPr>
              <w:spacing w:after="0" w:line="240" w:lineRule="auto"/>
              <w:rPr>
                <w:rFonts w:ascii="Arial" w:eastAsia="Times New Roman" w:hAnsi="Arial" w:cs="Arial"/>
                <w:b/>
                <w:bCs/>
                <w:lang w:eastAsia="hu-HU"/>
              </w:rPr>
            </w:pP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lang w:eastAsia="hu-HU"/>
              </w:rPr>
            </w:pPr>
            <w:r w:rsidRPr="00A547AA">
              <w:rPr>
                <w:rFonts w:ascii="Arial" w:eastAsia="Times New Roman" w:hAnsi="Arial" w:cs="Arial"/>
                <w:lang w:eastAsia="hu-HU"/>
              </w:rPr>
              <w:t>600</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5 737</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239 840,07</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143 904 042</w:t>
            </w:r>
          </w:p>
        </w:tc>
      </w:tr>
      <w:tr w:rsidR="007D20F6" w:rsidRPr="00A547AA" w:rsidTr="00BA03D2">
        <w:trPr>
          <w:trHeight w:val="255"/>
          <w:jc w:val="center"/>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7D20F6" w:rsidRPr="00A547AA" w:rsidRDefault="007D20F6" w:rsidP="00BA03D2">
            <w:pPr>
              <w:spacing w:after="0" w:line="240" w:lineRule="auto"/>
              <w:rPr>
                <w:rFonts w:ascii="Arial" w:eastAsia="Times New Roman" w:hAnsi="Arial" w:cs="Arial"/>
                <w:b/>
                <w:bCs/>
                <w:lang w:eastAsia="hu-HU"/>
              </w:rPr>
            </w:pP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lang w:eastAsia="hu-HU"/>
              </w:rPr>
            </w:pPr>
            <w:r w:rsidRPr="00A547AA">
              <w:rPr>
                <w:rFonts w:ascii="Arial" w:eastAsia="Times New Roman" w:hAnsi="Arial" w:cs="Arial"/>
                <w:lang w:eastAsia="hu-HU"/>
              </w:rPr>
              <w:t>800</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484</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40 413,26</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32 330 608</w:t>
            </w:r>
          </w:p>
        </w:tc>
      </w:tr>
      <w:tr w:rsidR="00A547AA" w:rsidRPr="00A547AA" w:rsidTr="00BA03D2">
        <w:trPr>
          <w:trHeight w:val="255"/>
          <w:jc w:val="center"/>
        </w:trPr>
        <w:tc>
          <w:tcPr>
            <w:tcW w:w="1720" w:type="dxa"/>
            <w:vMerge/>
            <w:tcBorders>
              <w:top w:val="single" w:sz="4" w:space="0" w:color="auto"/>
              <w:left w:val="single" w:sz="4" w:space="0" w:color="auto"/>
              <w:bottom w:val="single" w:sz="4" w:space="0" w:color="000000"/>
              <w:right w:val="single" w:sz="4" w:space="0" w:color="auto"/>
            </w:tcBorders>
            <w:vAlign w:val="center"/>
            <w:hideMark/>
          </w:tcPr>
          <w:p w:rsidR="007D20F6" w:rsidRPr="00A547AA" w:rsidRDefault="007D20F6" w:rsidP="00BA03D2">
            <w:pPr>
              <w:spacing w:after="0" w:line="240" w:lineRule="auto"/>
              <w:rPr>
                <w:rFonts w:ascii="Arial" w:eastAsia="Times New Roman" w:hAnsi="Arial" w:cs="Arial"/>
                <w:b/>
                <w:bCs/>
                <w:lang w:eastAsia="hu-HU"/>
              </w:rPr>
            </w:pP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lang w:eastAsia="hu-HU"/>
              </w:rPr>
            </w:pPr>
            <w:r w:rsidRPr="00A547AA">
              <w:rPr>
                <w:rFonts w:ascii="Arial" w:eastAsia="Times New Roman" w:hAnsi="Arial" w:cs="Arial"/>
                <w:lang w:eastAsia="hu-HU"/>
              </w:rPr>
              <w:t>1 000</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44</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118 005,49</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lang w:eastAsia="hu-HU"/>
              </w:rPr>
            </w:pPr>
            <w:r w:rsidRPr="00A547AA">
              <w:rPr>
                <w:rFonts w:ascii="Arial" w:eastAsia="Times New Roman" w:hAnsi="Arial" w:cs="Arial"/>
                <w:lang w:eastAsia="hu-HU"/>
              </w:rPr>
              <w:t>118 005 490</w:t>
            </w:r>
          </w:p>
        </w:tc>
      </w:tr>
      <w:tr w:rsidR="007D20F6" w:rsidRPr="00A547AA" w:rsidTr="00BA03D2">
        <w:trPr>
          <w:trHeight w:val="300"/>
          <w:jc w:val="center"/>
        </w:trPr>
        <w:tc>
          <w:tcPr>
            <w:tcW w:w="34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7D20F6" w:rsidRPr="00A547AA" w:rsidRDefault="007D20F6" w:rsidP="00BA03D2">
            <w:pPr>
              <w:spacing w:after="0" w:line="240" w:lineRule="auto"/>
              <w:jc w:val="center"/>
              <w:rPr>
                <w:rFonts w:ascii="Arial" w:eastAsia="Times New Roman" w:hAnsi="Arial" w:cs="Arial"/>
                <w:b/>
                <w:bCs/>
                <w:lang w:eastAsia="hu-HU"/>
              </w:rPr>
            </w:pPr>
            <w:r w:rsidRPr="00A547AA">
              <w:rPr>
                <w:rFonts w:ascii="Arial" w:eastAsia="Times New Roman" w:hAnsi="Arial" w:cs="Arial"/>
                <w:b/>
                <w:bCs/>
                <w:lang w:eastAsia="hu-HU"/>
              </w:rPr>
              <w:t>összesen:</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6 265</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398 258,82</w:t>
            </w:r>
          </w:p>
        </w:tc>
        <w:tc>
          <w:tcPr>
            <w:tcW w:w="1720" w:type="dxa"/>
            <w:tcBorders>
              <w:top w:val="nil"/>
              <w:left w:val="nil"/>
              <w:bottom w:val="single" w:sz="4" w:space="0" w:color="auto"/>
              <w:right w:val="single" w:sz="4" w:space="0" w:color="auto"/>
            </w:tcBorders>
            <w:shd w:val="clear" w:color="auto" w:fill="auto"/>
            <w:vAlign w:val="center"/>
            <w:hideMark/>
          </w:tcPr>
          <w:p w:rsidR="007D20F6" w:rsidRPr="00A547AA" w:rsidRDefault="007D20F6" w:rsidP="00BA03D2">
            <w:pPr>
              <w:spacing w:after="0" w:line="240" w:lineRule="auto"/>
              <w:jc w:val="right"/>
              <w:rPr>
                <w:rFonts w:ascii="Arial" w:eastAsia="Times New Roman" w:hAnsi="Arial" w:cs="Arial"/>
                <w:b/>
                <w:bCs/>
                <w:lang w:eastAsia="hu-HU"/>
              </w:rPr>
            </w:pPr>
            <w:r w:rsidRPr="00A547AA">
              <w:rPr>
                <w:rFonts w:ascii="Arial" w:eastAsia="Times New Roman" w:hAnsi="Arial" w:cs="Arial"/>
                <w:b/>
                <w:bCs/>
                <w:lang w:eastAsia="hu-HU"/>
              </w:rPr>
              <w:t>294 240 140</w:t>
            </w:r>
          </w:p>
        </w:tc>
      </w:tr>
    </w:tbl>
    <w:p w:rsidR="007D20F6" w:rsidRPr="00A547AA" w:rsidRDefault="007D20F6" w:rsidP="00E4607D">
      <w:pPr>
        <w:pStyle w:val="Listaszerbekezds"/>
        <w:spacing w:after="120" w:line="240" w:lineRule="auto"/>
        <w:ind w:left="360"/>
        <w:jc w:val="both"/>
        <w:rPr>
          <w:rFonts w:ascii="Arial" w:hAnsi="Arial" w:cs="Arial"/>
          <w:i/>
          <w:strike/>
        </w:rPr>
      </w:pPr>
    </w:p>
    <w:p w:rsidR="00C90C8F" w:rsidRPr="00A547AA" w:rsidRDefault="00C90C8F" w:rsidP="00C90C8F">
      <w:pPr>
        <w:spacing w:after="120"/>
        <w:rPr>
          <w:rFonts w:ascii="Arial" w:hAnsi="Arial" w:cs="Arial"/>
          <w:b/>
        </w:rPr>
      </w:pPr>
      <w:r w:rsidRPr="00A547AA">
        <w:rPr>
          <w:rFonts w:ascii="Arial" w:hAnsi="Arial" w:cs="Arial"/>
          <w:b/>
        </w:rPr>
        <w:t xml:space="preserve">2.2 Helyi iparűzési adó </w:t>
      </w:r>
    </w:p>
    <w:p w:rsidR="00C269E2" w:rsidRPr="00A547AA" w:rsidRDefault="00C269E2" w:rsidP="00246B33">
      <w:pPr>
        <w:spacing w:after="0" w:line="240" w:lineRule="auto"/>
        <w:jc w:val="both"/>
        <w:rPr>
          <w:rFonts w:ascii="Arial" w:hAnsi="Arial" w:cs="Arial"/>
        </w:rPr>
      </w:pPr>
      <w:r w:rsidRPr="00A547AA">
        <w:rPr>
          <w:rFonts w:ascii="Arial" w:hAnsi="Arial" w:cs="Arial"/>
        </w:rPr>
        <w:t>Hévíz város illetékességi területén az iparűzési adó mértéke 2 %, az ideiglenes jelleggel végzett tevékenység után az adó mértéke naptári naponként 3.000,</w:t>
      </w:r>
      <w:proofErr w:type="spellStart"/>
      <w:r w:rsidRPr="00A547AA">
        <w:rPr>
          <w:rFonts w:ascii="Arial" w:hAnsi="Arial" w:cs="Arial"/>
        </w:rPr>
        <w:t>-Ft</w:t>
      </w:r>
      <w:proofErr w:type="spellEnd"/>
      <w:r w:rsidRPr="00A547AA">
        <w:rPr>
          <w:rFonts w:ascii="Arial" w:hAnsi="Arial" w:cs="Arial"/>
        </w:rPr>
        <w:t xml:space="preserve">. </w:t>
      </w:r>
    </w:p>
    <w:p w:rsidR="00246B33" w:rsidRPr="00A547AA" w:rsidRDefault="00246B33" w:rsidP="00246B33">
      <w:pPr>
        <w:spacing w:after="0" w:line="240" w:lineRule="auto"/>
        <w:jc w:val="both"/>
        <w:rPr>
          <w:rFonts w:ascii="Arial" w:hAnsi="Arial" w:cs="Arial"/>
        </w:rPr>
      </w:pPr>
    </w:p>
    <w:p w:rsidR="00CE0AC7" w:rsidRPr="00246B33" w:rsidRDefault="00CE0AC7" w:rsidP="00246B33">
      <w:pPr>
        <w:spacing w:after="0" w:line="240" w:lineRule="auto"/>
        <w:jc w:val="both"/>
        <w:rPr>
          <w:rFonts w:ascii="Arial" w:eastAsiaTheme="minorHAnsi" w:hAnsi="Arial" w:cs="Arial"/>
        </w:rPr>
      </w:pPr>
      <w:r w:rsidRPr="00A547AA">
        <w:rPr>
          <w:rFonts w:ascii="Arial" w:eastAsiaTheme="minorHAnsi" w:hAnsi="Arial" w:cs="Arial"/>
        </w:rPr>
        <w:t xml:space="preserve">Nyilvántartás alapján 2016. évben, az iparűzési adóalanyok száma 906 db jogi személy, 620 db magánszemély. Ebből 76 db </w:t>
      </w:r>
      <w:proofErr w:type="spellStart"/>
      <w:r w:rsidRPr="00A547AA">
        <w:rPr>
          <w:rFonts w:ascii="Arial" w:eastAsiaTheme="minorHAnsi" w:hAnsi="Arial" w:cs="Arial"/>
        </w:rPr>
        <w:t>KATA-s</w:t>
      </w:r>
      <w:proofErr w:type="spellEnd"/>
      <w:r w:rsidRPr="00A547AA">
        <w:rPr>
          <w:rFonts w:ascii="Arial" w:eastAsiaTheme="minorHAnsi" w:hAnsi="Arial" w:cs="Arial"/>
        </w:rPr>
        <w:t xml:space="preserve"> adózó. Május-június hónapban feldolgozásra került </w:t>
      </w:r>
      <w:r w:rsidRPr="00246B33">
        <w:rPr>
          <w:rFonts w:ascii="Arial" w:eastAsiaTheme="minorHAnsi" w:hAnsi="Arial" w:cs="Arial"/>
        </w:rPr>
        <w:t>1376 db helyi iparűzési adóbevallás.  Az adóbevallások feldolgozása a határidő betartásával valósult meg.</w:t>
      </w:r>
    </w:p>
    <w:p w:rsidR="00CE0AC7" w:rsidRDefault="00CE0AC7" w:rsidP="00246B33">
      <w:pPr>
        <w:spacing w:after="0" w:line="240" w:lineRule="auto"/>
        <w:jc w:val="both"/>
        <w:rPr>
          <w:rFonts w:ascii="Arial" w:eastAsiaTheme="minorHAnsi" w:hAnsi="Arial" w:cs="Arial"/>
        </w:rPr>
      </w:pPr>
      <w:r w:rsidRPr="00246B33">
        <w:rPr>
          <w:rFonts w:ascii="Arial" w:eastAsiaTheme="minorHAnsi" w:hAnsi="Arial" w:cs="Arial"/>
        </w:rPr>
        <w:t xml:space="preserve">A bevallás benyújtását elmulasztók részére 217 db kötelezettségük teljesítésére felszólító értesítés került kiküldésre, amelynek nagy számban eleget tettek az adózók és jelenleg is folyamatosan érkeznek elmaradt adóbevallások. </w:t>
      </w:r>
    </w:p>
    <w:p w:rsidR="00246B33" w:rsidRPr="00246B33" w:rsidRDefault="00246B33" w:rsidP="00246B33">
      <w:pPr>
        <w:spacing w:after="0" w:line="240" w:lineRule="auto"/>
        <w:jc w:val="both"/>
        <w:rPr>
          <w:rFonts w:ascii="Arial" w:eastAsiaTheme="minorHAnsi" w:hAnsi="Arial" w:cs="Arial"/>
        </w:rPr>
      </w:pPr>
    </w:p>
    <w:p w:rsidR="00C269E2" w:rsidRDefault="00C269E2" w:rsidP="00246B33">
      <w:pPr>
        <w:spacing w:after="0" w:line="240" w:lineRule="auto"/>
        <w:jc w:val="both"/>
        <w:rPr>
          <w:rFonts w:ascii="Arial" w:hAnsi="Arial" w:cs="Arial"/>
        </w:rPr>
      </w:pPr>
      <w:r w:rsidRPr="00246B33">
        <w:rPr>
          <w:rFonts w:ascii="Arial" w:hAnsi="Arial" w:cs="Arial"/>
        </w:rPr>
        <w:t xml:space="preserve">A felszámolási eljárás alá került vállalkozások helyi iparűzési adótartozás behajtására, a hatályos törvényi szabályozás okán, a felszámolási eljárás megindulását követően az önkormányzati adóhatóság már nem jogosult. </w:t>
      </w:r>
    </w:p>
    <w:p w:rsidR="00246B33" w:rsidRPr="00246B33" w:rsidRDefault="00246B33" w:rsidP="00246B33">
      <w:pPr>
        <w:spacing w:after="0" w:line="240" w:lineRule="auto"/>
        <w:jc w:val="both"/>
        <w:rPr>
          <w:rFonts w:ascii="Arial" w:hAnsi="Arial" w:cs="Arial"/>
        </w:rPr>
      </w:pPr>
    </w:p>
    <w:p w:rsidR="00C269E2" w:rsidRDefault="00C269E2" w:rsidP="00246B33">
      <w:pPr>
        <w:spacing w:after="0" w:line="240" w:lineRule="auto"/>
        <w:jc w:val="both"/>
        <w:rPr>
          <w:rFonts w:ascii="Arial" w:hAnsi="Arial" w:cs="Arial"/>
        </w:rPr>
      </w:pPr>
      <w:r w:rsidRPr="00246B33">
        <w:rPr>
          <w:rFonts w:ascii="Arial" w:hAnsi="Arial" w:cs="Arial"/>
        </w:rPr>
        <w:t xml:space="preserve">A nyilvántartott túlfizetéseket az adózók a későbbi előírásaikra hagyják elszámolni, de számlák közötti átvezetését illetve a túlfizetés visszautalását is kérelmezhetik, jelenleg 2016. év folyamán </w:t>
      </w:r>
      <w:r w:rsidR="00CE0AC7" w:rsidRPr="00246B33">
        <w:rPr>
          <w:rFonts w:ascii="Arial" w:hAnsi="Arial" w:cs="Arial"/>
        </w:rPr>
        <w:t xml:space="preserve">13.978 </w:t>
      </w:r>
      <w:r w:rsidRPr="00246B33">
        <w:rPr>
          <w:rFonts w:ascii="Arial" w:hAnsi="Arial" w:cs="Arial"/>
        </w:rPr>
        <w:t xml:space="preserve">e Ft visszafizetést teljesített kérelemre az adóhatóság az adózók felé. </w:t>
      </w:r>
    </w:p>
    <w:p w:rsidR="00246B33" w:rsidRPr="00246B33" w:rsidRDefault="00246B33" w:rsidP="00246B33">
      <w:pPr>
        <w:spacing w:after="0" w:line="240" w:lineRule="auto"/>
        <w:jc w:val="both"/>
        <w:rPr>
          <w:rFonts w:ascii="Arial" w:hAnsi="Arial" w:cs="Arial"/>
        </w:rPr>
      </w:pPr>
    </w:p>
    <w:p w:rsidR="00C269E2" w:rsidRDefault="00C269E2" w:rsidP="00246B33">
      <w:pPr>
        <w:spacing w:after="0" w:line="240" w:lineRule="auto"/>
        <w:jc w:val="both"/>
        <w:rPr>
          <w:rFonts w:ascii="Arial" w:hAnsi="Arial" w:cs="Arial"/>
        </w:rPr>
      </w:pPr>
      <w:r w:rsidRPr="00246B33">
        <w:rPr>
          <w:rFonts w:ascii="Arial" w:hAnsi="Arial" w:cs="Arial"/>
        </w:rPr>
        <w:t xml:space="preserve">Az adónemet sajátos fizetési mód jellemzi, az adózók az adóévben egyrészt a megelőző év adatai alapján előleget fizetnek (március 15. és szeptember 15.), másrészt elszámolnak a befizetett előlegekkel szemben (május 31.), valamint december 20-ig feltöltési kötelezettséget teljesítenek, ekkor az éves várható adó összegére kiegészítik a már megfizetett előlegeket. </w:t>
      </w:r>
    </w:p>
    <w:p w:rsidR="00246B33" w:rsidRPr="00246B33" w:rsidRDefault="00246B33" w:rsidP="00246B33">
      <w:pPr>
        <w:spacing w:after="0" w:line="240" w:lineRule="auto"/>
        <w:jc w:val="both"/>
        <w:rPr>
          <w:rFonts w:ascii="Arial" w:hAnsi="Arial" w:cs="Arial"/>
        </w:rPr>
      </w:pPr>
    </w:p>
    <w:p w:rsidR="00CE0AC7" w:rsidRPr="00246B33" w:rsidRDefault="00CE0AC7" w:rsidP="00246B33">
      <w:pPr>
        <w:spacing w:after="0" w:line="240" w:lineRule="auto"/>
        <w:jc w:val="both"/>
        <w:rPr>
          <w:rFonts w:ascii="Arial" w:eastAsiaTheme="minorHAnsi" w:hAnsi="Arial" w:cs="Arial"/>
        </w:rPr>
      </w:pPr>
      <w:r w:rsidRPr="00246B33">
        <w:rPr>
          <w:rFonts w:ascii="Arial" w:eastAsiaTheme="minorHAnsi" w:hAnsi="Arial" w:cs="Arial"/>
        </w:rPr>
        <w:t xml:space="preserve">A decemberi határidőre 117 db feltöltési bevallás érkezett, amihez 47.647.500 Ft feltöltési befizetés teljesült. </w:t>
      </w:r>
    </w:p>
    <w:p w:rsidR="00C269E2" w:rsidRPr="00246B33" w:rsidRDefault="00884E08" w:rsidP="00C269E2">
      <w:pPr>
        <w:jc w:val="both"/>
        <w:rPr>
          <w:rFonts w:ascii="Arial" w:hAnsi="Arial" w:cs="Arial"/>
        </w:rPr>
      </w:pPr>
      <w:r>
        <w:rPr>
          <w:rFonts w:ascii="Arial" w:hAnsi="Arial" w:cs="Arial"/>
        </w:rPr>
        <w:t>Az elmúlt évek tapasztalata alapján arra, az eredményre jutottunk, hogy az előző években kiküldött feltöltési felszólítás és bírság kilátásba helyezése után az iparűzési adóalanyok a feltöltési kötelezettségüknek 2016. évben határidőre eleget tettek.</w:t>
      </w:r>
    </w:p>
    <w:p w:rsidR="00C269E2" w:rsidRPr="00246B33" w:rsidRDefault="00C269E2" w:rsidP="00C269E2">
      <w:pPr>
        <w:jc w:val="both"/>
        <w:rPr>
          <w:rFonts w:ascii="Arial" w:hAnsi="Arial" w:cs="Arial"/>
        </w:rPr>
      </w:pPr>
      <w:r w:rsidRPr="00246B33">
        <w:rPr>
          <w:rFonts w:ascii="Arial" w:hAnsi="Arial" w:cs="Arial"/>
        </w:rPr>
        <w:t>Helyi iparűzési adóhoz kapcsolódó változások</w:t>
      </w:r>
    </w:p>
    <w:p w:rsidR="00C269E2" w:rsidRPr="00246B33" w:rsidRDefault="00C269E2" w:rsidP="00C269E2">
      <w:pPr>
        <w:pStyle w:val="Listaszerbekezds"/>
        <w:numPr>
          <w:ilvl w:val="0"/>
          <w:numId w:val="43"/>
        </w:numPr>
        <w:spacing w:after="0" w:line="240" w:lineRule="auto"/>
        <w:jc w:val="both"/>
        <w:rPr>
          <w:rFonts w:ascii="Arial" w:hAnsi="Arial" w:cs="Arial"/>
        </w:rPr>
      </w:pPr>
      <w:r w:rsidRPr="00246B33">
        <w:rPr>
          <w:rFonts w:ascii="Arial" w:hAnsi="Arial" w:cs="Arial"/>
        </w:rPr>
        <w:t xml:space="preserve">A </w:t>
      </w:r>
      <w:proofErr w:type="spellStart"/>
      <w:r w:rsidRPr="00246B33">
        <w:rPr>
          <w:rFonts w:ascii="Arial" w:hAnsi="Arial" w:cs="Arial"/>
        </w:rPr>
        <w:t>NAV-on</w:t>
      </w:r>
      <w:proofErr w:type="spellEnd"/>
      <w:r w:rsidRPr="00246B33">
        <w:rPr>
          <w:rFonts w:ascii="Arial" w:hAnsi="Arial" w:cs="Arial"/>
        </w:rPr>
        <w:t xml:space="preserve"> keresztüli bevallás – benyújtás lehetőségét a </w:t>
      </w:r>
      <w:proofErr w:type="spellStart"/>
      <w:r w:rsidRPr="00246B33">
        <w:rPr>
          <w:rFonts w:ascii="Arial" w:hAnsi="Arial" w:cs="Arial"/>
        </w:rPr>
        <w:t>Htv</w:t>
      </w:r>
      <w:proofErr w:type="spellEnd"/>
      <w:r w:rsidRPr="00246B33">
        <w:rPr>
          <w:rFonts w:ascii="Arial" w:hAnsi="Arial" w:cs="Arial"/>
        </w:rPr>
        <w:t xml:space="preserve">. 42/D. § vezette be, ennek szabályozását pontosították akként, hogy: </w:t>
      </w:r>
    </w:p>
    <w:p w:rsidR="00C269E2" w:rsidRPr="00246B33" w:rsidRDefault="00C269E2" w:rsidP="00C269E2">
      <w:pPr>
        <w:pStyle w:val="Listaszerbekezds"/>
        <w:numPr>
          <w:ilvl w:val="0"/>
          <w:numId w:val="42"/>
        </w:numPr>
        <w:spacing w:after="0" w:line="240" w:lineRule="auto"/>
        <w:jc w:val="both"/>
        <w:rPr>
          <w:rFonts w:ascii="Arial" w:hAnsi="Arial" w:cs="Arial"/>
        </w:rPr>
      </w:pPr>
      <w:r w:rsidRPr="00246B33">
        <w:rPr>
          <w:rFonts w:ascii="Arial" w:hAnsi="Arial" w:cs="Arial"/>
        </w:rPr>
        <w:t xml:space="preserve">a </w:t>
      </w:r>
      <w:proofErr w:type="spellStart"/>
      <w:r w:rsidRPr="00246B33">
        <w:rPr>
          <w:rFonts w:ascii="Arial" w:hAnsi="Arial" w:cs="Arial"/>
        </w:rPr>
        <w:t>NAV-os</w:t>
      </w:r>
      <w:proofErr w:type="spellEnd"/>
      <w:r w:rsidRPr="00246B33">
        <w:rPr>
          <w:rFonts w:ascii="Arial" w:hAnsi="Arial" w:cs="Arial"/>
        </w:rPr>
        <w:t xml:space="preserve"> bevallás – befogadó program (általános nyomtatványkitöltő program) azonosítja a benyújtót (képviselő azonosítása),</w:t>
      </w:r>
    </w:p>
    <w:p w:rsidR="00C269E2" w:rsidRPr="00246B33" w:rsidRDefault="00C269E2" w:rsidP="00C269E2">
      <w:pPr>
        <w:pStyle w:val="Listaszerbekezds"/>
        <w:numPr>
          <w:ilvl w:val="0"/>
          <w:numId w:val="42"/>
        </w:numPr>
        <w:spacing w:after="0" w:line="240" w:lineRule="auto"/>
        <w:jc w:val="both"/>
        <w:rPr>
          <w:rFonts w:ascii="Arial" w:hAnsi="Arial" w:cs="Arial"/>
        </w:rPr>
      </w:pPr>
      <w:r w:rsidRPr="00246B33">
        <w:rPr>
          <w:rFonts w:ascii="Arial" w:hAnsi="Arial" w:cs="Arial"/>
        </w:rPr>
        <w:t xml:space="preserve">a </w:t>
      </w:r>
      <w:proofErr w:type="spellStart"/>
      <w:r w:rsidRPr="00246B33">
        <w:rPr>
          <w:rFonts w:ascii="Arial" w:hAnsi="Arial" w:cs="Arial"/>
        </w:rPr>
        <w:t>NAV-hoz</w:t>
      </w:r>
      <w:proofErr w:type="spellEnd"/>
      <w:r w:rsidRPr="00246B33">
        <w:rPr>
          <w:rFonts w:ascii="Arial" w:hAnsi="Arial" w:cs="Arial"/>
        </w:rPr>
        <w:t xml:space="preserve"> a javított bevallás, az önellenőrzés is </w:t>
      </w:r>
      <w:proofErr w:type="spellStart"/>
      <w:r w:rsidRPr="00246B33">
        <w:rPr>
          <w:rFonts w:ascii="Arial" w:hAnsi="Arial" w:cs="Arial"/>
        </w:rPr>
        <w:t>benyújtahtó</w:t>
      </w:r>
      <w:proofErr w:type="spellEnd"/>
      <w:r w:rsidRPr="00246B33">
        <w:rPr>
          <w:rFonts w:ascii="Arial" w:hAnsi="Arial" w:cs="Arial"/>
        </w:rPr>
        <w:t>,</w:t>
      </w:r>
    </w:p>
    <w:p w:rsidR="00C269E2" w:rsidRPr="00246B33" w:rsidRDefault="00C269E2" w:rsidP="00C269E2">
      <w:pPr>
        <w:pStyle w:val="Listaszerbekezds"/>
        <w:numPr>
          <w:ilvl w:val="0"/>
          <w:numId w:val="42"/>
        </w:numPr>
        <w:spacing w:after="0" w:line="240" w:lineRule="auto"/>
        <w:jc w:val="both"/>
        <w:rPr>
          <w:rFonts w:ascii="Arial" w:hAnsi="Arial" w:cs="Arial"/>
        </w:rPr>
      </w:pPr>
      <w:r w:rsidRPr="00246B33">
        <w:rPr>
          <w:rFonts w:ascii="Arial" w:hAnsi="Arial" w:cs="Arial"/>
        </w:rPr>
        <w:lastRenderedPageBreak/>
        <w:t xml:space="preserve">az adóalanynak elektronikus úton kell bevallania, és a NAV csak elektronikus úton (hivatali kapun keresztül) továbbítja a bevallást az önkormányzatnak. </w:t>
      </w:r>
    </w:p>
    <w:p w:rsidR="00C269E2" w:rsidRPr="00246B33" w:rsidRDefault="00C269E2" w:rsidP="00C269E2">
      <w:pPr>
        <w:pStyle w:val="Listaszerbekezds"/>
        <w:numPr>
          <w:ilvl w:val="0"/>
          <w:numId w:val="43"/>
        </w:numPr>
        <w:spacing w:after="0" w:line="240" w:lineRule="auto"/>
        <w:jc w:val="both"/>
        <w:rPr>
          <w:rFonts w:ascii="Arial" w:hAnsi="Arial" w:cs="Arial"/>
        </w:rPr>
      </w:pPr>
      <w:r w:rsidRPr="00246B33">
        <w:rPr>
          <w:rFonts w:ascii="Arial" w:hAnsi="Arial" w:cs="Arial"/>
        </w:rPr>
        <w:t xml:space="preserve">Első ízben a 2016. évről adott éves, illetve a 2017. évi változásokról adott bevallásokat lehet így benyújtani a </w:t>
      </w:r>
      <w:proofErr w:type="spellStart"/>
      <w:r w:rsidRPr="00246B33">
        <w:rPr>
          <w:rFonts w:ascii="Arial" w:hAnsi="Arial" w:cs="Arial"/>
        </w:rPr>
        <w:t>NAV-hoz</w:t>
      </w:r>
      <w:proofErr w:type="spellEnd"/>
      <w:r w:rsidRPr="00246B33">
        <w:rPr>
          <w:rFonts w:ascii="Arial" w:hAnsi="Arial" w:cs="Arial"/>
        </w:rPr>
        <w:t xml:space="preserve">, tehát 2017. január 1-jétől folyamatosan érkeznek a bevallások. </w:t>
      </w:r>
    </w:p>
    <w:p w:rsidR="00C269E2" w:rsidRPr="00C269E2" w:rsidRDefault="00C269E2" w:rsidP="00C269E2">
      <w:pPr>
        <w:pStyle w:val="Listaszerbekezds"/>
        <w:numPr>
          <w:ilvl w:val="0"/>
          <w:numId w:val="43"/>
        </w:numPr>
        <w:spacing w:after="0" w:line="240" w:lineRule="auto"/>
        <w:jc w:val="both"/>
        <w:rPr>
          <w:rFonts w:ascii="Arial" w:hAnsi="Arial" w:cs="Arial"/>
          <w:color w:val="002060"/>
        </w:rPr>
      </w:pPr>
      <w:r w:rsidRPr="00246B33">
        <w:rPr>
          <w:rFonts w:ascii="Arial" w:hAnsi="Arial" w:cs="Arial"/>
        </w:rPr>
        <w:t xml:space="preserve"> A </w:t>
      </w:r>
      <w:proofErr w:type="spellStart"/>
      <w:r w:rsidRPr="00246B33">
        <w:rPr>
          <w:rFonts w:ascii="Arial" w:hAnsi="Arial" w:cs="Arial"/>
        </w:rPr>
        <w:t>NAV-on</w:t>
      </w:r>
      <w:proofErr w:type="spellEnd"/>
      <w:r w:rsidRPr="00246B33">
        <w:rPr>
          <w:rFonts w:ascii="Arial" w:hAnsi="Arial" w:cs="Arial"/>
        </w:rPr>
        <w:t xml:space="preserve"> keresztüli bevallás – benyújtás csak lehetőség az adózónak, nem kötelező</w:t>
      </w:r>
      <w:r w:rsidRPr="00C269E2">
        <w:rPr>
          <w:rFonts w:ascii="Arial" w:hAnsi="Arial" w:cs="Arial"/>
          <w:color w:val="002060"/>
        </w:rPr>
        <w:t xml:space="preserve">. </w:t>
      </w:r>
    </w:p>
    <w:p w:rsidR="00CE0AC7" w:rsidRDefault="00CE0AC7" w:rsidP="00F409E3">
      <w:pPr>
        <w:spacing w:after="120"/>
        <w:jc w:val="both"/>
        <w:rPr>
          <w:rFonts w:ascii="Arial" w:hAnsi="Arial" w:cs="Arial"/>
          <w:color w:val="FF0000"/>
        </w:rPr>
      </w:pPr>
    </w:p>
    <w:p w:rsidR="00A9448E" w:rsidRPr="004C125B" w:rsidRDefault="00A9448E" w:rsidP="00F409E3">
      <w:pPr>
        <w:spacing w:after="120"/>
        <w:jc w:val="both"/>
        <w:rPr>
          <w:rFonts w:ascii="Arial" w:hAnsi="Arial" w:cs="Arial"/>
        </w:rPr>
      </w:pPr>
    </w:p>
    <w:p w:rsidR="0039063E" w:rsidRDefault="000660BC" w:rsidP="004C125B">
      <w:pPr>
        <w:pStyle w:val="Listaszerbekezds"/>
        <w:numPr>
          <w:ilvl w:val="1"/>
          <w:numId w:val="38"/>
        </w:numPr>
        <w:spacing w:after="120"/>
        <w:jc w:val="both"/>
        <w:rPr>
          <w:rFonts w:ascii="Arial" w:hAnsi="Arial" w:cs="Arial"/>
          <w:b/>
        </w:rPr>
      </w:pPr>
      <w:r w:rsidRPr="004C125B">
        <w:rPr>
          <w:rFonts w:ascii="Arial" w:hAnsi="Arial" w:cs="Arial"/>
          <w:b/>
        </w:rPr>
        <w:t>I</w:t>
      </w:r>
      <w:r w:rsidR="0039063E" w:rsidRPr="004C125B">
        <w:rPr>
          <w:rFonts w:ascii="Arial" w:hAnsi="Arial" w:cs="Arial"/>
          <w:b/>
        </w:rPr>
        <w:t>degenforgalmi adó</w:t>
      </w:r>
    </w:p>
    <w:p w:rsidR="00E975AE" w:rsidRDefault="00E975AE" w:rsidP="00A9448E">
      <w:pPr>
        <w:pStyle w:val="Listaszerbekezds"/>
        <w:spacing w:after="120"/>
        <w:jc w:val="both"/>
        <w:rPr>
          <w:rFonts w:ascii="Arial" w:hAnsi="Arial" w:cs="Arial"/>
          <w:b/>
        </w:rPr>
      </w:pPr>
    </w:p>
    <w:p w:rsidR="00E975AE" w:rsidRPr="00246B33" w:rsidRDefault="00E975AE" w:rsidP="00E975AE">
      <w:pPr>
        <w:spacing w:before="120" w:after="120"/>
        <w:jc w:val="both"/>
        <w:rPr>
          <w:rFonts w:ascii="Arial" w:hAnsi="Arial" w:cs="Arial"/>
        </w:rPr>
      </w:pPr>
      <w:r w:rsidRPr="00246B33">
        <w:rPr>
          <w:rFonts w:ascii="Arial" w:hAnsi="Arial" w:cs="Arial"/>
        </w:rPr>
        <w:t>Az idegenforgalmi adó kötelezettség terheli azt a magánszemélyt, aki az önkormányzat illetékességi területén legalább egy vendégéjszakát eltölt. Az adó mértéke 500 Ft/fő/éjre változott 2016-ban a 2015. évi 450 Ft/vendégéjszakához képest. A lehetséges maximális mérték 2016. évben 504,1 Ft volt.</w:t>
      </w:r>
    </w:p>
    <w:p w:rsidR="00E975AE" w:rsidRPr="00246B33" w:rsidRDefault="00E975AE" w:rsidP="00E975AE">
      <w:pPr>
        <w:spacing w:before="120" w:after="120"/>
        <w:jc w:val="both"/>
        <w:rPr>
          <w:rFonts w:ascii="Arial" w:hAnsi="Arial" w:cs="Arial"/>
        </w:rPr>
      </w:pPr>
      <w:r w:rsidRPr="00246B33">
        <w:rPr>
          <w:rFonts w:ascii="Arial" w:hAnsi="Arial" w:cs="Arial"/>
        </w:rPr>
        <w:t xml:space="preserve">2016. december 31-éig 538 377 e Ft adóbevétel folyt be, az éves előirányzat - 500 000 e Ft - teljesült. </w:t>
      </w:r>
    </w:p>
    <w:p w:rsidR="00E975AE" w:rsidRPr="00083C37" w:rsidRDefault="00E975AE" w:rsidP="00E975AE">
      <w:pPr>
        <w:spacing w:before="120" w:after="120"/>
        <w:jc w:val="both"/>
        <w:rPr>
          <w:rFonts w:ascii="Arial" w:hAnsi="Arial" w:cs="Arial"/>
          <w:color w:val="7030A0"/>
        </w:rPr>
      </w:pPr>
    </w:p>
    <w:p w:rsidR="00E975AE" w:rsidRPr="00246B33" w:rsidRDefault="00E975AE" w:rsidP="00E975AE">
      <w:pPr>
        <w:spacing w:before="120" w:after="120"/>
        <w:jc w:val="center"/>
        <w:rPr>
          <w:rFonts w:ascii="Arial" w:hAnsi="Arial" w:cs="Arial"/>
        </w:rPr>
      </w:pPr>
      <w:r w:rsidRPr="00246B33">
        <w:rPr>
          <w:rFonts w:ascii="Arial" w:hAnsi="Arial" w:cs="Arial"/>
        </w:rPr>
        <w:t xml:space="preserve">Idegenforgalmi adóbevételek alakulása 2012-2016. években </w:t>
      </w:r>
    </w:p>
    <w:tbl>
      <w:tblPr>
        <w:tblW w:w="10200" w:type="dxa"/>
        <w:tblCellMar>
          <w:left w:w="70" w:type="dxa"/>
          <w:right w:w="70" w:type="dxa"/>
        </w:tblCellMar>
        <w:tblLook w:val="04A0" w:firstRow="1" w:lastRow="0" w:firstColumn="1" w:lastColumn="0" w:noHBand="0" w:noVBand="1"/>
      </w:tblPr>
      <w:tblGrid>
        <w:gridCol w:w="505"/>
        <w:gridCol w:w="740"/>
        <w:gridCol w:w="740"/>
        <w:gridCol w:w="740"/>
        <w:gridCol w:w="740"/>
        <w:gridCol w:w="740"/>
        <w:gridCol w:w="740"/>
        <w:gridCol w:w="740"/>
        <w:gridCol w:w="740"/>
        <w:gridCol w:w="740"/>
        <w:gridCol w:w="740"/>
        <w:gridCol w:w="740"/>
        <w:gridCol w:w="740"/>
        <w:gridCol w:w="820"/>
      </w:tblGrid>
      <w:tr w:rsidR="00E975AE" w:rsidRPr="00336F9F" w:rsidTr="00743B3C">
        <w:trPr>
          <w:trHeight w:val="255"/>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jan.</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febr.</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márc.</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ápr.</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máj.</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jún.</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júl.</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aug.</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szept.</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okt.</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nov.</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sz w:val="18"/>
                <w:szCs w:val="18"/>
                <w:lang w:eastAsia="hu-HU"/>
              </w:rPr>
            </w:pPr>
            <w:r w:rsidRPr="00336F9F">
              <w:rPr>
                <w:rFonts w:eastAsia="Times New Roman"/>
                <w:sz w:val="18"/>
                <w:szCs w:val="18"/>
                <w:lang w:eastAsia="hu-HU"/>
              </w:rPr>
              <w:t>dec.</w:t>
            </w:r>
          </w:p>
        </w:tc>
        <w:tc>
          <w:tcPr>
            <w:tcW w:w="820" w:type="dxa"/>
            <w:tcBorders>
              <w:top w:val="single" w:sz="4" w:space="0" w:color="auto"/>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center"/>
              <w:rPr>
                <w:rFonts w:eastAsia="Times New Roman"/>
                <w:b/>
                <w:bCs/>
                <w:sz w:val="18"/>
                <w:szCs w:val="18"/>
                <w:lang w:eastAsia="hu-HU"/>
              </w:rPr>
            </w:pPr>
            <w:proofErr w:type="spellStart"/>
            <w:r w:rsidRPr="00336F9F">
              <w:rPr>
                <w:rFonts w:eastAsia="Times New Roman"/>
                <w:b/>
                <w:bCs/>
                <w:sz w:val="18"/>
                <w:szCs w:val="18"/>
                <w:lang w:eastAsia="hu-HU"/>
              </w:rPr>
              <w:t>össz</w:t>
            </w:r>
            <w:proofErr w:type="spellEnd"/>
            <w:r w:rsidRPr="00336F9F">
              <w:rPr>
                <w:rFonts w:eastAsia="Times New Roman"/>
                <w:b/>
                <w:bCs/>
                <w:sz w:val="18"/>
                <w:szCs w:val="18"/>
                <w:lang w:eastAsia="hu-HU"/>
              </w:rPr>
              <w:t>.</w:t>
            </w:r>
          </w:p>
        </w:tc>
      </w:tr>
      <w:tr w:rsidR="00E975AE" w:rsidRPr="00336F9F" w:rsidTr="00743B3C">
        <w:trPr>
          <w:trHeight w:val="25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rPr>
                <w:rFonts w:eastAsia="Times New Roman"/>
                <w:b/>
                <w:bCs/>
                <w:sz w:val="18"/>
                <w:szCs w:val="18"/>
                <w:lang w:eastAsia="hu-HU"/>
              </w:rPr>
            </w:pPr>
            <w:r w:rsidRPr="00336F9F">
              <w:rPr>
                <w:rFonts w:eastAsia="Times New Roman"/>
                <w:b/>
                <w:bCs/>
                <w:sz w:val="18"/>
                <w:szCs w:val="18"/>
                <w:lang w:eastAsia="hu-HU"/>
              </w:rPr>
              <w:t>2012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22 174</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27 463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25 396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32 631</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32 940</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40 371</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41 958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45 766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53 588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50 700</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44 622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35 252</w:t>
            </w:r>
          </w:p>
        </w:tc>
        <w:tc>
          <w:tcPr>
            <w:tcW w:w="82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b/>
                <w:bCs/>
                <w:sz w:val="18"/>
                <w:szCs w:val="18"/>
                <w:lang w:eastAsia="hu-HU"/>
              </w:rPr>
            </w:pPr>
            <w:r w:rsidRPr="00336F9F">
              <w:rPr>
                <w:rFonts w:eastAsia="Times New Roman"/>
                <w:b/>
                <w:bCs/>
                <w:sz w:val="18"/>
                <w:szCs w:val="18"/>
                <w:lang w:eastAsia="hu-HU"/>
              </w:rPr>
              <w:t>452 861</w:t>
            </w:r>
          </w:p>
        </w:tc>
      </w:tr>
      <w:tr w:rsidR="00E975AE" w:rsidRPr="00336F9F" w:rsidTr="00743B3C">
        <w:trPr>
          <w:trHeight w:val="25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rPr>
                <w:rFonts w:eastAsia="Times New Roman"/>
                <w:b/>
                <w:bCs/>
                <w:sz w:val="18"/>
                <w:szCs w:val="18"/>
                <w:lang w:eastAsia="hu-HU"/>
              </w:rPr>
            </w:pPr>
            <w:r w:rsidRPr="00336F9F">
              <w:rPr>
                <w:rFonts w:eastAsia="Times New Roman"/>
                <w:b/>
                <w:bCs/>
                <w:sz w:val="18"/>
                <w:szCs w:val="18"/>
                <w:lang w:eastAsia="hu-HU"/>
              </w:rPr>
              <w:t>2013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23 573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27 581</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27 205</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36 481</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32 883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47 163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45 777</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48 604</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56 230</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52 220</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53 150</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36 654</w:t>
            </w:r>
          </w:p>
        </w:tc>
        <w:tc>
          <w:tcPr>
            <w:tcW w:w="82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b/>
                <w:bCs/>
                <w:sz w:val="18"/>
                <w:szCs w:val="18"/>
                <w:lang w:eastAsia="hu-HU"/>
              </w:rPr>
            </w:pPr>
            <w:r w:rsidRPr="00336F9F">
              <w:rPr>
                <w:rFonts w:eastAsia="Times New Roman"/>
                <w:b/>
                <w:bCs/>
                <w:sz w:val="18"/>
                <w:szCs w:val="18"/>
                <w:lang w:eastAsia="hu-HU"/>
              </w:rPr>
              <w:t>487 521</w:t>
            </w:r>
          </w:p>
        </w:tc>
      </w:tr>
      <w:tr w:rsidR="00E975AE" w:rsidRPr="00336F9F" w:rsidTr="00743B3C">
        <w:trPr>
          <w:trHeight w:val="25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rPr>
                <w:rFonts w:eastAsia="Times New Roman"/>
                <w:b/>
                <w:bCs/>
                <w:sz w:val="18"/>
                <w:szCs w:val="18"/>
                <w:lang w:eastAsia="hu-HU"/>
              </w:rPr>
            </w:pPr>
            <w:r w:rsidRPr="00336F9F">
              <w:rPr>
                <w:rFonts w:eastAsia="Times New Roman"/>
                <w:b/>
                <w:bCs/>
                <w:sz w:val="18"/>
                <w:szCs w:val="18"/>
                <w:lang w:eastAsia="hu-HU"/>
              </w:rPr>
              <w:t>2014</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25 085</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31 056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26 602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30 147</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40 694</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44 214</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43 841</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51 712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59 748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48 493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42 443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38 261</w:t>
            </w:r>
          </w:p>
        </w:tc>
        <w:tc>
          <w:tcPr>
            <w:tcW w:w="82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b/>
                <w:bCs/>
                <w:sz w:val="18"/>
                <w:szCs w:val="18"/>
                <w:lang w:eastAsia="hu-HU"/>
              </w:rPr>
            </w:pPr>
            <w:r w:rsidRPr="00336F9F">
              <w:rPr>
                <w:rFonts w:eastAsia="Times New Roman"/>
                <w:b/>
                <w:bCs/>
                <w:sz w:val="18"/>
                <w:szCs w:val="18"/>
                <w:lang w:eastAsia="hu-HU"/>
              </w:rPr>
              <w:t>482 296</w:t>
            </w:r>
          </w:p>
        </w:tc>
      </w:tr>
      <w:tr w:rsidR="00E975AE" w:rsidRPr="00336F9F" w:rsidTr="00743B3C">
        <w:trPr>
          <w:trHeight w:val="25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rPr>
                <w:rFonts w:eastAsia="Times New Roman"/>
                <w:b/>
                <w:bCs/>
                <w:sz w:val="18"/>
                <w:szCs w:val="18"/>
                <w:lang w:eastAsia="hu-HU"/>
              </w:rPr>
            </w:pPr>
            <w:r w:rsidRPr="00336F9F">
              <w:rPr>
                <w:rFonts w:eastAsia="Times New Roman"/>
                <w:b/>
                <w:bCs/>
                <w:sz w:val="18"/>
                <w:szCs w:val="18"/>
                <w:lang w:eastAsia="hu-HU"/>
              </w:rPr>
              <w:t>2015</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23 226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24 996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24 358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31 098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33 605</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44 395</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45 689</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52 203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60 456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47 592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43 181</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33 465</w:t>
            </w:r>
          </w:p>
        </w:tc>
        <w:tc>
          <w:tcPr>
            <w:tcW w:w="82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b/>
                <w:bCs/>
                <w:sz w:val="18"/>
                <w:szCs w:val="18"/>
                <w:lang w:eastAsia="hu-HU"/>
              </w:rPr>
            </w:pPr>
            <w:r w:rsidRPr="00336F9F">
              <w:rPr>
                <w:rFonts w:eastAsia="Times New Roman"/>
                <w:b/>
                <w:bCs/>
                <w:sz w:val="18"/>
                <w:szCs w:val="18"/>
                <w:lang w:eastAsia="hu-HU"/>
              </w:rPr>
              <w:t>464 264</w:t>
            </w:r>
          </w:p>
        </w:tc>
      </w:tr>
      <w:tr w:rsidR="00E975AE" w:rsidRPr="00336F9F" w:rsidTr="00743B3C">
        <w:trPr>
          <w:trHeight w:val="25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rPr>
                <w:rFonts w:eastAsia="Times New Roman"/>
                <w:b/>
                <w:bCs/>
                <w:sz w:val="18"/>
                <w:szCs w:val="18"/>
                <w:lang w:eastAsia="hu-HU"/>
              </w:rPr>
            </w:pPr>
            <w:r w:rsidRPr="00336F9F">
              <w:rPr>
                <w:rFonts w:eastAsia="Times New Roman"/>
                <w:b/>
                <w:bCs/>
                <w:sz w:val="18"/>
                <w:szCs w:val="18"/>
                <w:lang w:eastAsia="hu-HU"/>
              </w:rPr>
              <w:t>2016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25 026</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30 122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31 607</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37 965</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39 302</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50 088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48 758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62 488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66 673</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58 298</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48 464</w:t>
            </w:r>
          </w:p>
        </w:tc>
        <w:tc>
          <w:tcPr>
            <w:tcW w:w="74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sz w:val="18"/>
                <w:szCs w:val="18"/>
                <w:lang w:eastAsia="hu-HU"/>
              </w:rPr>
            </w:pPr>
            <w:r w:rsidRPr="00336F9F">
              <w:rPr>
                <w:rFonts w:eastAsia="Times New Roman"/>
                <w:sz w:val="18"/>
                <w:szCs w:val="18"/>
                <w:lang w:eastAsia="hu-HU"/>
              </w:rPr>
              <w:t>39 586</w:t>
            </w:r>
          </w:p>
        </w:tc>
        <w:tc>
          <w:tcPr>
            <w:tcW w:w="820" w:type="dxa"/>
            <w:tcBorders>
              <w:top w:val="nil"/>
              <w:left w:val="nil"/>
              <w:bottom w:val="single" w:sz="4" w:space="0" w:color="auto"/>
              <w:right w:val="single" w:sz="4" w:space="0" w:color="auto"/>
            </w:tcBorders>
            <w:shd w:val="clear" w:color="auto" w:fill="auto"/>
            <w:noWrap/>
            <w:vAlign w:val="bottom"/>
            <w:hideMark/>
          </w:tcPr>
          <w:p w:rsidR="00E975AE" w:rsidRPr="00336F9F" w:rsidRDefault="00E975AE" w:rsidP="00743B3C">
            <w:pPr>
              <w:spacing w:after="0" w:line="240" w:lineRule="auto"/>
              <w:jc w:val="right"/>
              <w:rPr>
                <w:rFonts w:eastAsia="Times New Roman"/>
                <w:b/>
                <w:bCs/>
                <w:sz w:val="18"/>
                <w:szCs w:val="18"/>
                <w:lang w:eastAsia="hu-HU"/>
              </w:rPr>
            </w:pPr>
            <w:r w:rsidRPr="00336F9F">
              <w:rPr>
                <w:rFonts w:eastAsia="Times New Roman"/>
                <w:b/>
                <w:bCs/>
                <w:sz w:val="18"/>
                <w:szCs w:val="18"/>
                <w:lang w:eastAsia="hu-HU"/>
              </w:rPr>
              <w:t>538 377</w:t>
            </w:r>
          </w:p>
        </w:tc>
      </w:tr>
    </w:tbl>
    <w:p w:rsidR="00E975AE" w:rsidRPr="001429C4" w:rsidRDefault="00E975AE" w:rsidP="00E975AE">
      <w:pPr>
        <w:spacing w:after="120"/>
        <w:jc w:val="both"/>
        <w:rPr>
          <w:sz w:val="16"/>
          <w:szCs w:val="16"/>
        </w:rPr>
      </w:pPr>
    </w:p>
    <w:p w:rsidR="00E975AE" w:rsidRPr="00246B33" w:rsidRDefault="00E975AE" w:rsidP="00E975AE">
      <w:pPr>
        <w:spacing w:before="120" w:after="120"/>
        <w:jc w:val="both"/>
        <w:rPr>
          <w:rFonts w:ascii="Arial" w:hAnsi="Arial" w:cs="Arial"/>
        </w:rPr>
      </w:pPr>
      <w:r w:rsidRPr="00246B33">
        <w:rPr>
          <w:rFonts w:ascii="Arial" w:hAnsi="Arial" w:cs="Arial"/>
        </w:rPr>
        <w:t xml:space="preserve">Az idegenforgalmi adóbevétel </w:t>
      </w:r>
      <w:r w:rsidR="00117905">
        <w:rPr>
          <w:rFonts w:ascii="Arial" w:hAnsi="Arial" w:cs="Arial"/>
        </w:rPr>
        <w:t xml:space="preserve">havi </w:t>
      </w:r>
      <w:r w:rsidRPr="00246B33">
        <w:rPr>
          <w:rFonts w:ascii="Arial" w:hAnsi="Arial" w:cs="Arial"/>
        </w:rPr>
        <w:t xml:space="preserve">összege 2016. évben minden hónapban meghaladta az előző év hasonló időszakainak bevételeit. </w:t>
      </w:r>
    </w:p>
    <w:p w:rsidR="00E975AE" w:rsidRPr="001429C4" w:rsidRDefault="00E975AE" w:rsidP="00E975AE">
      <w:pPr>
        <w:spacing w:before="120" w:after="120"/>
        <w:jc w:val="both"/>
      </w:pPr>
      <w:r w:rsidRPr="001429C4">
        <w:t xml:space="preserve">         </w:t>
      </w:r>
      <w:r w:rsidRPr="00105F28">
        <w:rPr>
          <w:noProof/>
          <w:lang w:eastAsia="hu-HU"/>
        </w:rPr>
        <w:drawing>
          <wp:inline distT="0" distB="0" distL="0" distR="0">
            <wp:extent cx="5267325" cy="2924175"/>
            <wp:effectExtent l="0" t="0" r="0" b="0"/>
            <wp:docPr id="7" name="Diagram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975AE" w:rsidRPr="001429C4" w:rsidRDefault="00E975AE" w:rsidP="00E975AE">
      <w:pPr>
        <w:spacing w:after="120"/>
        <w:jc w:val="center"/>
        <w:rPr>
          <w:b/>
          <w:sz w:val="16"/>
          <w:szCs w:val="16"/>
        </w:rPr>
      </w:pPr>
    </w:p>
    <w:p w:rsidR="00E975AE" w:rsidRPr="00246B33" w:rsidRDefault="00E975AE" w:rsidP="00E975AE">
      <w:pPr>
        <w:spacing w:before="120" w:after="120"/>
        <w:jc w:val="both"/>
        <w:rPr>
          <w:rFonts w:ascii="Arial" w:hAnsi="Arial" w:cs="Arial"/>
        </w:rPr>
      </w:pPr>
      <w:r w:rsidRPr="00246B33">
        <w:rPr>
          <w:rFonts w:ascii="Arial" w:hAnsi="Arial" w:cs="Arial"/>
        </w:rPr>
        <w:t>Az idegenforgalmi adó befizetések alapján számított adóköteles vendégéjszakák száma 2016. évben 1 076 754 éjre emelkedett a 2015. évi 1 031 698 éjhez képest.</w:t>
      </w:r>
    </w:p>
    <w:p w:rsidR="00E975AE" w:rsidRDefault="00E975AE" w:rsidP="00E975AE">
      <w:pPr>
        <w:spacing w:before="120" w:after="120"/>
        <w:jc w:val="both"/>
      </w:pPr>
      <w:r w:rsidRPr="00105F28">
        <w:rPr>
          <w:noProof/>
          <w:lang w:eastAsia="hu-HU"/>
        </w:rPr>
        <w:lastRenderedPageBreak/>
        <w:drawing>
          <wp:inline distT="0" distB="0" distL="0" distR="0">
            <wp:extent cx="5715000" cy="2714625"/>
            <wp:effectExtent l="0" t="0" r="0" b="0"/>
            <wp:docPr id="6" name="Diagram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8388D" w:rsidRPr="00DE702B" w:rsidRDefault="0028388D" w:rsidP="0028388D">
      <w:pPr>
        <w:spacing w:after="120"/>
        <w:jc w:val="both"/>
        <w:rPr>
          <w:rFonts w:ascii="Arial" w:hAnsi="Arial" w:cs="Arial"/>
        </w:rPr>
      </w:pPr>
      <w:r w:rsidRPr="00DE702B">
        <w:rPr>
          <w:rFonts w:ascii="Arial" w:hAnsi="Arial" w:cs="Arial"/>
        </w:rPr>
        <w:t xml:space="preserve">Az adónem kintlévősége 2016. december 31. napján </w:t>
      </w:r>
      <w:r w:rsidR="00DE702B" w:rsidRPr="00DE702B">
        <w:rPr>
          <w:rFonts w:ascii="Arial" w:hAnsi="Arial" w:cs="Arial"/>
        </w:rPr>
        <w:t xml:space="preserve">4 138 </w:t>
      </w:r>
      <w:r w:rsidRPr="00DE702B">
        <w:rPr>
          <w:rFonts w:ascii="Arial" w:hAnsi="Arial" w:cs="Arial"/>
        </w:rPr>
        <w:t xml:space="preserve">ezer Ft, az előző év ugyanezen </w:t>
      </w:r>
      <w:proofErr w:type="gramStart"/>
      <w:r w:rsidRPr="00DE702B">
        <w:rPr>
          <w:rFonts w:ascii="Arial" w:hAnsi="Arial" w:cs="Arial"/>
        </w:rPr>
        <w:t>időpontjához  képest</w:t>
      </w:r>
      <w:proofErr w:type="gramEnd"/>
      <w:r w:rsidRPr="00DE702B">
        <w:rPr>
          <w:rFonts w:ascii="Arial" w:hAnsi="Arial" w:cs="Arial"/>
        </w:rPr>
        <w:t xml:space="preserve"> </w:t>
      </w:r>
      <w:r w:rsidR="00DE702B" w:rsidRPr="00DE702B">
        <w:rPr>
          <w:rFonts w:ascii="Arial" w:hAnsi="Arial" w:cs="Arial"/>
        </w:rPr>
        <w:t>–</w:t>
      </w:r>
      <w:r w:rsidRPr="00DE702B">
        <w:rPr>
          <w:rFonts w:ascii="Arial" w:hAnsi="Arial" w:cs="Arial"/>
        </w:rPr>
        <w:t xml:space="preserve"> </w:t>
      </w:r>
      <w:r w:rsidR="00DE702B" w:rsidRPr="00DE702B">
        <w:rPr>
          <w:rFonts w:ascii="Arial" w:hAnsi="Arial" w:cs="Arial"/>
        </w:rPr>
        <w:t>2015. december 31-én 7 117 ezer Ft volt  - csökkent</w:t>
      </w:r>
      <w:r w:rsidRPr="00DE702B">
        <w:rPr>
          <w:rFonts w:ascii="Arial" w:hAnsi="Arial" w:cs="Arial"/>
        </w:rPr>
        <w:t>.</w:t>
      </w:r>
    </w:p>
    <w:p w:rsidR="00546EBF" w:rsidRPr="00F26987" w:rsidRDefault="004C125B" w:rsidP="006833A9">
      <w:pPr>
        <w:spacing w:before="360"/>
        <w:jc w:val="both"/>
        <w:rPr>
          <w:rFonts w:ascii="Arial" w:hAnsi="Arial" w:cs="Arial"/>
          <w:b/>
        </w:rPr>
      </w:pPr>
      <w:r>
        <w:rPr>
          <w:rFonts w:ascii="Arial" w:hAnsi="Arial" w:cs="Arial"/>
          <w:b/>
        </w:rPr>
        <w:t>2.4</w:t>
      </w:r>
      <w:r w:rsidR="00E9139C">
        <w:rPr>
          <w:rFonts w:ascii="Arial" w:hAnsi="Arial" w:cs="Arial"/>
          <w:b/>
        </w:rPr>
        <w:t xml:space="preserve">. </w:t>
      </w:r>
      <w:r>
        <w:rPr>
          <w:rFonts w:ascii="Arial" w:hAnsi="Arial" w:cs="Arial"/>
          <w:b/>
        </w:rPr>
        <w:t xml:space="preserve">     </w:t>
      </w:r>
      <w:r w:rsidR="00E9139C">
        <w:rPr>
          <w:rFonts w:ascii="Arial" w:hAnsi="Arial" w:cs="Arial"/>
          <w:b/>
        </w:rPr>
        <w:t>A gépjármű</w:t>
      </w:r>
      <w:r w:rsidR="00447CC7" w:rsidRPr="00F26987">
        <w:rPr>
          <w:rFonts w:ascii="Arial" w:hAnsi="Arial" w:cs="Arial"/>
          <w:b/>
        </w:rPr>
        <w:t xml:space="preserve"> adó</w:t>
      </w:r>
    </w:p>
    <w:p w:rsidR="00643A03" w:rsidRPr="00246B33" w:rsidRDefault="00643A03" w:rsidP="00643A03">
      <w:pPr>
        <w:jc w:val="both"/>
        <w:rPr>
          <w:rFonts w:ascii="Arial" w:hAnsi="Arial" w:cs="Arial"/>
        </w:rPr>
      </w:pPr>
      <w:r w:rsidRPr="00246B33">
        <w:rPr>
          <w:rFonts w:ascii="Arial" w:hAnsi="Arial" w:cs="Arial"/>
        </w:rPr>
        <w:t>A gépjárműadóról szóló 1991. évi LXXXII. törvény írja elő a gépjárművek adóztatásának szabályait, melyek 2016-ra nem változtak. A befolyt gépjárműadó összeg 40%-a helyi önkormányzat bevétele. A 2016. évre vonatkozóan 2557 db gépjárműre, 1934 adóalany terhére került gépjárműadó előírásra.</w:t>
      </w:r>
    </w:p>
    <w:p w:rsidR="00861CAB" w:rsidRPr="00246B33" w:rsidRDefault="00861CAB" w:rsidP="004C125B">
      <w:pPr>
        <w:pStyle w:val="Listaszerbekezds"/>
        <w:numPr>
          <w:ilvl w:val="1"/>
          <w:numId w:val="39"/>
        </w:numPr>
        <w:jc w:val="both"/>
        <w:rPr>
          <w:rFonts w:ascii="Arial" w:hAnsi="Arial" w:cs="Arial"/>
        </w:rPr>
      </w:pPr>
      <w:r w:rsidRPr="00246B33">
        <w:rPr>
          <w:rFonts w:ascii="Arial" w:hAnsi="Arial" w:cs="Arial"/>
          <w:b/>
        </w:rPr>
        <w:t>Helyi jövedéki adó</w:t>
      </w:r>
    </w:p>
    <w:p w:rsidR="00CE0AC7" w:rsidRPr="00246B33" w:rsidRDefault="00CE0AC7" w:rsidP="00CE0AC7">
      <w:pPr>
        <w:pStyle w:val="lead"/>
        <w:spacing w:before="0" w:beforeAutospacing="0" w:after="0" w:afterAutospacing="0"/>
        <w:jc w:val="both"/>
        <w:rPr>
          <w:rFonts w:ascii="Arial" w:hAnsi="Arial" w:cs="Arial"/>
        </w:rPr>
      </w:pP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 xml:space="preserve">A jövedéki adóról és jövedéki termékek forgalmazásának különös szabályairól szóló 2003. évi CXXVII. törvény (továbbiakban: </w:t>
      </w:r>
      <w:proofErr w:type="spellStart"/>
      <w:r w:rsidRPr="00246B33">
        <w:rPr>
          <w:rFonts w:ascii="Arial" w:hAnsi="Arial" w:cs="Arial"/>
          <w:sz w:val="22"/>
          <w:szCs w:val="22"/>
        </w:rPr>
        <w:t>Jöt</w:t>
      </w:r>
      <w:proofErr w:type="spellEnd"/>
      <w:r w:rsidRPr="00246B33">
        <w:rPr>
          <w:rFonts w:ascii="Arial" w:hAnsi="Arial" w:cs="Arial"/>
          <w:sz w:val="22"/>
          <w:szCs w:val="22"/>
        </w:rPr>
        <w:t xml:space="preserve">.) értelmében adóköteles a magánfőzés. </w:t>
      </w: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 xml:space="preserve">A </w:t>
      </w:r>
      <w:proofErr w:type="spellStart"/>
      <w:r w:rsidRPr="00246B33">
        <w:rPr>
          <w:rFonts w:ascii="Arial" w:hAnsi="Arial" w:cs="Arial"/>
          <w:sz w:val="22"/>
          <w:szCs w:val="22"/>
        </w:rPr>
        <w:t>Jöt</w:t>
      </w:r>
      <w:proofErr w:type="spellEnd"/>
      <w:r w:rsidRPr="00246B33">
        <w:rPr>
          <w:rFonts w:ascii="Arial" w:hAnsi="Arial" w:cs="Arial"/>
          <w:sz w:val="22"/>
          <w:szCs w:val="22"/>
        </w:rPr>
        <w:t xml:space="preserve">. 5.§. (9) bekezdése alapján a magánfőző desztilláló berendezésének bejelentésével kapcsolatban és a magánfőzés szabályi betartásának ellenőrzésével kapcsolatban – kivéve az előállított termék jogszabálysértő értékesítését – az önkormányzati adóhatóság jár el. </w:t>
      </w: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 xml:space="preserve">A magánfőző a desztillálóberendezés feletti tulajdonszerzést, valamint a bejelentett adatokban történt változást az azt követő 15 napon belül köteles bejelenteni a lakóhelye szerinti önkormányzati adóhatósághoz. Az önkormányzati adóhatóság a bejelentésről értesíti a vámhatóságot és a bejelentéssel érintett másik önkormányzati adóhatóságot. </w:t>
      </w:r>
    </w:p>
    <w:p w:rsidR="00CE0AC7" w:rsidRPr="00246B33" w:rsidRDefault="00CE0AC7" w:rsidP="00CE0AC7">
      <w:pPr>
        <w:pStyle w:val="lead"/>
        <w:spacing w:before="0" w:beforeAutospacing="0" w:after="0" w:afterAutospacing="0"/>
        <w:jc w:val="both"/>
        <w:rPr>
          <w:rFonts w:ascii="Arial" w:hAnsi="Arial" w:cs="Arial"/>
          <w:sz w:val="22"/>
          <w:szCs w:val="22"/>
        </w:rPr>
      </w:pP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2016. január 1-jétől a magánfőzés esetén bevezetésre került a párlat adójegy alkalmazása. Ez a megoldás váltotta ki az éves 1000,</w:t>
      </w:r>
      <w:proofErr w:type="spellStart"/>
      <w:r w:rsidRPr="00246B33">
        <w:rPr>
          <w:rFonts w:ascii="Arial" w:hAnsi="Arial" w:cs="Arial"/>
          <w:sz w:val="22"/>
          <w:szCs w:val="22"/>
        </w:rPr>
        <w:t>-Ft</w:t>
      </w:r>
      <w:proofErr w:type="spellEnd"/>
      <w:r w:rsidRPr="00246B33">
        <w:rPr>
          <w:rFonts w:ascii="Arial" w:hAnsi="Arial" w:cs="Arial"/>
          <w:sz w:val="22"/>
          <w:szCs w:val="22"/>
        </w:rPr>
        <w:t xml:space="preserve"> átalányadót, amelyet az önkormányzati adóhatósághoz kellett befizetni. </w:t>
      </w: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 xml:space="preserve">A fenti időponttól kezdődően a tárgyévben előállítani tervezett magánfőzött párlat előállításához az előállítást megelőzően párlat adójegyet kell beszerezni a vámhatóságtól. (Az önkormányzati adóhatóságnál regisztrált magánfőző jogosult párlat adójegy beszerzésére.) A vámhatóság a párlat adójegyet a párlat adójegy értékének megfizetését követően bocsátja az igénylő rendelkezésére. </w:t>
      </w: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 xml:space="preserve">A vámhatóság a kiadott adójegyekről nyilvántartást vezet, az adatokat átadja az önkormányzati adóhatóság részére. Az adójegyből származó bevétel a központi költségvetést illeti meg. </w:t>
      </w:r>
    </w:p>
    <w:p w:rsidR="00CE0AC7" w:rsidRPr="00246B33" w:rsidRDefault="00CE0AC7" w:rsidP="00CE0AC7">
      <w:pPr>
        <w:pStyle w:val="lead"/>
        <w:spacing w:before="0" w:beforeAutospacing="0" w:after="0" w:afterAutospacing="0"/>
        <w:jc w:val="both"/>
        <w:rPr>
          <w:rFonts w:ascii="Arial" w:hAnsi="Arial" w:cs="Arial"/>
        </w:rPr>
      </w:pPr>
    </w:p>
    <w:p w:rsidR="00CE0AC7" w:rsidRPr="00246B33" w:rsidRDefault="00CE0AC7" w:rsidP="00CE0AC7">
      <w:pPr>
        <w:pStyle w:val="lead"/>
        <w:spacing w:before="0" w:beforeAutospacing="0" w:after="0" w:afterAutospacing="0"/>
        <w:jc w:val="both"/>
        <w:rPr>
          <w:rFonts w:ascii="Arial" w:hAnsi="Arial" w:cs="Arial"/>
          <w:sz w:val="22"/>
          <w:szCs w:val="22"/>
        </w:rPr>
      </w:pPr>
      <w:r w:rsidRPr="00246B33">
        <w:rPr>
          <w:rFonts w:ascii="Arial" w:hAnsi="Arial" w:cs="Arial"/>
          <w:sz w:val="22"/>
          <w:szCs w:val="22"/>
        </w:rPr>
        <w:t xml:space="preserve">A desztillálóberendezés feletti tulajdonjogról a bejelentési kötelezettséget, valamint a bejelentett adatokban történt változás bejelentési kötelezettségét továbbra is az önkormányzati adóhatósághoz kell teljesíteni az önkormányzati adóhatóság által rendszeresített nyomtatványon.  Önkormányzati adóhatóság hatásköre a magánfőzés szabályai betartásának ellenőrzése. </w:t>
      </w:r>
      <w:r w:rsidR="00865383">
        <w:rPr>
          <w:rFonts w:ascii="Arial" w:hAnsi="Arial" w:cs="Arial"/>
          <w:sz w:val="22"/>
          <w:szCs w:val="22"/>
        </w:rPr>
        <w:t xml:space="preserve">Nyilvántartásunk szerint a </w:t>
      </w:r>
      <w:r w:rsidR="00376824">
        <w:rPr>
          <w:rFonts w:ascii="Arial" w:hAnsi="Arial" w:cs="Arial"/>
          <w:sz w:val="22"/>
          <w:szCs w:val="22"/>
        </w:rPr>
        <w:t>bejelentett</w:t>
      </w:r>
      <w:r w:rsidR="00865383">
        <w:rPr>
          <w:rFonts w:ascii="Arial" w:hAnsi="Arial" w:cs="Arial"/>
          <w:sz w:val="22"/>
          <w:szCs w:val="22"/>
        </w:rPr>
        <w:t xml:space="preserve"> berendezések száma: 19.</w:t>
      </w:r>
    </w:p>
    <w:p w:rsidR="006D0C2A" w:rsidRDefault="00E9139C" w:rsidP="006833A9">
      <w:pPr>
        <w:spacing w:before="360"/>
        <w:jc w:val="both"/>
        <w:rPr>
          <w:rFonts w:ascii="Arial" w:hAnsi="Arial" w:cs="Arial"/>
          <w:b/>
        </w:rPr>
      </w:pPr>
      <w:r>
        <w:rPr>
          <w:rFonts w:ascii="Arial" w:hAnsi="Arial" w:cs="Arial"/>
          <w:b/>
        </w:rPr>
        <w:lastRenderedPageBreak/>
        <w:t>2</w:t>
      </w:r>
      <w:r w:rsidR="004C125B">
        <w:rPr>
          <w:rFonts w:ascii="Arial" w:hAnsi="Arial" w:cs="Arial"/>
          <w:b/>
        </w:rPr>
        <w:t>.6</w:t>
      </w:r>
      <w:r w:rsidR="00FC64A8">
        <w:rPr>
          <w:rFonts w:ascii="Arial" w:hAnsi="Arial" w:cs="Arial"/>
          <w:b/>
        </w:rPr>
        <w:t>.</w:t>
      </w:r>
      <w:r w:rsidR="006D0C2A">
        <w:rPr>
          <w:rFonts w:ascii="Arial" w:hAnsi="Arial" w:cs="Arial"/>
          <w:b/>
        </w:rPr>
        <w:t xml:space="preserve"> Talajterhelési díj</w:t>
      </w:r>
    </w:p>
    <w:p w:rsidR="00363C4C" w:rsidRPr="00246B33" w:rsidRDefault="00363C4C" w:rsidP="00363C4C">
      <w:pPr>
        <w:jc w:val="both"/>
        <w:rPr>
          <w:rFonts w:ascii="Arial" w:hAnsi="Arial" w:cs="Arial"/>
        </w:rPr>
      </w:pPr>
      <w:r w:rsidRPr="00246B33">
        <w:rPr>
          <w:rFonts w:ascii="Arial" w:hAnsi="Arial" w:cs="Arial"/>
        </w:rPr>
        <w:t>Talajterhelési díj fizetésére az a kibocsátó kötelezett, aki a műszakilag rendelkezésre álló közcsatornára nem köt rá. A díj mértéke jelenleg 1 200 Ft/m3.</w:t>
      </w:r>
    </w:p>
    <w:p w:rsidR="00363C4C" w:rsidRPr="00246B33" w:rsidRDefault="00363C4C" w:rsidP="00363C4C">
      <w:pPr>
        <w:jc w:val="both"/>
        <w:rPr>
          <w:rFonts w:ascii="Arial" w:hAnsi="Arial" w:cs="Arial"/>
        </w:rPr>
      </w:pPr>
      <w:r w:rsidRPr="00246B33">
        <w:rPr>
          <w:rFonts w:ascii="Arial" w:hAnsi="Arial" w:cs="Arial"/>
        </w:rPr>
        <w:t>Városunk nagymértékben csatornázott, ezért ebből a díjból számottevő bevétel nem származik. 2016-ban 2 db határozatban 49 ezer Ft került kivetésre.</w:t>
      </w:r>
    </w:p>
    <w:p w:rsidR="00363C4C" w:rsidRPr="00246B33" w:rsidRDefault="00363C4C" w:rsidP="00363C4C">
      <w:pPr>
        <w:jc w:val="both"/>
        <w:rPr>
          <w:rFonts w:ascii="Arial" w:hAnsi="Arial" w:cs="Arial"/>
        </w:rPr>
      </w:pPr>
      <w:r w:rsidRPr="00246B33">
        <w:rPr>
          <w:rFonts w:ascii="Arial" w:hAnsi="Arial" w:cs="Arial"/>
        </w:rPr>
        <w:t>A DRV-től kapott pontatlan lista átvizsgálása időigényes, a 119 cím átvizsgálásához képest a realizálható bevétel minimális volt.</w:t>
      </w:r>
    </w:p>
    <w:p w:rsidR="00F409E3" w:rsidRPr="00643A03" w:rsidRDefault="00F409E3" w:rsidP="00643A03">
      <w:pPr>
        <w:pStyle w:val="Listaszerbekezds"/>
        <w:numPr>
          <w:ilvl w:val="1"/>
          <w:numId w:val="39"/>
        </w:numPr>
        <w:spacing w:before="360" w:after="240"/>
        <w:jc w:val="both"/>
        <w:rPr>
          <w:rFonts w:ascii="Arial" w:hAnsi="Arial" w:cs="Arial"/>
          <w:b/>
        </w:rPr>
      </w:pPr>
      <w:r w:rsidRPr="00643A03">
        <w:rPr>
          <w:rFonts w:ascii="Arial" w:hAnsi="Arial" w:cs="Arial"/>
          <w:b/>
        </w:rPr>
        <w:t>Adók módjára behajtandó köztartozások</w:t>
      </w:r>
    </w:p>
    <w:p w:rsidR="00643A03" w:rsidRPr="00246B33" w:rsidRDefault="00643A03" w:rsidP="00643A03">
      <w:pPr>
        <w:spacing w:after="120"/>
        <w:jc w:val="both"/>
        <w:rPr>
          <w:rFonts w:ascii="Arial" w:hAnsi="Arial" w:cs="Arial"/>
        </w:rPr>
      </w:pPr>
      <w:r w:rsidRPr="00246B33">
        <w:rPr>
          <w:rFonts w:ascii="Arial" w:hAnsi="Arial" w:cs="Arial"/>
        </w:rPr>
        <w:t>A helyi adóhatóság szedi be a külső szervek megkeresése alapján az adók módjára behajtható köztartozásokat. Az előző évekről áthozott, illetve a 2016. évi 14 db újabb megkereséssel együtt 49 db végrehajtási ügyünk volt. A beszedett köztartozás december 31. napjáig 999.195,- Ft, melyből az önkormányzatnál marad 130.498,- Ft.</w:t>
      </w:r>
    </w:p>
    <w:p w:rsidR="00F409E3" w:rsidRPr="00FB0978" w:rsidRDefault="00F409E3" w:rsidP="00F409E3">
      <w:pPr>
        <w:spacing w:before="360" w:after="120"/>
        <w:jc w:val="both"/>
        <w:rPr>
          <w:rFonts w:ascii="Arial" w:hAnsi="Arial" w:cs="Arial"/>
          <w:b/>
        </w:rPr>
      </w:pPr>
      <w:r>
        <w:rPr>
          <w:rFonts w:ascii="Arial" w:hAnsi="Arial" w:cs="Arial"/>
          <w:b/>
        </w:rPr>
        <w:t>3</w:t>
      </w:r>
      <w:r w:rsidRPr="00FB0978">
        <w:rPr>
          <w:rFonts w:ascii="Arial" w:hAnsi="Arial" w:cs="Arial"/>
          <w:b/>
        </w:rPr>
        <w:t>. Adó-és értékbizonyítványok kiállítása</w:t>
      </w:r>
    </w:p>
    <w:p w:rsidR="000B0CB2" w:rsidRPr="00246B33" w:rsidRDefault="000B0CB2" w:rsidP="00B62462">
      <w:pPr>
        <w:spacing w:after="0" w:line="240" w:lineRule="auto"/>
        <w:jc w:val="both"/>
        <w:rPr>
          <w:rFonts w:ascii="Arial" w:hAnsi="Arial" w:cs="Arial"/>
        </w:rPr>
      </w:pPr>
      <w:r w:rsidRPr="00246B33">
        <w:rPr>
          <w:rFonts w:ascii="Arial" w:hAnsi="Arial" w:cs="Arial"/>
        </w:rPr>
        <w:t xml:space="preserve">Feladatunk az adó-és értékbizonyítványok kiadása, mely történhet: </w:t>
      </w:r>
    </w:p>
    <w:p w:rsidR="000B0CB2" w:rsidRPr="00246B33" w:rsidRDefault="000B0CB2" w:rsidP="00B62462">
      <w:pPr>
        <w:pStyle w:val="Listaszerbekezds"/>
        <w:numPr>
          <w:ilvl w:val="0"/>
          <w:numId w:val="42"/>
        </w:numPr>
        <w:spacing w:after="0" w:line="240" w:lineRule="auto"/>
        <w:jc w:val="both"/>
        <w:rPr>
          <w:rFonts w:ascii="Arial" w:hAnsi="Arial" w:cs="Arial"/>
        </w:rPr>
      </w:pPr>
      <w:r w:rsidRPr="00246B33">
        <w:rPr>
          <w:rFonts w:ascii="Arial" w:hAnsi="Arial" w:cs="Arial"/>
        </w:rPr>
        <w:t xml:space="preserve">hagyatéki eljáráskor, </w:t>
      </w:r>
    </w:p>
    <w:p w:rsidR="000B0CB2" w:rsidRPr="00246B33" w:rsidRDefault="000B0CB2" w:rsidP="00B62462">
      <w:pPr>
        <w:pStyle w:val="Listaszerbekezds"/>
        <w:numPr>
          <w:ilvl w:val="0"/>
          <w:numId w:val="42"/>
        </w:numPr>
        <w:spacing w:after="0" w:line="240" w:lineRule="auto"/>
        <w:jc w:val="both"/>
        <w:rPr>
          <w:rFonts w:ascii="Arial" w:hAnsi="Arial" w:cs="Arial"/>
        </w:rPr>
      </w:pPr>
      <w:r w:rsidRPr="00246B33">
        <w:rPr>
          <w:rFonts w:ascii="Arial" w:hAnsi="Arial" w:cs="Arial"/>
        </w:rPr>
        <w:t>gyámhatósághoz,</w:t>
      </w:r>
    </w:p>
    <w:p w:rsidR="000B0CB2" w:rsidRPr="00246B33" w:rsidRDefault="000B0CB2" w:rsidP="00B62462">
      <w:pPr>
        <w:pStyle w:val="Listaszerbekezds"/>
        <w:numPr>
          <w:ilvl w:val="0"/>
          <w:numId w:val="42"/>
        </w:numPr>
        <w:spacing w:after="0" w:line="240" w:lineRule="auto"/>
        <w:jc w:val="both"/>
        <w:rPr>
          <w:rFonts w:ascii="Arial" w:hAnsi="Arial" w:cs="Arial"/>
        </w:rPr>
      </w:pPr>
      <w:r w:rsidRPr="00246B33">
        <w:rPr>
          <w:rFonts w:ascii="Arial" w:hAnsi="Arial" w:cs="Arial"/>
        </w:rPr>
        <w:t>bírósági végrehajtóhoz,</w:t>
      </w:r>
    </w:p>
    <w:p w:rsidR="000B0CB2" w:rsidRPr="00246B33" w:rsidRDefault="000B0CB2" w:rsidP="00B62462">
      <w:pPr>
        <w:pStyle w:val="Listaszerbekezds"/>
        <w:numPr>
          <w:ilvl w:val="0"/>
          <w:numId w:val="42"/>
        </w:numPr>
        <w:spacing w:after="0" w:line="240" w:lineRule="auto"/>
        <w:jc w:val="both"/>
        <w:rPr>
          <w:rFonts w:ascii="Arial" w:hAnsi="Arial" w:cs="Arial"/>
        </w:rPr>
      </w:pPr>
      <w:r w:rsidRPr="00246B33">
        <w:rPr>
          <w:rFonts w:ascii="Arial" w:hAnsi="Arial" w:cs="Arial"/>
        </w:rPr>
        <w:t>adóvégrehajtáshoz,</w:t>
      </w:r>
    </w:p>
    <w:p w:rsidR="000B0CB2" w:rsidRPr="00246B33" w:rsidRDefault="000B0CB2" w:rsidP="00B62462">
      <w:pPr>
        <w:pStyle w:val="Listaszerbekezds"/>
        <w:numPr>
          <w:ilvl w:val="0"/>
          <w:numId w:val="42"/>
        </w:numPr>
        <w:spacing w:after="0" w:line="240" w:lineRule="auto"/>
        <w:jc w:val="both"/>
        <w:rPr>
          <w:rFonts w:ascii="Arial" w:hAnsi="Arial" w:cs="Arial"/>
        </w:rPr>
      </w:pPr>
      <w:r w:rsidRPr="00246B33">
        <w:rPr>
          <w:rFonts w:ascii="Arial" w:hAnsi="Arial" w:cs="Arial"/>
        </w:rPr>
        <w:t xml:space="preserve">hitelfelvételhez. </w:t>
      </w:r>
    </w:p>
    <w:p w:rsidR="000B0CB2" w:rsidRPr="00246B33" w:rsidRDefault="000B0CB2" w:rsidP="000D6570">
      <w:pPr>
        <w:spacing w:after="0"/>
        <w:jc w:val="both"/>
        <w:rPr>
          <w:rFonts w:ascii="Arial" w:hAnsi="Arial" w:cs="Arial"/>
        </w:rPr>
      </w:pPr>
      <w:r w:rsidRPr="00246B33">
        <w:rPr>
          <w:rFonts w:ascii="Arial" w:hAnsi="Arial" w:cs="Arial"/>
        </w:rPr>
        <w:t>Adó-és értékbizonyítvány kiadására 2016. évben 126 esetben került sor, melyet megelőzött helyszíni s</w:t>
      </w:r>
      <w:r w:rsidR="00A76B8E">
        <w:rPr>
          <w:rFonts w:ascii="Arial" w:hAnsi="Arial" w:cs="Arial"/>
        </w:rPr>
        <w:t xml:space="preserve">zemle és felmérés. A helyszíni </w:t>
      </w:r>
      <w:r w:rsidRPr="00246B33">
        <w:rPr>
          <w:rFonts w:ascii="Arial" w:hAnsi="Arial" w:cs="Arial"/>
        </w:rPr>
        <w:t xml:space="preserve">szemlével kapcsolatos eljárás jelentős többletmunkát jelent az adóügyi dolgozók esetében. </w:t>
      </w:r>
    </w:p>
    <w:p w:rsidR="00F409E3" w:rsidRPr="00246B33" w:rsidRDefault="00F409E3" w:rsidP="000D6570">
      <w:pPr>
        <w:spacing w:after="0"/>
        <w:jc w:val="both"/>
        <w:rPr>
          <w:rFonts w:ascii="Arial" w:hAnsi="Arial" w:cs="Arial"/>
        </w:rPr>
      </w:pPr>
      <w:r w:rsidRPr="00246B33">
        <w:rPr>
          <w:rFonts w:ascii="Arial" w:hAnsi="Arial" w:cs="Arial"/>
        </w:rPr>
        <w:t xml:space="preserve">Az adóhatóság kérelemre, törvényben előírt esetekben (hagyatéki eljáráshoz, gyámhatósági ügyekhez, földterület felajánlásához életjáradék ellenében, bírósági végrehajtói ügyekhez, NAV végrehajtási ügyekhez) az illetékességi területén fekvő ingatlan fekvéséről, értékéről és adójáról adó- és értékbizonyítványt állít ki, amely tartalmazza az ingatlan és az ingatlanszerzők (tulajdonosok) adatait, az érték megállapításánál figyelembe vett tényezőket, továbbá az ingatlannak az adott időpontban fennálló forgalmi értékét. </w:t>
      </w:r>
    </w:p>
    <w:p w:rsidR="00F409E3" w:rsidRDefault="00F409E3" w:rsidP="00F409E3">
      <w:pPr>
        <w:autoSpaceDE w:val="0"/>
        <w:autoSpaceDN w:val="0"/>
        <w:adjustRightInd w:val="0"/>
        <w:spacing w:after="0"/>
        <w:jc w:val="both"/>
        <w:rPr>
          <w:rFonts w:ascii="Arial" w:hAnsi="Arial" w:cs="Arial"/>
          <w:b/>
        </w:rPr>
      </w:pPr>
    </w:p>
    <w:p w:rsidR="00F409E3" w:rsidRDefault="00F409E3" w:rsidP="00F409E3">
      <w:pPr>
        <w:autoSpaceDE w:val="0"/>
        <w:autoSpaceDN w:val="0"/>
        <w:adjustRightInd w:val="0"/>
        <w:spacing w:after="0"/>
        <w:jc w:val="both"/>
        <w:rPr>
          <w:rFonts w:ascii="Arial" w:hAnsi="Arial" w:cs="Arial"/>
          <w:b/>
        </w:rPr>
      </w:pPr>
      <w:r>
        <w:rPr>
          <w:rFonts w:ascii="Arial" w:hAnsi="Arial" w:cs="Arial"/>
          <w:b/>
        </w:rPr>
        <w:t xml:space="preserve">4. Hátralékok csökkentésére tett </w:t>
      </w:r>
      <w:r w:rsidRPr="00447CC7">
        <w:rPr>
          <w:rFonts w:ascii="Arial" w:hAnsi="Arial" w:cs="Arial"/>
          <w:b/>
        </w:rPr>
        <w:t>intézkedések</w:t>
      </w:r>
    </w:p>
    <w:p w:rsidR="00294C84" w:rsidRDefault="00294C84" w:rsidP="00294C84">
      <w:pPr>
        <w:autoSpaceDE w:val="0"/>
        <w:autoSpaceDN w:val="0"/>
        <w:adjustRightInd w:val="0"/>
        <w:spacing w:after="0"/>
        <w:jc w:val="both"/>
        <w:rPr>
          <w:rFonts w:ascii="Arial" w:hAnsi="Arial" w:cs="Arial"/>
        </w:rPr>
      </w:pPr>
    </w:p>
    <w:p w:rsidR="00294C84" w:rsidRPr="00A76B8E" w:rsidRDefault="00294C84" w:rsidP="00294C84">
      <w:pPr>
        <w:autoSpaceDE w:val="0"/>
        <w:autoSpaceDN w:val="0"/>
        <w:adjustRightInd w:val="0"/>
        <w:spacing w:after="0"/>
        <w:jc w:val="both"/>
        <w:rPr>
          <w:rFonts w:ascii="Arial" w:hAnsi="Arial" w:cs="Arial"/>
        </w:rPr>
      </w:pPr>
      <w:r w:rsidRPr="00A76B8E">
        <w:rPr>
          <w:rFonts w:ascii="Arial" w:hAnsi="Arial" w:cs="Arial"/>
        </w:rPr>
        <w:t>A 2016. évben az összes hátralék 2015. évhez képest 22.508.950,- Ft-tal csökkent, ahogy az</w:t>
      </w:r>
      <w:r w:rsidR="00B6248E" w:rsidRPr="00A76B8E">
        <w:rPr>
          <w:rFonts w:ascii="Arial" w:hAnsi="Arial" w:cs="Arial"/>
        </w:rPr>
        <w:t xml:space="preserve">t az alábbi táblázat </w:t>
      </w:r>
      <w:proofErr w:type="spellStart"/>
      <w:r w:rsidR="00B6248E" w:rsidRPr="00A76B8E">
        <w:rPr>
          <w:rFonts w:ascii="Arial" w:hAnsi="Arial" w:cs="Arial"/>
        </w:rPr>
        <w:t>adónemkénti</w:t>
      </w:r>
      <w:proofErr w:type="spellEnd"/>
      <w:r w:rsidRPr="00A76B8E">
        <w:rPr>
          <w:rFonts w:ascii="Arial" w:hAnsi="Arial" w:cs="Arial"/>
        </w:rPr>
        <w:t xml:space="preserve"> bontásban is mutatja. A hátralék összege tartalmazza a már nem működő, felszámolás alatti gazdasági társaságok adótartozását, valamint az elévülési időszak hátralékállományát is. </w:t>
      </w:r>
    </w:p>
    <w:tbl>
      <w:tblPr>
        <w:tblW w:w="5104" w:type="dxa"/>
        <w:jc w:val="center"/>
        <w:tblCellMar>
          <w:left w:w="70" w:type="dxa"/>
          <w:right w:w="70" w:type="dxa"/>
        </w:tblCellMar>
        <w:tblLook w:val="04A0" w:firstRow="1" w:lastRow="0" w:firstColumn="1" w:lastColumn="0" w:noHBand="0" w:noVBand="1"/>
      </w:tblPr>
      <w:tblGrid>
        <w:gridCol w:w="2127"/>
        <w:gridCol w:w="1418"/>
        <w:gridCol w:w="1559"/>
      </w:tblGrid>
      <w:tr w:rsidR="000D6570" w:rsidRPr="00A76B8E" w:rsidTr="000D6570">
        <w:trPr>
          <w:trHeight w:val="315"/>
          <w:jc w:val="center"/>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jc w:val="center"/>
              <w:rPr>
                <w:rFonts w:asciiTheme="minorHAnsi" w:eastAsia="Times New Roman" w:hAnsiTheme="minorHAnsi" w:cs="Arial"/>
                <w:b/>
                <w:bCs/>
                <w:lang w:eastAsia="hu-HU"/>
              </w:rPr>
            </w:pPr>
            <w:r w:rsidRPr="00A76B8E">
              <w:rPr>
                <w:rFonts w:asciiTheme="minorHAnsi" w:eastAsia="Times New Roman" w:hAnsiTheme="minorHAnsi" w:cs="Arial"/>
                <w:b/>
                <w:bCs/>
                <w:lang w:eastAsia="hu-HU"/>
              </w:rPr>
              <w:t>adónem</w:t>
            </w:r>
          </w:p>
        </w:tc>
        <w:tc>
          <w:tcPr>
            <w:tcW w:w="2977" w:type="dxa"/>
            <w:gridSpan w:val="2"/>
            <w:tcBorders>
              <w:top w:val="single" w:sz="4" w:space="0" w:color="auto"/>
              <w:left w:val="nil"/>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jc w:val="center"/>
              <w:rPr>
                <w:rFonts w:asciiTheme="minorHAnsi" w:eastAsia="Times New Roman" w:hAnsiTheme="minorHAnsi" w:cs="Arial"/>
                <w:b/>
                <w:bCs/>
                <w:lang w:eastAsia="hu-HU"/>
              </w:rPr>
            </w:pPr>
            <w:r w:rsidRPr="00A76B8E">
              <w:rPr>
                <w:rFonts w:asciiTheme="minorHAnsi" w:eastAsia="Times New Roman" w:hAnsiTheme="minorHAnsi" w:cs="Arial"/>
                <w:b/>
                <w:bCs/>
                <w:lang w:eastAsia="hu-HU"/>
              </w:rPr>
              <w:t>összes hátralék</w:t>
            </w:r>
          </w:p>
        </w:tc>
      </w:tr>
      <w:tr w:rsidR="000D6570" w:rsidRPr="00A76B8E" w:rsidTr="000D6570">
        <w:trPr>
          <w:trHeight w:val="315"/>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rPr>
                <w:rFonts w:asciiTheme="minorHAnsi" w:eastAsia="Times New Roman" w:hAnsiTheme="minorHAnsi" w:cs="Arial"/>
                <w:lang w:eastAsia="hu-HU"/>
              </w:rPr>
            </w:pP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center"/>
              <w:rPr>
                <w:rFonts w:asciiTheme="minorHAnsi" w:eastAsia="Times New Roman" w:hAnsiTheme="minorHAnsi" w:cs="Arial"/>
                <w:b/>
                <w:bCs/>
                <w:lang w:eastAsia="hu-HU"/>
              </w:rPr>
            </w:pPr>
            <w:r w:rsidRPr="00A76B8E">
              <w:rPr>
                <w:rFonts w:asciiTheme="minorHAnsi" w:eastAsia="Times New Roman" w:hAnsiTheme="minorHAnsi" w:cs="Arial"/>
                <w:b/>
                <w:bCs/>
                <w:lang w:eastAsia="hu-HU"/>
              </w:rPr>
              <w:t>2015.12.31</w:t>
            </w:r>
          </w:p>
        </w:tc>
        <w:tc>
          <w:tcPr>
            <w:tcW w:w="1559" w:type="dxa"/>
            <w:tcBorders>
              <w:top w:val="nil"/>
              <w:left w:val="nil"/>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jc w:val="center"/>
              <w:rPr>
                <w:rFonts w:asciiTheme="minorHAnsi" w:eastAsia="Times New Roman" w:hAnsiTheme="minorHAnsi" w:cs="Arial"/>
                <w:b/>
                <w:bCs/>
                <w:lang w:eastAsia="hu-HU"/>
              </w:rPr>
            </w:pPr>
            <w:r w:rsidRPr="00A76B8E">
              <w:rPr>
                <w:rFonts w:asciiTheme="minorHAnsi" w:eastAsia="Times New Roman" w:hAnsiTheme="minorHAnsi" w:cs="Arial"/>
                <w:b/>
                <w:bCs/>
                <w:lang w:eastAsia="hu-HU"/>
              </w:rPr>
              <w:t>2016.12.31</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építményadó</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41 905 138</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39  121 523</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idegenforgalmi adó</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4 138 346</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7 133 907</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iparűzési adó</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39 219 465</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26 471 163</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gépjárműadó</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4 543 040</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2 558  994</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késedelmi pótlék</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18 783 629</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10 170 142</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bírság és végrehajtási költség</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1 128 823</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1 753 762</w:t>
            </w:r>
          </w:p>
        </w:tc>
      </w:tr>
      <w:tr w:rsidR="000D6570" w:rsidRPr="00A76B8E" w:rsidTr="000D6570">
        <w:trPr>
          <w:trHeight w:val="300"/>
          <w:jc w:val="center"/>
        </w:trPr>
        <w:tc>
          <w:tcPr>
            <w:tcW w:w="2127" w:type="dxa"/>
            <w:tcBorders>
              <w:top w:val="nil"/>
              <w:left w:val="single" w:sz="4" w:space="0" w:color="auto"/>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rPr>
                <w:rFonts w:asciiTheme="minorHAnsi" w:eastAsia="Times New Roman" w:hAnsiTheme="minorHAnsi" w:cs="Arial"/>
                <w:lang w:eastAsia="hu-HU"/>
              </w:rPr>
            </w:pPr>
            <w:r w:rsidRPr="00A76B8E">
              <w:rPr>
                <w:rFonts w:asciiTheme="minorHAnsi" w:eastAsia="Times New Roman" w:hAnsiTheme="minorHAnsi" w:cs="Arial"/>
                <w:lang w:eastAsia="hu-HU"/>
              </w:rPr>
              <w:t>összesen:</w:t>
            </w:r>
          </w:p>
        </w:tc>
        <w:tc>
          <w:tcPr>
            <w:tcW w:w="1418"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109 718 441</w:t>
            </w:r>
          </w:p>
        </w:tc>
        <w:tc>
          <w:tcPr>
            <w:tcW w:w="1559" w:type="dxa"/>
            <w:tcBorders>
              <w:top w:val="nil"/>
              <w:left w:val="nil"/>
              <w:bottom w:val="single" w:sz="4" w:space="0" w:color="auto"/>
              <w:right w:val="single" w:sz="4" w:space="0" w:color="auto"/>
            </w:tcBorders>
            <w:shd w:val="clear" w:color="auto" w:fill="auto"/>
            <w:noWrap/>
            <w:vAlign w:val="bottom"/>
          </w:tcPr>
          <w:p w:rsidR="000D6570" w:rsidRPr="00A76B8E" w:rsidRDefault="000D6570" w:rsidP="00294C84">
            <w:pPr>
              <w:spacing w:after="0" w:line="240" w:lineRule="auto"/>
              <w:jc w:val="right"/>
              <w:rPr>
                <w:rFonts w:asciiTheme="minorHAnsi" w:eastAsia="Times New Roman" w:hAnsiTheme="minorHAnsi" w:cs="Arial"/>
                <w:lang w:eastAsia="hu-HU"/>
              </w:rPr>
            </w:pPr>
            <w:r w:rsidRPr="00A76B8E">
              <w:rPr>
                <w:rFonts w:asciiTheme="minorHAnsi" w:eastAsia="Times New Roman" w:hAnsiTheme="minorHAnsi" w:cs="Arial"/>
                <w:lang w:eastAsia="hu-HU"/>
              </w:rPr>
              <w:t>87 209 491</w:t>
            </w:r>
          </w:p>
        </w:tc>
      </w:tr>
    </w:tbl>
    <w:p w:rsidR="00294C84" w:rsidRPr="00A76B8E" w:rsidRDefault="00294C84" w:rsidP="00294C84">
      <w:pPr>
        <w:tabs>
          <w:tab w:val="left" w:pos="2760"/>
          <w:tab w:val="left" w:pos="5580"/>
          <w:tab w:val="left" w:pos="8610"/>
          <w:tab w:val="left" w:pos="11400"/>
        </w:tabs>
        <w:rPr>
          <w:i/>
        </w:rPr>
      </w:pPr>
      <w:r w:rsidRPr="00A76B8E">
        <w:lastRenderedPageBreak/>
        <w:t xml:space="preserve">          </w:t>
      </w:r>
    </w:p>
    <w:p w:rsidR="00294C84" w:rsidRDefault="00294C84" w:rsidP="00294C84">
      <w:pPr>
        <w:autoSpaceDE w:val="0"/>
        <w:autoSpaceDN w:val="0"/>
        <w:adjustRightInd w:val="0"/>
        <w:spacing w:after="0"/>
        <w:jc w:val="both"/>
        <w:rPr>
          <w:rFonts w:ascii="Arial" w:hAnsi="Arial" w:cs="Arial"/>
        </w:rPr>
      </w:pPr>
      <w:r w:rsidRPr="00A76B8E">
        <w:rPr>
          <w:rFonts w:ascii="Arial" w:hAnsi="Arial" w:cs="Arial"/>
        </w:rPr>
        <w:t>Hitelező igényt 2016. december 31-ig 14 esetben nyújtottuk be 18.819.019,- Ft összegre. A 2016. évet megelőző években benyújtott hitelezői igény, illetve 2016. évben hitelező egyezségkötés alapján teljesült 1.842.699,- Ft.</w:t>
      </w:r>
    </w:p>
    <w:p w:rsidR="00A76B8E" w:rsidRDefault="00A76B8E" w:rsidP="00294C84">
      <w:pPr>
        <w:autoSpaceDE w:val="0"/>
        <w:autoSpaceDN w:val="0"/>
        <w:adjustRightInd w:val="0"/>
        <w:spacing w:after="0"/>
        <w:jc w:val="both"/>
        <w:rPr>
          <w:rFonts w:ascii="Arial" w:hAnsi="Arial" w:cs="Arial"/>
        </w:rPr>
      </w:pPr>
    </w:p>
    <w:p w:rsidR="00A76B8E" w:rsidRPr="00A76B8E" w:rsidRDefault="00A76B8E" w:rsidP="00294C84">
      <w:pPr>
        <w:autoSpaceDE w:val="0"/>
        <w:autoSpaceDN w:val="0"/>
        <w:adjustRightInd w:val="0"/>
        <w:spacing w:after="0"/>
        <w:jc w:val="both"/>
        <w:rPr>
          <w:rFonts w:ascii="Arial" w:hAnsi="Arial" w:cs="Arial"/>
        </w:rPr>
      </w:pPr>
      <w:r w:rsidRPr="00A76B8E">
        <w:rPr>
          <w:noProof/>
          <w:lang w:eastAsia="hu-HU"/>
        </w:rPr>
        <w:drawing>
          <wp:anchor distT="0" distB="0" distL="114300" distR="114300" simplePos="0" relativeHeight="251659264" behindDoc="0" locked="0" layoutInCell="1" allowOverlap="1" wp14:anchorId="109F97D4" wp14:editId="55904D7F">
            <wp:simplePos x="0" y="0"/>
            <wp:positionH relativeFrom="column">
              <wp:posOffset>369570</wp:posOffset>
            </wp:positionH>
            <wp:positionV relativeFrom="paragraph">
              <wp:posOffset>91440</wp:posOffset>
            </wp:positionV>
            <wp:extent cx="5210175" cy="2743200"/>
            <wp:effectExtent l="0" t="0" r="9525" b="0"/>
            <wp:wrapSquare wrapText="bothSides"/>
            <wp:docPr id="1"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294C84" w:rsidRPr="00294C84" w:rsidRDefault="00294C84" w:rsidP="00294C84">
      <w:pPr>
        <w:autoSpaceDE w:val="0"/>
        <w:autoSpaceDN w:val="0"/>
        <w:adjustRightInd w:val="0"/>
        <w:spacing w:after="0" w:line="240" w:lineRule="auto"/>
        <w:rPr>
          <w:rFonts w:ascii="Arial" w:hAnsi="Arial" w:cs="Arial"/>
          <w:color w:val="00B050"/>
        </w:rPr>
      </w:pPr>
      <w:r w:rsidRPr="00294C84">
        <w:rPr>
          <w:rFonts w:ascii="Arial" w:hAnsi="Arial" w:cs="Arial"/>
          <w:color w:val="00B050"/>
        </w:rPr>
        <w:br w:type="textWrapping" w:clear="all"/>
      </w:r>
    </w:p>
    <w:p w:rsidR="00294C84" w:rsidRPr="00294C84" w:rsidRDefault="00294C84" w:rsidP="00294C84">
      <w:pPr>
        <w:ind w:firstLine="708"/>
        <w:rPr>
          <w:color w:val="00B050"/>
        </w:rPr>
      </w:pPr>
    </w:p>
    <w:p w:rsidR="00294C84" w:rsidRPr="00A76B8E" w:rsidRDefault="00864B3E" w:rsidP="00294C84">
      <w:pPr>
        <w:autoSpaceDE w:val="0"/>
        <w:autoSpaceDN w:val="0"/>
        <w:adjustRightInd w:val="0"/>
        <w:spacing w:after="0" w:line="240" w:lineRule="auto"/>
        <w:jc w:val="both"/>
        <w:rPr>
          <w:rFonts w:ascii="Arial" w:hAnsi="Arial" w:cs="Arial"/>
        </w:rPr>
      </w:pPr>
      <w:r w:rsidRPr="00A76B8E">
        <w:rPr>
          <w:rFonts w:ascii="Arial" w:hAnsi="Arial" w:cs="Arial"/>
        </w:rPr>
        <w:t xml:space="preserve">A </w:t>
      </w:r>
      <w:r w:rsidR="00294C84" w:rsidRPr="00A76B8E">
        <w:rPr>
          <w:rFonts w:ascii="Arial" w:hAnsi="Arial" w:cs="Arial"/>
        </w:rPr>
        <w:t>hátralékok 44%- a már nem működő, illetve többnyire felszámolás alatt lévő társaságoknál van felhalmozva, ezek megtérülése nem valószínűsíthető.</w:t>
      </w:r>
    </w:p>
    <w:p w:rsidR="00294C84" w:rsidRPr="00A76B8E" w:rsidRDefault="00294C84" w:rsidP="00294C84">
      <w:pPr>
        <w:autoSpaceDE w:val="0"/>
        <w:autoSpaceDN w:val="0"/>
        <w:adjustRightInd w:val="0"/>
        <w:spacing w:after="0"/>
        <w:jc w:val="both"/>
        <w:rPr>
          <w:rFonts w:ascii="Arial" w:hAnsi="Arial" w:cs="Arial"/>
        </w:rPr>
      </w:pPr>
    </w:p>
    <w:p w:rsidR="00294C84" w:rsidRPr="00A76B8E" w:rsidRDefault="00294C84" w:rsidP="00294C84">
      <w:pPr>
        <w:autoSpaceDE w:val="0"/>
        <w:autoSpaceDN w:val="0"/>
        <w:adjustRightInd w:val="0"/>
        <w:spacing w:after="0"/>
        <w:jc w:val="both"/>
        <w:rPr>
          <w:rFonts w:ascii="Arial" w:hAnsi="Arial" w:cs="Arial"/>
        </w:rPr>
      </w:pPr>
      <w:r w:rsidRPr="00A76B8E">
        <w:rPr>
          <w:rFonts w:ascii="Arial" w:hAnsi="Arial" w:cs="Arial"/>
        </w:rPr>
        <w:t xml:space="preserve">Az előző évek gyakorlatához hasonlóan a végrehajtási eljárás során nagyrészt hatósági átutalást (inkasszó), és a rendszeres jövedelemből (munkabér, nyugdíj) való letiltás kezdeményeztünk. Azoknál az adózóknál, akiknél semmiféle végrehajtási cselekmény nem vezetett eredményre, és ingó- ingatlan vagyonnal nem rendelkeztek, az adóhatóság megkereste az adózóra illetékes állami adó- és vámhatóságot adótartozások behajtása érdekében. </w:t>
      </w:r>
    </w:p>
    <w:p w:rsidR="00294C84" w:rsidRPr="00A76B8E" w:rsidRDefault="00294C84" w:rsidP="00294C84">
      <w:pPr>
        <w:autoSpaceDE w:val="0"/>
        <w:autoSpaceDN w:val="0"/>
        <w:adjustRightInd w:val="0"/>
        <w:spacing w:after="0"/>
        <w:jc w:val="both"/>
        <w:rPr>
          <w:rFonts w:ascii="Arial" w:hAnsi="Arial" w:cs="Arial"/>
        </w:rPr>
      </w:pPr>
      <w:r w:rsidRPr="00A76B8E">
        <w:rPr>
          <w:rFonts w:ascii="Arial" w:hAnsi="Arial" w:cs="Arial"/>
        </w:rPr>
        <w:t xml:space="preserve"> </w:t>
      </w:r>
    </w:p>
    <w:p w:rsidR="00294C84" w:rsidRPr="00A76B8E" w:rsidRDefault="00294C84" w:rsidP="00294C84">
      <w:pPr>
        <w:autoSpaceDE w:val="0"/>
        <w:autoSpaceDN w:val="0"/>
        <w:adjustRightInd w:val="0"/>
        <w:spacing w:after="0"/>
        <w:jc w:val="both"/>
        <w:rPr>
          <w:rFonts w:ascii="Arial" w:hAnsi="Arial" w:cs="Arial"/>
        </w:rPr>
      </w:pPr>
    </w:p>
    <w:tbl>
      <w:tblPr>
        <w:tblW w:w="1014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920"/>
        <w:gridCol w:w="1207"/>
        <w:gridCol w:w="1701"/>
        <w:gridCol w:w="1701"/>
        <w:gridCol w:w="1220"/>
      </w:tblGrid>
      <w:tr w:rsidR="00A76B8E" w:rsidRPr="00A76B8E" w:rsidTr="00A76B8E">
        <w:trPr>
          <w:trHeight w:val="600"/>
        </w:trPr>
        <w:tc>
          <w:tcPr>
            <w:tcW w:w="3397" w:type="dxa"/>
            <w:shd w:val="clear" w:color="auto" w:fill="auto"/>
            <w:noWrap/>
            <w:vAlign w:val="bottom"/>
            <w:hideMark/>
          </w:tcPr>
          <w:p w:rsidR="00294C84" w:rsidRPr="00A76B8E" w:rsidRDefault="00294C84" w:rsidP="00294C84">
            <w:pPr>
              <w:spacing w:after="0" w:line="240" w:lineRule="auto"/>
              <w:jc w:val="center"/>
              <w:rPr>
                <w:rFonts w:eastAsia="Times New Roman"/>
                <w:b/>
                <w:bCs/>
                <w:lang w:eastAsia="hu-HU"/>
              </w:rPr>
            </w:pPr>
            <w:r w:rsidRPr="00A76B8E">
              <w:rPr>
                <w:rFonts w:eastAsia="Times New Roman"/>
                <w:b/>
                <w:bCs/>
                <w:lang w:eastAsia="hu-HU"/>
              </w:rPr>
              <w:t>Végrehajtási cselekmények (behajtások)</w:t>
            </w:r>
          </w:p>
        </w:tc>
        <w:tc>
          <w:tcPr>
            <w:tcW w:w="5529" w:type="dxa"/>
            <w:gridSpan w:val="4"/>
            <w:shd w:val="clear" w:color="auto" w:fill="auto"/>
            <w:noWrap/>
            <w:vAlign w:val="bottom"/>
            <w:hideMark/>
          </w:tcPr>
          <w:p w:rsidR="00294C84" w:rsidRPr="00A76B8E" w:rsidRDefault="00294C84" w:rsidP="00294C84">
            <w:pPr>
              <w:spacing w:after="0" w:line="240" w:lineRule="auto"/>
              <w:ind w:right="1838"/>
              <w:jc w:val="center"/>
              <w:rPr>
                <w:rFonts w:eastAsia="Times New Roman"/>
                <w:b/>
                <w:bCs/>
                <w:lang w:eastAsia="hu-HU"/>
              </w:rPr>
            </w:pPr>
            <w:r w:rsidRPr="00A76B8E">
              <w:rPr>
                <w:rFonts w:eastAsia="Times New Roman"/>
                <w:b/>
                <w:bCs/>
                <w:lang w:eastAsia="hu-HU"/>
              </w:rPr>
              <w:t>2016. évi végrehajtások</w:t>
            </w:r>
          </w:p>
        </w:tc>
        <w:tc>
          <w:tcPr>
            <w:tcW w:w="1220" w:type="dxa"/>
            <w:shd w:val="clear" w:color="auto" w:fill="auto"/>
            <w:vAlign w:val="bottom"/>
            <w:hideMark/>
          </w:tcPr>
          <w:p w:rsidR="00294C84" w:rsidRPr="00A76B8E" w:rsidRDefault="00294C84" w:rsidP="00294C84">
            <w:pPr>
              <w:spacing w:after="0" w:line="240" w:lineRule="auto"/>
              <w:jc w:val="center"/>
              <w:rPr>
                <w:rFonts w:eastAsia="Times New Roman"/>
                <w:b/>
                <w:bCs/>
                <w:lang w:eastAsia="hu-HU"/>
              </w:rPr>
            </w:pPr>
            <w:r w:rsidRPr="00A76B8E">
              <w:rPr>
                <w:rFonts w:eastAsia="Times New Roman"/>
                <w:b/>
                <w:bCs/>
                <w:lang w:eastAsia="hu-HU"/>
              </w:rPr>
              <w:t xml:space="preserve">2017. évre áthozott-teljesített  </w:t>
            </w:r>
          </w:p>
        </w:tc>
      </w:tr>
      <w:tr w:rsidR="00A76B8E" w:rsidRPr="00A76B8E" w:rsidTr="00A76B8E">
        <w:trPr>
          <w:trHeight w:val="570"/>
        </w:trPr>
        <w:tc>
          <w:tcPr>
            <w:tcW w:w="3397" w:type="dxa"/>
            <w:shd w:val="clear" w:color="auto" w:fill="auto"/>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 </w:t>
            </w:r>
          </w:p>
        </w:tc>
        <w:tc>
          <w:tcPr>
            <w:tcW w:w="920" w:type="dxa"/>
            <w:shd w:val="clear" w:color="auto" w:fill="auto"/>
            <w:hideMark/>
          </w:tcPr>
          <w:p w:rsidR="00294C84" w:rsidRPr="00A76B8E" w:rsidRDefault="00294C84" w:rsidP="00294C84">
            <w:pPr>
              <w:spacing w:after="0" w:line="240" w:lineRule="auto"/>
              <w:jc w:val="center"/>
              <w:rPr>
                <w:rFonts w:eastAsia="Times New Roman"/>
                <w:lang w:eastAsia="hu-HU"/>
              </w:rPr>
            </w:pPr>
            <w:r w:rsidRPr="00A76B8E">
              <w:rPr>
                <w:rFonts w:eastAsia="Times New Roman"/>
                <w:lang w:eastAsia="hu-HU"/>
              </w:rPr>
              <w:t>adózók száma</w:t>
            </w:r>
          </w:p>
        </w:tc>
        <w:tc>
          <w:tcPr>
            <w:tcW w:w="1207" w:type="dxa"/>
            <w:shd w:val="clear" w:color="auto" w:fill="auto"/>
            <w:hideMark/>
          </w:tcPr>
          <w:p w:rsidR="00294C84" w:rsidRPr="00A76B8E" w:rsidRDefault="00294C84" w:rsidP="00294C84">
            <w:pPr>
              <w:spacing w:after="0" w:line="240" w:lineRule="auto"/>
              <w:jc w:val="center"/>
              <w:rPr>
                <w:rFonts w:eastAsia="Times New Roman"/>
                <w:lang w:eastAsia="hu-HU"/>
              </w:rPr>
            </w:pPr>
            <w:r w:rsidRPr="00A76B8E">
              <w:rPr>
                <w:rFonts w:eastAsia="Times New Roman"/>
                <w:lang w:eastAsia="hu-HU"/>
              </w:rPr>
              <w:t>adótételek száma</w:t>
            </w:r>
          </w:p>
        </w:tc>
        <w:tc>
          <w:tcPr>
            <w:tcW w:w="1701" w:type="dxa"/>
            <w:shd w:val="clear" w:color="auto" w:fill="auto"/>
            <w:hideMark/>
          </w:tcPr>
          <w:p w:rsidR="00294C84" w:rsidRPr="00A76B8E" w:rsidRDefault="00294C84" w:rsidP="00294C84">
            <w:pPr>
              <w:spacing w:after="0" w:line="240" w:lineRule="auto"/>
              <w:jc w:val="center"/>
              <w:rPr>
                <w:rFonts w:eastAsia="Times New Roman"/>
                <w:lang w:eastAsia="hu-HU"/>
              </w:rPr>
            </w:pPr>
            <w:r w:rsidRPr="00A76B8E">
              <w:rPr>
                <w:rFonts w:eastAsia="Times New Roman"/>
                <w:lang w:eastAsia="hu-HU"/>
              </w:rPr>
              <w:t>végrehajtási összeg</w:t>
            </w:r>
          </w:p>
        </w:tc>
        <w:tc>
          <w:tcPr>
            <w:tcW w:w="1701" w:type="dxa"/>
            <w:shd w:val="clear" w:color="auto" w:fill="auto"/>
            <w:hideMark/>
          </w:tcPr>
          <w:p w:rsidR="00294C84" w:rsidRPr="00A76B8E" w:rsidRDefault="00294C84" w:rsidP="00294C84">
            <w:pPr>
              <w:spacing w:after="0" w:line="240" w:lineRule="auto"/>
              <w:jc w:val="center"/>
              <w:rPr>
                <w:rFonts w:eastAsia="Times New Roman"/>
                <w:lang w:eastAsia="hu-HU"/>
              </w:rPr>
            </w:pPr>
            <w:r w:rsidRPr="00A76B8E">
              <w:rPr>
                <w:rFonts w:eastAsia="Times New Roman"/>
                <w:lang w:eastAsia="hu-HU"/>
              </w:rPr>
              <w:t>befolyt összeg</w:t>
            </w:r>
          </w:p>
        </w:tc>
        <w:tc>
          <w:tcPr>
            <w:tcW w:w="1220" w:type="dxa"/>
            <w:shd w:val="clear" w:color="auto" w:fill="auto"/>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 </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hatósági átutalás</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151</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341</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40 975 761</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30 743 563</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192 275</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munkabér - nyugdíj letiltás</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42</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90</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2 373 308</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213 766</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173 354</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munkáltató fizetésre kötelezése</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9</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253 476</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253 476</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forgalomból való kivonás</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14</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21</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464 310</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283 202</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 xml:space="preserve">jelzálogjog </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173 277</w:t>
            </w:r>
          </w:p>
        </w:tc>
        <w:tc>
          <w:tcPr>
            <w:tcW w:w="1220"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 </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átvezetés</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25</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44</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731 867</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731 867</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proofErr w:type="spellStart"/>
            <w:r w:rsidRPr="00A76B8E">
              <w:rPr>
                <w:rFonts w:eastAsia="Times New Roman"/>
                <w:lang w:eastAsia="hu-HU"/>
              </w:rPr>
              <w:t>NAV-nak</w:t>
            </w:r>
            <w:proofErr w:type="spellEnd"/>
            <w:r w:rsidRPr="00A76B8E">
              <w:rPr>
                <w:rFonts w:eastAsia="Times New Roman"/>
                <w:lang w:eastAsia="hu-HU"/>
              </w:rPr>
              <w:t xml:space="preserve"> átadva </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14</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47</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4 161 469</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708 566</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r>
      <w:tr w:rsidR="00A76B8E" w:rsidRPr="00A76B8E" w:rsidTr="00A76B8E">
        <w:trPr>
          <w:trHeight w:val="285"/>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fizetési felszólítás</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4</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19 877</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10 477</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r>
      <w:tr w:rsidR="00A76B8E" w:rsidRPr="00A76B8E" w:rsidTr="00A76B8E">
        <w:trPr>
          <w:trHeight w:val="315"/>
        </w:trPr>
        <w:tc>
          <w:tcPr>
            <w:tcW w:w="3397" w:type="dxa"/>
            <w:shd w:val="pct20" w:color="auto" w:fill="D9D9D9" w:themeFill="background1" w:themeFillShade="D9"/>
            <w:noWrap/>
            <w:vAlign w:val="bottom"/>
            <w:hideMark/>
          </w:tcPr>
          <w:p w:rsidR="00294C84" w:rsidRPr="00A76B8E" w:rsidRDefault="00294C84" w:rsidP="00294C84">
            <w:pPr>
              <w:spacing w:after="0" w:line="240" w:lineRule="auto"/>
              <w:rPr>
                <w:rFonts w:eastAsia="Times New Roman"/>
                <w:b/>
                <w:bCs/>
                <w:lang w:eastAsia="hu-HU"/>
              </w:rPr>
            </w:pPr>
            <w:r w:rsidRPr="00A76B8E">
              <w:rPr>
                <w:rFonts w:eastAsia="Times New Roman"/>
                <w:b/>
                <w:bCs/>
                <w:lang w:eastAsia="hu-HU"/>
              </w:rPr>
              <w:t xml:space="preserve">összesen </w:t>
            </w:r>
          </w:p>
        </w:tc>
        <w:tc>
          <w:tcPr>
            <w:tcW w:w="920" w:type="dxa"/>
            <w:shd w:val="pct20" w:color="auto" w:fill="D9D9D9" w:themeFill="background1" w:themeFillShade="D9"/>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254</w:t>
            </w:r>
          </w:p>
        </w:tc>
        <w:tc>
          <w:tcPr>
            <w:tcW w:w="1207" w:type="dxa"/>
            <w:shd w:val="pct20" w:color="auto" w:fill="D9D9D9" w:themeFill="background1" w:themeFillShade="D9"/>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556</w:t>
            </w:r>
          </w:p>
        </w:tc>
        <w:tc>
          <w:tcPr>
            <w:tcW w:w="1701" w:type="dxa"/>
            <w:shd w:val="pct20" w:color="auto" w:fill="D9D9D9" w:themeFill="background1" w:themeFillShade="D9"/>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48 980 068</w:t>
            </w:r>
          </w:p>
        </w:tc>
        <w:tc>
          <w:tcPr>
            <w:tcW w:w="1701" w:type="dxa"/>
            <w:shd w:val="pct20" w:color="auto" w:fill="D9D9D9" w:themeFill="background1" w:themeFillShade="D9"/>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33 118 194</w:t>
            </w:r>
          </w:p>
        </w:tc>
        <w:tc>
          <w:tcPr>
            <w:tcW w:w="1220" w:type="dxa"/>
            <w:shd w:val="pct20" w:color="auto" w:fill="D9D9D9" w:themeFill="background1" w:themeFillShade="D9"/>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365 629</w:t>
            </w:r>
          </w:p>
        </w:tc>
      </w:tr>
      <w:tr w:rsidR="00A76B8E" w:rsidRPr="00A76B8E" w:rsidTr="00A76B8E">
        <w:trPr>
          <w:trHeight w:val="300"/>
        </w:trPr>
        <w:tc>
          <w:tcPr>
            <w:tcW w:w="3397" w:type="dxa"/>
            <w:shd w:val="clear" w:color="auto" w:fill="auto"/>
            <w:noWrap/>
            <w:vAlign w:val="bottom"/>
            <w:hideMark/>
          </w:tcPr>
          <w:p w:rsidR="00294C84" w:rsidRPr="00A76B8E" w:rsidRDefault="00294C84" w:rsidP="00294C84">
            <w:pPr>
              <w:spacing w:after="0" w:line="240" w:lineRule="auto"/>
              <w:rPr>
                <w:rFonts w:eastAsia="Times New Roman"/>
                <w:lang w:eastAsia="hu-HU"/>
              </w:rPr>
            </w:pPr>
            <w:r w:rsidRPr="00A76B8E">
              <w:rPr>
                <w:rFonts w:eastAsia="Times New Roman"/>
                <w:lang w:eastAsia="hu-HU"/>
              </w:rPr>
              <w:t>telefonon egyeztetve</w:t>
            </w:r>
          </w:p>
        </w:tc>
        <w:tc>
          <w:tcPr>
            <w:tcW w:w="9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284</w:t>
            </w:r>
          </w:p>
        </w:tc>
        <w:tc>
          <w:tcPr>
            <w:tcW w:w="1207"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383</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20 317 698</w:t>
            </w:r>
          </w:p>
        </w:tc>
        <w:tc>
          <w:tcPr>
            <w:tcW w:w="1701"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17 983 811</w:t>
            </w:r>
          </w:p>
        </w:tc>
        <w:tc>
          <w:tcPr>
            <w:tcW w:w="1220" w:type="dxa"/>
            <w:shd w:val="clear" w:color="auto" w:fill="auto"/>
            <w:noWrap/>
            <w:vAlign w:val="bottom"/>
            <w:hideMark/>
          </w:tcPr>
          <w:p w:rsidR="00294C84" w:rsidRPr="00A76B8E" w:rsidRDefault="00294C84" w:rsidP="00294C84">
            <w:pPr>
              <w:spacing w:after="0" w:line="240" w:lineRule="auto"/>
              <w:jc w:val="right"/>
              <w:rPr>
                <w:rFonts w:eastAsia="Times New Roman"/>
                <w:lang w:eastAsia="hu-HU"/>
              </w:rPr>
            </w:pPr>
            <w:r w:rsidRPr="00A76B8E">
              <w:rPr>
                <w:rFonts w:eastAsia="Times New Roman"/>
                <w:lang w:eastAsia="hu-HU"/>
              </w:rPr>
              <w:t>0</w:t>
            </w:r>
          </w:p>
        </w:tc>
      </w:tr>
      <w:tr w:rsidR="00A76B8E" w:rsidRPr="00A76B8E" w:rsidTr="00A76B8E">
        <w:trPr>
          <w:trHeight w:val="315"/>
        </w:trPr>
        <w:tc>
          <w:tcPr>
            <w:tcW w:w="3397" w:type="dxa"/>
            <w:shd w:val="clear" w:color="auto" w:fill="A6A6A6" w:themeFill="background1" w:themeFillShade="A6"/>
            <w:noWrap/>
            <w:vAlign w:val="bottom"/>
            <w:hideMark/>
          </w:tcPr>
          <w:p w:rsidR="00294C84" w:rsidRPr="00A76B8E" w:rsidRDefault="00294C84" w:rsidP="00294C84">
            <w:pPr>
              <w:spacing w:after="0" w:line="240" w:lineRule="auto"/>
              <w:rPr>
                <w:rFonts w:eastAsia="Times New Roman"/>
                <w:b/>
                <w:bCs/>
                <w:lang w:eastAsia="hu-HU"/>
              </w:rPr>
            </w:pPr>
            <w:r w:rsidRPr="00A76B8E">
              <w:rPr>
                <w:rFonts w:eastAsia="Times New Roman"/>
                <w:b/>
                <w:bCs/>
                <w:lang w:eastAsia="hu-HU"/>
              </w:rPr>
              <w:t xml:space="preserve">összesen </w:t>
            </w:r>
          </w:p>
        </w:tc>
        <w:tc>
          <w:tcPr>
            <w:tcW w:w="920" w:type="dxa"/>
            <w:shd w:val="clear" w:color="auto" w:fill="A6A6A6" w:themeFill="background1" w:themeFillShade="A6"/>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538</w:t>
            </w:r>
          </w:p>
        </w:tc>
        <w:tc>
          <w:tcPr>
            <w:tcW w:w="1207" w:type="dxa"/>
            <w:shd w:val="clear" w:color="auto" w:fill="A6A6A6" w:themeFill="background1" w:themeFillShade="A6"/>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939</w:t>
            </w:r>
          </w:p>
        </w:tc>
        <w:tc>
          <w:tcPr>
            <w:tcW w:w="1701" w:type="dxa"/>
            <w:shd w:val="clear" w:color="auto" w:fill="A6A6A6" w:themeFill="background1" w:themeFillShade="A6"/>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69 297 766</w:t>
            </w:r>
          </w:p>
        </w:tc>
        <w:tc>
          <w:tcPr>
            <w:tcW w:w="1701" w:type="dxa"/>
            <w:shd w:val="clear" w:color="auto" w:fill="A6A6A6" w:themeFill="background1" w:themeFillShade="A6"/>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51 102 005</w:t>
            </w:r>
          </w:p>
        </w:tc>
        <w:tc>
          <w:tcPr>
            <w:tcW w:w="1220" w:type="dxa"/>
            <w:shd w:val="clear" w:color="auto" w:fill="A6A6A6" w:themeFill="background1" w:themeFillShade="A6"/>
            <w:noWrap/>
            <w:vAlign w:val="bottom"/>
            <w:hideMark/>
          </w:tcPr>
          <w:p w:rsidR="00294C84" w:rsidRPr="00A76B8E" w:rsidRDefault="00294C84" w:rsidP="00294C84">
            <w:pPr>
              <w:spacing w:after="0" w:line="240" w:lineRule="auto"/>
              <w:jc w:val="right"/>
              <w:rPr>
                <w:rFonts w:eastAsia="Times New Roman"/>
                <w:b/>
                <w:lang w:eastAsia="hu-HU"/>
              </w:rPr>
            </w:pPr>
            <w:r w:rsidRPr="00A76B8E">
              <w:rPr>
                <w:rFonts w:eastAsia="Times New Roman"/>
                <w:b/>
                <w:lang w:eastAsia="hu-HU"/>
              </w:rPr>
              <w:t>365 629</w:t>
            </w:r>
          </w:p>
        </w:tc>
      </w:tr>
    </w:tbl>
    <w:p w:rsidR="00294C84" w:rsidRPr="00A76B8E" w:rsidRDefault="00294C84" w:rsidP="00294C84">
      <w:pPr>
        <w:ind w:firstLine="708"/>
        <w:rPr>
          <w:rFonts w:ascii="Arial" w:hAnsi="Arial" w:cs="Arial"/>
        </w:rPr>
      </w:pPr>
    </w:p>
    <w:p w:rsidR="00294C84" w:rsidRPr="00A76B8E" w:rsidRDefault="00294C84" w:rsidP="00294C84">
      <w:pPr>
        <w:jc w:val="both"/>
        <w:rPr>
          <w:rFonts w:ascii="Arial" w:hAnsi="Arial" w:cs="Arial"/>
        </w:rPr>
      </w:pPr>
      <w:r w:rsidRPr="00A76B8E">
        <w:rPr>
          <w:rFonts w:ascii="Arial" w:hAnsi="Arial" w:cs="Arial"/>
        </w:rPr>
        <w:lastRenderedPageBreak/>
        <w:t xml:space="preserve">Az </w:t>
      </w:r>
      <w:r w:rsidR="00EE664C" w:rsidRPr="00A76B8E">
        <w:rPr>
          <w:rFonts w:ascii="Arial" w:hAnsi="Arial" w:cs="Arial"/>
        </w:rPr>
        <w:t>Art</w:t>
      </w:r>
      <w:proofErr w:type="gramStart"/>
      <w:r w:rsidR="00EE664C" w:rsidRPr="00A76B8E">
        <w:rPr>
          <w:rFonts w:ascii="Arial" w:hAnsi="Arial" w:cs="Arial"/>
        </w:rPr>
        <w:t>.</w:t>
      </w:r>
      <w:r w:rsidRPr="00A76B8E">
        <w:rPr>
          <w:rFonts w:ascii="Arial" w:hAnsi="Arial" w:cs="Arial"/>
        </w:rPr>
        <w:t>,</w:t>
      </w:r>
      <w:proofErr w:type="gramEnd"/>
      <w:r w:rsidRPr="00A76B8E">
        <w:rPr>
          <w:rFonts w:ascii="Arial" w:hAnsi="Arial" w:cs="Arial"/>
        </w:rPr>
        <w:t xml:space="preserve"> valamint a bírósági végrehajtásáról szóló 1994. évi LIII. törvény alapján a végrehajtási eljárásban a telefonon történt egyeztetés nem végrehajtási cselekmény, azonban a fenti táblázatból is kitűnik, hogy az adózóval való személyes kapcsolatfelvétel hatékonyabb a tartozások rendezésére. A</w:t>
      </w:r>
      <w:r w:rsidR="00864B3E" w:rsidRPr="00A76B8E">
        <w:rPr>
          <w:rFonts w:ascii="Arial" w:hAnsi="Arial" w:cs="Arial"/>
        </w:rPr>
        <w:t>z így befolyt összeg 17.983.811</w:t>
      </w:r>
      <w:r w:rsidRPr="00A76B8E">
        <w:rPr>
          <w:rFonts w:ascii="Arial" w:hAnsi="Arial" w:cs="Arial"/>
        </w:rPr>
        <w:t xml:space="preserve">-Ft.  </w:t>
      </w:r>
      <w:r w:rsidRPr="00A76B8E">
        <w:rPr>
          <w:rFonts w:ascii="Arial" w:hAnsi="Arial" w:cs="Arial"/>
        </w:rPr>
        <w:tab/>
      </w:r>
    </w:p>
    <w:p w:rsidR="00294C84" w:rsidRPr="00F114C2" w:rsidRDefault="00294C84" w:rsidP="00294C84">
      <w:pPr>
        <w:autoSpaceDE w:val="0"/>
        <w:autoSpaceDN w:val="0"/>
        <w:adjustRightInd w:val="0"/>
        <w:spacing w:after="0"/>
        <w:jc w:val="both"/>
        <w:rPr>
          <w:rFonts w:ascii="Arial" w:hAnsi="Arial" w:cs="Arial"/>
        </w:rPr>
      </w:pPr>
      <w:r w:rsidRPr="00A76B8E">
        <w:rPr>
          <w:rFonts w:ascii="Arial" w:hAnsi="Arial" w:cs="Arial"/>
        </w:rPr>
        <w:t>A hitelező igényt és az egyezségkö</w:t>
      </w:r>
      <w:r w:rsidR="00864B3E" w:rsidRPr="00A76B8E">
        <w:rPr>
          <w:rFonts w:ascii="Arial" w:hAnsi="Arial" w:cs="Arial"/>
        </w:rPr>
        <w:t>tés alapján teljesült 1.842.699</w:t>
      </w:r>
      <w:r w:rsidRPr="00A76B8E">
        <w:rPr>
          <w:rFonts w:ascii="Arial" w:hAnsi="Arial" w:cs="Arial"/>
        </w:rPr>
        <w:t xml:space="preserve">- Ft-tal, együtt </w:t>
      </w:r>
      <w:r w:rsidRPr="00F114C2">
        <w:rPr>
          <w:rFonts w:ascii="Arial" w:hAnsi="Arial" w:cs="Arial"/>
        </w:rPr>
        <w:t>a végrehajtási elj</w:t>
      </w:r>
      <w:r w:rsidR="00864B3E" w:rsidRPr="00F114C2">
        <w:rPr>
          <w:rFonts w:ascii="Arial" w:hAnsi="Arial" w:cs="Arial"/>
        </w:rPr>
        <w:t>árás során összesen: 52.944.7</w:t>
      </w:r>
      <w:r w:rsidR="003501E1">
        <w:rPr>
          <w:rFonts w:ascii="Arial" w:hAnsi="Arial" w:cs="Arial"/>
        </w:rPr>
        <w:t xml:space="preserve">04 </w:t>
      </w:r>
      <w:r w:rsidRPr="00F114C2">
        <w:rPr>
          <w:rFonts w:ascii="Arial" w:hAnsi="Arial" w:cs="Arial"/>
        </w:rPr>
        <w:t xml:space="preserve">Ft összeg került megfizetésre. </w:t>
      </w:r>
    </w:p>
    <w:p w:rsidR="00F409E3" w:rsidRPr="00A76B8E" w:rsidRDefault="00F409E3" w:rsidP="00F409E3">
      <w:pPr>
        <w:autoSpaceDE w:val="0"/>
        <w:autoSpaceDN w:val="0"/>
        <w:adjustRightInd w:val="0"/>
        <w:spacing w:after="0" w:line="240" w:lineRule="auto"/>
        <w:jc w:val="center"/>
        <w:rPr>
          <w:rFonts w:ascii="Arial" w:hAnsi="Arial" w:cs="Arial"/>
        </w:rPr>
      </w:pPr>
    </w:p>
    <w:p w:rsidR="00F409E3" w:rsidRPr="00A76B8E" w:rsidRDefault="00F409E3" w:rsidP="00F409E3">
      <w:pPr>
        <w:numPr>
          <w:ilvl w:val="0"/>
          <w:numId w:val="34"/>
        </w:numPr>
        <w:spacing w:before="240" w:after="240"/>
        <w:ind w:left="426" w:hanging="426"/>
        <w:jc w:val="both"/>
        <w:rPr>
          <w:rFonts w:ascii="Arial" w:hAnsi="Arial" w:cs="Arial"/>
          <w:b/>
        </w:rPr>
      </w:pPr>
      <w:r w:rsidRPr="00A76B8E">
        <w:rPr>
          <w:rFonts w:ascii="Arial" w:hAnsi="Arial" w:cs="Arial"/>
          <w:b/>
        </w:rPr>
        <w:t>Fizetési könnyítéses eljárások</w:t>
      </w:r>
    </w:p>
    <w:p w:rsidR="001B3C83" w:rsidRPr="00A76B8E" w:rsidRDefault="001B3C83" w:rsidP="00CC503A">
      <w:pPr>
        <w:pStyle w:val="Listaszerbekezds"/>
        <w:spacing w:after="120"/>
        <w:ind w:left="0"/>
        <w:jc w:val="both"/>
        <w:rPr>
          <w:rFonts w:ascii="Arial" w:hAnsi="Arial" w:cs="Arial"/>
        </w:rPr>
      </w:pPr>
      <w:r w:rsidRPr="00A76B8E">
        <w:rPr>
          <w:rFonts w:ascii="Arial" w:hAnsi="Arial" w:cs="Arial"/>
        </w:rPr>
        <w:t xml:space="preserve">Magánszemélyektől 2016-ban 12 db fizetési könnyítésre, illetve adómérséklésre irányuló kérelem érkezett adóhatóságunkhoz. Adómérséklést 302 e Ft összegben engedélyeztünk, 7 db esetben elutasításra került, mivel a törvényi feltételeknek nem felelt meg 1 esetben felfüggesztésre került, mivel az adózó méltányossági kérelmével egyidejűleg fellebbezést nyújtott be.      </w:t>
      </w:r>
    </w:p>
    <w:p w:rsidR="001B3C83" w:rsidRPr="00A76B8E" w:rsidRDefault="001B3C83" w:rsidP="00CC503A">
      <w:pPr>
        <w:pStyle w:val="Listaszerbekezds"/>
        <w:ind w:left="0"/>
        <w:jc w:val="both"/>
        <w:rPr>
          <w:rFonts w:ascii="Arial" w:hAnsi="Arial" w:cs="Arial"/>
        </w:rPr>
      </w:pPr>
      <w:r w:rsidRPr="00A76B8E">
        <w:rPr>
          <w:rFonts w:ascii="Arial" w:hAnsi="Arial" w:cs="Arial"/>
        </w:rPr>
        <w:t>Gazdasági társaság fizetési halasztás</w:t>
      </w:r>
      <w:r w:rsidR="00864B3E" w:rsidRPr="00A76B8E">
        <w:rPr>
          <w:rFonts w:ascii="Arial" w:hAnsi="Arial" w:cs="Arial"/>
        </w:rPr>
        <w:t>t</w:t>
      </w:r>
      <w:r w:rsidRPr="00A76B8E">
        <w:rPr>
          <w:rFonts w:ascii="Arial" w:hAnsi="Arial" w:cs="Arial"/>
        </w:rPr>
        <w:t xml:space="preserve"> 6 esetben kért, 2 esetben elutasítottuk a kérelmet, mivel törvényi feltételeknek nem feleltek meg, a másik 4 esetben fizetési halasztást engedélyeztük. </w:t>
      </w:r>
    </w:p>
    <w:p w:rsidR="00CC503A" w:rsidRPr="00B6248E" w:rsidRDefault="00CC503A" w:rsidP="00CC503A">
      <w:pPr>
        <w:pStyle w:val="Listaszerbekezds"/>
        <w:ind w:left="0"/>
        <w:jc w:val="both"/>
        <w:rPr>
          <w:rFonts w:ascii="Arial" w:hAnsi="Arial" w:cs="Arial"/>
          <w:color w:val="0070C0"/>
        </w:rPr>
      </w:pPr>
    </w:p>
    <w:p w:rsidR="00F409E3" w:rsidRPr="00AB5899" w:rsidRDefault="00F409E3" w:rsidP="00CC503A">
      <w:pPr>
        <w:pStyle w:val="Listaszerbekezds"/>
        <w:numPr>
          <w:ilvl w:val="0"/>
          <w:numId w:val="34"/>
        </w:numPr>
        <w:spacing w:before="360" w:after="240"/>
        <w:ind w:hanging="720"/>
        <w:jc w:val="both"/>
        <w:rPr>
          <w:rFonts w:ascii="Arial" w:hAnsi="Arial" w:cs="Arial"/>
          <w:b/>
        </w:rPr>
      </w:pPr>
      <w:r w:rsidRPr="00AB5899">
        <w:rPr>
          <w:rFonts w:ascii="Arial" w:hAnsi="Arial" w:cs="Arial"/>
          <w:b/>
        </w:rPr>
        <w:t>2</w:t>
      </w:r>
      <w:r w:rsidR="00AB5899" w:rsidRPr="00AB5899">
        <w:rPr>
          <w:rFonts w:ascii="Arial" w:hAnsi="Arial" w:cs="Arial"/>
          <w:b/>
        </w:rPr>
        <w:t>016-o</w:t>
      </w:r>
      <w:r w:rsidRPr="00AB5899">
        <w:rPr>
          <w:rFonts w:ascii="Arial" w:hAnsi="Arial" w:cs="Arial"/>
          <w:b/>
        </w:rPr>
        <w:t xml:space="preserve">s ellenőrzési tevékenység helyi adók vonatkozásában </w:t>
      </w:r>
    </w:p>
    <w:p w:rsidR="00AB5899" w:rsidRPr="00A76B8E" w:rsidRDefault="00AB5899" w:rsidP="00AB5899">
      <w:pPr>
        <w:spacing w:before="360" w:after="240"/>
        <w:jc w:val="both"/>
        <w:rPr>
          <w:rFonts w:ascii="Arial" w:hAnsi="Arial" w:cs="Arial"/>
        </w:rPr>
      </w:pPr>
      <w:r w:rsidRPr="00A76B8E">
        <w:rPr>
          <w:rFonts w:ascii="Arial" w:hAnsi="Arial" w:cs="Arial"/>
        </w:rPr>
        <w:t>Az adóigazgatási fontos területe az adóellenőrzés. Az adóellenőrzéssel kapcsolatos feladatok:</w:t>
      </w:r>
    </w:p>
    <w:p w:rsidR="00AB5899" w:rsidRPr="00A76B8E" w:rsidRDefault="00AB5899" w:rsidP="00EF1658">
      <w:pPr>
        <w:pStyle w:val="Listaszerbekezds"/>
        <w:numPr>
          <w:ilvl w:val="0"/>
          <w:numId w:val="46"/>
        </w:numPr>
        <w:spacing w:after="0"/>
        <w:jc w:val="both"/>
        <w:rPr>
          <w:rFonts w:ascii="Arial" w:hAnsi="Arial" w:cs="Arial"/>
        </w:rPr>
      </w:pPr>
      <w:r w:rsidRPr="00A76B8E">
        <w:rPr>
          <w:rFonts w:ascii="Arial" w:hAnsi="Arial" w:cs="Arial"/>
        </w:rPr>
        <w:t>a kijelölt adóalanyoknál az adóellenőrzés lefolytatása,</w:t>
      </w:r>
    </w:p>
    <w:p w:rsidR="00AB5899" w:rsidRPr="00A76B8E" w:rsidRDefault="00AB5899" w:rsidP="00EF1658">
      <w:pPr>
        <w:pStyle w:val="Listaszerbekezds"/>
        <w:numPr>
          <w:ilvl w:val="0"/>
          <w:numId w:val="46"/>
        </w:numPr>
        <w:spacing w:after="0"/>
        <w:jc w:val="both"/>
        <w:rPr>
          <w:rFonts w:ascii="Arial" w:hAnsi="Arial" w:cs="Arial"/>
        </w:rPr>
      </w:pPr>
      <w:r w:rsidRPr="00A76B8E">
        <w:rPr>
          <w:rFonts w:ascii="Arial" w:hAnsi="Arial" w:cs="Arial"/>
        </w:rPr>
        <w:t>szükség szerint helyszíni ellenőrzés, megállapítások írásba foglalása, a jegyzőkönyv az ellenőrzés al</w:t>
      </w:r>
      <w:r w:rsidR="00EF1658" w:rsidRPr="00A76B8E">
        <w:rPr>
          <w:rFonts w:ascii="Arial" w:hAnsi="Arial" w:cs="Arial"/>
        </w:rPr>
        <w:t>á vont részére történő megküldése,</w:t>
      </w:r>
    </w:p>
    <w:p w:rsidR="00EF1658" w:rsidRPr="00A76B8E" w:rsidRDefault="00EF1658" w:rsidP="00EF1658">
      <w:pPr>
        <w:pStyle w:val="Listaszerbekezds"/>
        <w:numPr>
          <w:ilvl w:val="0"/>
          <w:numId w:val="46"/>
        </w:numPr>
        <w:spacing w:after="0"/>
        <w:jc w:val="both"/>
        <w:rPr>
          <w:rFonts w:ascii="Arial" w:hAnsi="Arial" w:cs="Arial"/>
        </w:rPr>
      </w:pPr>
      <w:r w:rsidRPr="00A76B8E">
        <w:rPr>
          <w:rFonts w:ascii="Arial" w:hAnsi="Arial" w:cs="Arial"/>
        </w:rPr>
        <w:t>határozat kibocsátása a megállapított adóhiányról, adóbírságról, késedelmi pótlékról.</w:t>
      </w:r>
    </w:p>
    <w:p w:rsidR="00CC503A" w:rsidRPr="00A76B8E" w:rsidRDefault="00CC503A" w:rsidP="00CC503A">
      <w:pPr>
        <w:pStyle w:val="Listaszerbekezds"/>
        <w:spacing w:after="0"/>
        <w:jc w:val="both"/>
        <w:rPr>
          <w:rFonts w:ascii="Arial" w:hAnsi="Arial" w:cs="Arial"/>
        </w:rPr>
      </w:pPr>
      <w:r w:rsidRPr="00A76B8E">
        <w:rPr>
          <w:rFonts w:ascii="Arial" w:hAnsi="Arial" w:cs="Arial"/>
        </w:rPr>
        <w:t xml:space="preserve"> </w:t>
      </w:r>
    </w:p>
    <w:p w:rsidR="00F409E3" w:rsidRPr="00A76B8E" w:rsidRDefault="00F409E3" w:rsidP="00F409E3">
      <w:pPr>
        <w:spacing w:after="120"/>
        <w:jc w:val="both"/>
        <w:rPr>
          <w:rFonts w:ascii="Arial" w:hAnsi="Arial" w:cs="Arial"/>
        </w:rPr>
      </w:pPr>
      <w:r w:rsidRPr="00A76B8E">
        <w:rPr>
          <w:rFonts w:ascii="Arial" w:hAnsi="Arial" w:cs="Arial"/>
        </w:rPr>
        <w:t>Az Art. 86. §</w:t>
      </w:r>
      <w:proofErr w:type="spellStart"/>
      <w:r w:rsidRPr="00A76B8E">
        <w:rPr>
          <w:rFonts w:ascii="Arial" w:hAnsi="Arial" w:cs="Arial"/>
        </w:rPr>
        <w:t>-a</w:t>
      </w:r>
      <w:proofErr w:type="spellEnd"/>
      <w:r w:rsidRPr="00A76B8E">
        <w:rPr>
          <w:rFonts w:ascii="Arial" w:hAnsi="Arial" w:cs="Arial"/>
        </w:rPr>
        <w:t xml:space="preserve"> szerint az adóhatóság az adóbevétel megrövidítésének, a költségvetési támogatás, adó-visszaigénylés jogosulatlan igénybevételének megakadályozása érdekében rendszeresen ellenőrzi azokat az adózókat és az adózásban részt vevő más személyeket. </w:t>
      </w:r>
    </w:p>
    <w:p w:rsidR="00F409E3" w:rsidRPr="00A76B8E" w:rsidRDefault="00F409E3" w:rsidP="00F409E3">
      <w:pPr>
        <w:spacing w:after="120"/>
        <w:jc w:val="both"/>
        <w:rPr>
          <w:rFonts w:ascii="Arial" w:hAnsi="Arial" w:cs="Arial"/>
        </w:rPr>
      </w:pPr>
      <w:r w:rsidRPr="00A76B8E">
        <w:rPr>
          <w:rFonts w:ascii="Arial" w:hAnsi="Arial" w:cs="Arial"/>
        </w:rPr>
        <w:t>Az ellenőrzés célja az adótörvényekben és más jogszabályokban előírt kötelezettségek teljesítésének vagy megsértésének megállapítása. Az ellenőrzés során az adóhatóság feltárja és bizonyítja azokat a tényeket, körülményeket, adatokat, amelyek megalapozzák a jogsértés és a joggal való visszaélés megállapítását, és az ezek miatt indított hatósági eljárást.</w:t>
      </w:r>
    </w:p>
    <w:p w:rsidR="00EF1658" w:rsidRPr="00892688" w:rsidRDefault="00EF1658" w:rsidP="00F409E3">
      <w:pPr>
        <w:spacing w:after="120"/>
        <w:jc w:val="both"/>
        <w:rPr>
          <w:rFonts w:ascii="Arial" w:hAnsi="Arial" w:cs="Arial"/>
        </w:rPr>
      </w:pPr>
      <w:r w:rsidRPr="00892688">
        <w:rPr>
          <w:rFonts w:ascii="Arial" w:hAnsi="Arial" w:cs="Arial"/>
        </w:rPr>
        <w:t xml:space="preserve">A 2016. évben lefolytatott vizsgálatok a következőképpen alakultak: </w:t>
      </w:r>
    </w:p>
    <w:p w:rsidR="008A52E3" w:rsidRPr="00892688" w:rsidRDefault="00EF1658" w:rsidP="00F409E3">
      <w:pPr>
        <w:spacing w:after="120"/>
        <w:jc w:val="both"/>
        <w:rPr>
          <w:rFonts w:ascii="Arial" w:hAnsi="Arial" w:cs="Arial"/>
        </w:rPr>
      </w:pPr>
      <w:r w:rsidRPr="00892688">
        <w:rPr>
          <w:rFonts w:ascii="Arial" w:hAnsi="Arial" w:cs="Arial"/>
        </w:rPr>
        <w:t>Vagyoni típusú adókötelezettség (építményadó) jogszerű teljesítésére irányuló vizsgálat elsődlegesen azon adóalanyok tekintetében indult</w:t>
      </w:r>
      <w:r w:rsidR="00385871" w:rsidRPr="00892688">
        <w:rPr>
          <w:rFonts w:ascii="Arial" w:hAnsi="Arial" w:cs="Arial"/>
        </w:rPr>
        <w:t xml:space="preserve">, akik adóbevallási kötelezettségüknek nem tettek eleget. </w:t>
      </w:r>
    </w:p>
    <w:p w:rsidR="00EC411A" w:rsidRPr="00B545C6" w:rsidRDefault="00EC411A" w:rsidP="00F409E3">
      <w:pPr>
        <w:spacing w:after="120"/>
        <w:jc w:val="both"/>
        <w:rPr>
          <w:rFonts w:ascii="Arial" w:hAnsi="Arial" w:cs="Arial"/>
        </w:rPr>
      </w:pPr>
      <w:r w:rsidRPr="00B545C6">
        <w:rPr>
          <w:rFonts w:ascii="Arial" w:hAnsi="Arial" w:cs="Arial"/>
        </w:rPr>
        <w:t>Az ide</w:t>
      </w:r>
      <w:r w:rsidR="00484899" w:rsidRPr="00B545C6">
        <w:rPr>
          <w:rFonts w:ascii="Arial" w:hAnsi="Arial" w:cs="Arial"/>
        </w:rPr>
        <w:t xml:space="preserve">genforgalmi adó ellenőrzésre 479 esetben </w:t>
      </w:r>
      <w:r w:rsidRPr="00B545C6">
        <w:rPr>
          <w:rFonts w:ascii="Arial" w:hAnsi="Arial" w:cs="Arial"/>
        </w:rPr>
        <w:t>került sor.</w:t>
      </w:r>
    </w:p>
    <w:p w:rsidR="00F409E3" w:rsidRPr="0017067F" w:rsidRDefault="00EC411A" w:rsidP="00F409E3">
      <w:pPr>
        <w:spacing w:before="240" w:after="240"/>
        <w:jc w:val="both"/>
        <w:rPr>
          <w:rFonts w:ascii="Arial" w:hAnsi="Arial" w:cs="Arial"/>
        </w:rPr>
      </w:pPr>
      <w:r w:rsidRPr="0017067F">
        <w:rPr>
          <w:rFonts w:ascii="Arial" w:hAnsi="Arial" w:cs="Arial"/>
        </w:rPr>
        <w:t>Az</w:t>
      </w:r>
      <w:r w:rsidR="00F409E3" w:rsidRPr="0017067F">
        <w:rPr>
          <w:rFonts w:ascii="Arial" w:hAnsi="Arial" w:cs="Arial"/>
        </w:rPr>
        <w:t xml:space="preserve"> Art. alapján ellenőrzésnek nem minősülő több olyan cselekményt foganatosított hatóságunk – felhívások, tájékoztatások </w:t>
      </w:r>
      <w:proofErr w:type="spellStart"/>
      <w:r w:rsidR="00F409E3" w:rsidRPr="0017067F">
        <w:rPr>
          <w:rFonts w:ascii="Arial" w:hAnsi="Arial" w:cs="Arial"/>
        </w:rPr>
        <w:t>ifa</w:t>
      </w:r>
      <w:proofErr w:type="spellEnd"/>
      <w:r w:rsidR="00F409E3" w:rsidRPr="0017067F">
        <w:rPr>
          <w:rFonts w:ascii="Arial" w:hAnsi="Arial" w:cs="Arial"/>
        </w:rPr>
        <w:t xml:space="preserve"> befizetésre, </w:t>
      </w:r>
      <w:proofErr w:type="spellStart"/>
      <w:r w:rsidR="00F409E3" w:rsidRPr="0017067F">
        <w:rPr>
          <w:rFonts w:ascii="Arial" w:hAnsi="Arial" w:cs="Arial"/>
        </w:rPr>
        <w:t>ifa</w:t>
      </w:r>
      <w:proofErr w:type="spellEnd"/>
      <w:r w:rsidR="00F409E3" w:rsidRPr="0017067F">
        <w:rPr>
          <w:rFonts w:ascii="Arial" w:hAnsi="Arial" w:cs="Arial"/>
        </w:rPr>
        <w:t xml:space="preserve"> bevallást elmulasztók</w:t>
      </w:r>
      <w:r w:rsidR="00644844" w:rsidRPr="0017067F">
        <w:rPr>
          <w:rFonts w:ascii="Arial" w:hAnsi="Arial" w:cs="Arial"/>
        </w:rPr>
        <w:t xml:space="preserve"> felhívása és szankcionálása, </w:t>
      </w:r>
      <w:proofErr w:type="spellStart"/>
      <w:r w:rsidR="00644844" w:rsidRPr="0017067F">
        <w:rPr>
          <w:rFonts w:ascii="Arial" w:hAnsi="Arial" w:cs="Arial"/>
        </w:rPr>
        <w:t>ifa</w:t>
      </w:r>
      <w:proofErr w:type="spellEnd"/>
      <w:r w:rsidR="00644844" w:rsidRPr="0017067F">
        <w:rPr>
          <w:rFonts w:ascii="Arial" w:hAnsi="Arial" w:cs="Arial"/>
        </w:rPr>
        <w:t xml:space="preserve"> bevallások és internetes információk egyeztetése</w:t>
      </w:r>
      <w:r w:rsidR="00F409E3" w:rsidRPr="0017067F">
        <w:rPr>
          <w:rFonts w:ascii="Arial" w:hAnsi="Arial" w:cs="Arial"/>
        </w:rPr>
        <w:t xml:space="preserve">, </w:t>
      </w:r>
      <w:r w:rsidR="00644844" w:rsidRPr="0017067F">
        <w:rPr>
          <w:rFonts w:ascii="Arial" w:hAnsi="Arial" w:cs="Arial"/>
        </w:rPr>
        <w:t xml:space="preserve">megjelent adózók adatainak és bevallási kötelezettségének ellenőrzése, </w:t>
      </w:r>
      <w:r w:rsidR="00F409E3" w:rsidRPr="0017067F">
        <w:rPr>
          <w:rFonts w:ascii="Arial" w:hAnsi="Arial" w:cs="Arial"/>
        </w:rPr>
        <w:t>amelyek nagyban hozzájárultak költségvetési bevételeink növeléséhez.</w:t>
      </w:r>
      <w:r w:rsidR="00467DAC">
        <w:rPr>
          <w:rFonts w:ascii="Arial" w:hAnsi="Arial" w:cs="Arial"/>
        </w:rPr>
        <w:t xml:space="preserve"> </w:t>
      </w:r>
    </w:p>
    <w:p w:rsidR="00F409E3" w:rsidRPr="0017067F" w:rsidRDefault="00F409E3" w:rsidP="00F409E3">
      <w:pPr>
        <w:spacing w:after="0"/>
        <w:jc w:val="both"/>
        <w:rPr>
          <w:rFonts w:ascii="Arial" w:hAnsi="Arial" w:cs="Arial"/>
          <w:szCs w:val="24"/>
        </w:rPr>
      </w:pPr>
      <w:r w:rsidRPr="0017067F">
        <w:rPr>
          <w:rFonts w:ascii="Arial" w:hAnsi="Arial" w:cs="Arial"/>
          <w:szCs w:val="24"/>
        </w:rPr>
        <w:t>Az adóellenőrzés az adóigazgatási tevékenység legnehezebb feladata, az eredményes és hatékony ellenőrzéshez megfelelő szaktudással és tapasztalattal rendelkező dolgozókra van szükség, ellenőri feladatot a dolgozók a hatósági munka mellett - az idegenforgalmi adó kivételével - munkaterületük vonatkozásában láttak el.</w:t>
      </w:r>
    </w:p>
    <w:p w:rsidR="00E4607D" w:rsidRPr="00E4607D" w:rsidRDefault="00F409E3" w:rsidP="00E4607D">
      <w:pPr>
        <w:spacing w:before="240" w:after="240"/>
        <w:jc w:val="both"/>
        <w:rPr>
          <w:rFonts w:ascii="Arial" w:hAnsi="Arial" w:cs="Arial"/>
          <w:b/>
        </w:rPr>
      </w:pPr>
      <w:r>
        <w:rPr>
          <w:rFonts w:ascii="Arial" w:hAnsi="Arial" w:cs="Arial"/>
          <w:b/>
        </w:rPr>
        <w:lastRenderedPageBreak/>
        <w:t>6</w:t>
      </w:r>
      <w:r w:rsidRPr="00996C49">
        <w:rPr>
          <w:rFonts w:ascii="Arial" w:hAnsi="Arial" w:cs="Arial"/>
          <w:b/>
        </w:rPr>
        <w:t>.1. Építményadó ellenőrzés</w:t>
      </w:r>
    </w:p>
    <w:p w:rsidR="00E4607D" w:rsidRPr="00E4607D" w:rsidRDefault="00E4607D" w:rsidP="00E4607D">
      <w:pPr>
        <w:pStyle w:val="Listaszerbekezds"/>
        <w:spacing w:line="240" w:lineRule="auto"/>
        <w:ind w:left="360"/>
        <w:rPr>
          <w:rFonts w:ascii="Arial" w:hAnsi="Arial" w:cs="Arial"/>
          <w:b/>
          <w:color w:val="1F3864" w:themeColor="accent5" w:themeShade="80"/>
        </w:rPr>
      </w:pPr>
    </w:p>
    <w:p w:rsidR="005D4BCD" w:rsidRPr="005D4BCD" w:rsidRDefault="005D4BCD" w:rsidP="005D4BCD">
      <w:pPr>
        <w:pStyle w:val="Listaszerbekezds"/>
        <w:spacing w:after="120" w:line="240" w:lineRule="auto"/>
        <w:ind w:left="0"/>
        <w:jc w:val="both"/>
        <w:rPr>
          <w:rFonts w:ascii="Arial" w:hAnsi="Arial" w:cs="Arial"/>
        </w:rPr>
      </w:pPr>
      <w:r w:rsidRPr="005D4BCD">
        <w:rPr>
          <w:rFonts w:ascii="Arial" w:hAnsi="Arial" w:cs="Arial"/>
        </w:rPr>
        <w:t>Az építményadó ellenőrzések az adó-feldolgozást végző ügyintéző által kerülnek lefolytatásra. Az Art. szerinti előírásoknak megfelelően 5 db ellenőrzési eljárás indult, mely 14 db ingatlant érintett, jellemzően olyan esetekben, ahol a nyilvántartásokból megállapítható adóalany a bevallási kötelezettségét elmulasztotta illetve a nyilvántartásban lévő és a tényleges adatok között eltérés volt tapasztalható. Jelenleg 2 ellenőrzés van folyamatban. A napi munka során az építményadó nyilvántartás adataiban fellelhető hibák száma a folyamatos (több száz esetben történt) adatellenőrzésnek köszönhetően nagyságrendekkel csökkent. Az ellenőrzések alapján az adó-nyilvántartásokban szereplő elavult adóalanyi, adóztatási információk javítása folyamatosan történik.</w:t>
      </w:r>
    </w:p>
    <w:p w:rsidR="005D4BCD" w:rsidRPr="005D4BCD" w:rsidRDefault="005D4BCD" w:rsidP="005D4BCD">
      <w:pPr>
        <w:pStyle w:val="Listaszerbekezds"/>
        <w:spacing w:after="120" w:line="240" w:lineRule="auto"/>
        <w:ind w:left="0"/>
        <w:jc w:val="both"/>
        <w:rPr>
          <w:rFonts w:ascii="Arial" w:hAnsi="Arial" w:cs="Arial"/>
          <w:i/>
        </w:rPr>
      </w:pPr>
      <w:r w:rsidRPr="005D4BCD">
        <w:rPr>
          <w:rFonts w:ascii="Arial" w:hAnsi="Arial" w:cs="Arial"/>
        </w:rPr>
        <w:t xml:space="preserve">Amennyiben nem áll rendelkezésre az ingatlanról – a hasznos alapterület pontos megállapítását segítő – tervdokumentáció, vagy a benyújtott bevallások és a saját nyilvántartásban lévő adatok között eltérés tapasztalható, akkor az ügyintéző helyszíni szemle során lézeres mérőműszer segítségével felméri az ingatlan hasznos alapterületét, ezzel segítve az ingatlantulajdonost a pontos bevallás megtétele érdekében. </w:t>
      </w:r>
    </w:p>
    <w:p w:rsidR="005D4BCD" w:rsidRPr="005D4BCD" w:rsidRDefault="005D4BCD" w:rsidP="005D4BCD">
      <w:pPr>
        <w:pStyle w:val="Listaszerbekezds"/>
        <w:spacing w:after="0" w:line="240" w:lineRule="auto"/>
        <w:ind w:left="0"/>
        <w:jc w:val="both"/>
        <w:rPr>
          <w:rFonts w:ascii="Arial" w:hAnsi="Arial" w:cs="Arial"/>
        </w:rPr>
      </w:pPr>
      <w:r w:rsidRPr="005D4BCD">
        <w:rPr>
          <w:rFonts w:ascii="Arial" w:hAnsi="Arial" w:cs="Arial"/>
        </w:rPr>
        <w:t xml:space="preserve">A tényleges értékek meghatározásához a Földhivatal által ingyenesen megküldendő nyilvántartás feldolgozása is szükséges lenne. (belterületi, zártkerti és külterületi ingatlanok vizsgálata az adókötelezettség szempontjából) Nagy előnye viszont, hogy a keresési funkció nem csak a tulajdonosokra, hanem a bejegyzett jogok jogosultjaira is használható. Hátránya, hogy az állomány csak egy adott időpontbeli adatokat tartalmazza, a változásokat nem. </w:t>
      </w:r>
    </w:p>
    <w:p w:rsidR="00F409E3" w:rsidRDefault="00F409E3" w:rsidP="00F409E3">
      <w:pPr>
        <w:spacing w:after="0"/>
        <w:rPr>
          <w:rFonts w:ascii="Arial" w:hAnsi="Arial" w:cs="Arial"/>
          <w:b/>
        </w:rPr>
      </w:pPr>
    </w:p>
    <w:p w:rsidR="0017067F" w:rsidRDefault="0017067F" w:rsidP="00F409E3">
      <w:pPr>
        <w:spacing w:after="0"/>
        <w:rPr>
          <w:rFonts w:ascii="Arial" w:hAnsi="Arial" w:cs="Arial"/>
          <w:b/>
        </w:rPr>
      </w:pPr>
    </w:p>
    <w:p w:rsidR="0017067F" w:rsidRDefault="0017067F" w:rsidP="00F409E3">
      <w:pPr>
        <w:spacing w:after="0"/>
        <w:rPr>
          <w:rFonts w:ascii="Arial" w:hAnsi="Arial" w:cs="Arial"/>
          <w:b/>
        </w:rPr>
      </w:pPr>
    </w:p>
    <w:p w:rsidR="00F409E3" w:rsidRPr="00345EF9" w:rsidRDefault="00F409E3" w:rsidP="00345EF9">
      <w:pPr>
        <w:pStyle w:val="Listaszerbekezds"/>
        <w:numPr>
          <w:ilvl w:val="1"/>
          <w:numId w:val="34"/>
        </w:numPr>
        <w:spacing w:after="0" w:line="240" w:lineRule="auto"/>
        <w:ind w:left="0" w:firstLine="0"/>
        <w:rPr>
          <w:rFonts w:ascii="Arial" w:hAnsi="Arial" w:cs="Arial"/>
          <w:b/>
        </w:rPr>
      </w:pPr>
      <w:r w:rsidRPr="00345EF9">
        <w:rPr>
          <w:rFonts w:ascii="Arial" w:hAnsi="Arial" w:cs="Arial"/>
          <w:b/>
        </w:rPr>
        <w:t>Idegenforgalmi adóellenőrzés</w:t>
      </w:r>
    </w:p>
    <w:p w:rsidR="00345EF9" w:rsidRPr="00345EF9" w:rsidRDefault="00345EF9" w:rsidP="00345EF9">
      <w:pPr>
        <w:pStyle w:val="Listaszerbekezds"/>
        <w:spacing w:after="0" w:line="240" w:lineRule="auto"/>
        <w:ind w:left="1080"/>
        <w:rPr>
          <w:rFonts w:ascii="Arial" w:hAnsi="Arial" w:cs="Arial"/>
          <w:b/>
        </w:rPr>
      </w:pPr>
    </w:p>
    <w:p w:rsidR="00EB7176" w:rsidRPr="0017067F" w:rsidRDefault="00EB7176" w:rsidP="00EB7176">
      <w:pPr>
        <w:spacing w:after="0"/>
        <w:jc w:val="both"/>
        <w:rPr>
          <w:rFonts w:ascii="Arial" w:hAnsi="Arial" w:cs="Arial"/>
        </w:rPr>
      </w:pPr>
      <w:r w:rsidRPr="0017067F">
        <w:rPr>
          <w:rFonts w:ascii="Arial" w:hAnsi="Arial" w:cs="Arial"/>
        </w:rPr>
        <w:t xml:space="preserve">2016. évben kiemelt </w:t>
      </w:r>
      <w:r w:rsidRPr="0017067F">
        <w:rPr>
          <w:rFonts w:ascii="Arial" w:hAnsi="Arial" w:cs="Arial"/>
          <w:szCs w:val="24"/>
        </w:rPr>
        <w:t>szerepet kapott az idegenforgalmi adókötelezettségek teljesítésének ellenőrzése.</w:t>
      </w:r>
      <w:r w:rsidRPr="0017067F">
        <w:rPr>
          <w:szCs w:val="24"/>
        </w:rPr>
        <w:t xml:space="preserve"> </w:t>
      </w:r>
      <w:r w:rsidRPr="0017067F">
        <w:rPr>
          <w:rFonts w:ascii="Arial" w:hAnsi="Arial" w:cs="Arial"/>
          <w:szCs w:val="24"/>
        </w:rPr>
        <w:t xml:space="preserve">A 479 idegenforgalmi ellenőrzésből </w:t>
      </w:r>
      <w:r w:rsidRPr="0017067F">
        <w:rPr>
          <w:rFonts w:ascii="Arial" w:hAnsi="Arial" w:cs="Arial"/>
        </w:rPr>
        <w:t xml:space="preserve">475 alkalommal történt idegenforgalmi adókötelezettség teljesítésének </w:t>
      </w:r>
      <w:r w:rsidRPr="0017067F">
        <w:rPr>
          <w:rFonts w:ascii="Arial" w:hAnsi="Arial" w:cs="Arial"/>
          <w:i/>
          <w:u w:val="single"/>
        </w:rPr>
        <w:t>helyszíni ellenőrzés</w:t>
      </w:r>
      <w:r w:rsidRPr="0017067F">
        <w:rPr>
          <w:rFonts w:ascii="Arial" w:hAnsi="Arial" w:cs="Arial"/>
        </w:rPr>
        <w:t>e, ebből 25 esetben jogszabálysértés került megállapításra. Az alábbi táblázat szemlélteti a kereskedelmi és egyéb szálláshelyek ellenőrzéseinek megoszlását.</w:t>
      </w:r>
    </w:p>
    <w:p w:rsidR="00EB7176" w:rsidRPr="0017067F" w:rsidRDefault="00EB7176" w:rsidP="00EB7176">
      <w:pPr>
        <w:spacing w:after="0"/>
        <w:jc w:val="both"/>
        <w:rPr>
          <w:rFonts w:ascii="Arial" w:hAnsi="Arial" w:cs="Arial"/>
        </w:rPr>
      </w:pPr>
    </w:p>
    <w:tbl>
      <w:tblPr>
        <w:tblW w:w="9493" w:type="dxa"/>
        <w:tblCellMar>
          <w:left w:w="70" w:type="dxa"/>
          <w:right w:w="70" w:type="dxa"/>
        </w:tblCellMar>
        <w:tblLook w:val="04A0" w:firstRow="1" w:lastRow="0" w:firstColumn="1" w:lastColumn="0" w:noHBand="0" w:noVBand="1"/>
      </w:tblPr>
      <w:tblGrid>
        <w:gridCol w:w="3060"/>
        <w:gridCol w:w="1720"/>
        <w:gridCol w:w="1660"/>
        <w:gridCol w:w="3053"/>
      </w:tblGrid>
      <w:tr w:rsidR="00EB7176" w:rsidRPr="0017067F" w:rsidTr="00743B3C">
        <w:trPr>
          <w:trHeight w:val="971"/>
        </w:trPr>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7176" w:rsidRPr="0017067F" w:rsidRDefault="00EB7176" w:rsidP="00743B3C">
            <w:pPr>
              <w:spacing w:after="0" w:line="240" w:lineRule="auto"/>
              <w:jc w:val="center"/>
              <w:rPr>
                <w:rFonts w:ascii="Arial" w:eastAsia="Times New Roman" w:hAnsi="Arial" w:cs="Arial"/>
                <w:lang w:eastAsia="hu-HU"/>
              </w:rPr>
            </w:pPr>
            <w:r w:rsidRPr="0017067F">
              <w:rPr>
                <w:rFonts w:ascii="Arial" w:eastAsia="Times New Roman" w:hAnsi="Arial" w:cs="Arial"/>
                <w:lang w:eastAsia="hu-HU"/>
              </w:rPr>
              <w:t>Megnevezés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EB7176" w:rsidRPr="0017067F" w:rsidRDefault="00EB7176" w:rsidP="00743B3C">
            <w:pPr>
              <w:spacing w:after="0" w:line="240" w:lineRule="auto"/>
              <w:jc w:val="center"/>
              <w:rPr>
                <w:rFonts w:ascii="Arial" w:eastAsia="Times New Roman" w:hAnsi="Arial" w:cs="Arial"/>
                <w:lang w:eastAsia="hu-HU"/>
              </w:rPr>
            </w:pPr>
            <w:r w:rsidRPr="0017067F">
              <w:rPr>
                <w:rFonts w:ascii="Arial" w:eastAsia="Times New Roman" w:hAnsi="Arial" w:cs="Arial"/>
                <w:lang w:eastAsia="hu-HU"/>
              </w:rPr>
              <w:t>Ellenőrzések száma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EB7176" w:rsidRPr="0017067F" w:rsidRDefault="00EB7176" w:rsidP="00743B3C">
            <w:pPr>
              <w:spacing w:after="0" w:line="240" w:lineRule="auto"/>
              <w:jc w:val="center"/>
              <w:rPr>
                <w:rFonts w:ascii="Arial" w:eastAsia="Times New Roman" w:hAnsi="Arial" w:cs="Arial"/>
                <w:lang w:eastAsia="hu-HU"/>
              </w:rPr>
            </w:pPr>
            <w:r w:rsidRPr="0017067F">
              <w:rPr>
                <w:rFonts w:ascii="Arial" w:eastAsia="Times New Roman" w:hAnsi="Arial" w:cs="Arial"/>
                <w:lang w:eastAsia="hu-HU"/>
              </w:rPr>
              <w:t>Jogszabály-sértések száma</w:t>
            </w:r>
          </w:p>
        </w:tc>
        <w:tc>
          <w:tcPr>
            <w:tcW w:w="3053" w:type="dxa"/>
            <w:tcBorders>
              <w:top w:val="single" w:sz="4" w:space="0" w:color="auto"/>
              <w:left w:val="nil"/>
              <w:bottom w:val="single" w:sz="4" w:space="0" w:color="auto"/>
              <w:right w:val="single" w:sz="4" w:space="0" w:color="auto"/>
            </w:tcBorders>
            <w:shd w:val="clear" w:color="auto" w:fill="auto"/>
            <w:vAlign w:val="center"/>
            <w:hideMark/>
          </w:tcPr>
          <w:p w:rsidR="00EB7176" w:rsidRPr="0017067F" w:rsidRDefault="00EB7176" w:rsidP="00743B3C">
            <w:pPr>
              <w:spacing w:after="0" w:line="240" w:lineRule="auto"/>
              <w:jc w:val="center"/>
              <w:rPr>
                <w:rFonts w:ascii="Arial" w:eastAsia="Times New Roman" w:hAnsi="Arial" w:cs="Arial"/>
                <w:lang w:eastAsia="hu-HU"/>
              </w:rPr>
            </w:pPr>
            <w:r w:rsidRPr="0017067F">
              <w:rPr>
                <w:rFonts w:ascii="Arial" w:eastAsia="Times New Roman" w:hAnsi="Arial" w:cs="Arial"/>
                <w:lang w:eastAsia="hu-HU"/>
              </w:rPr>
              <w:t>Az ellenőrzések számához viszonyítva a jogszabálysértések aránya</w:t>
            </w:r>
          </w:p>
        </w:tc>
      </w:tr>
      <w:tr w:rsidR="00EB7176" w:rsidRPr="0017067F" w:rsidTr="00743B3C">
        <w:trPr>
          <w:trHeight w:val="300"/>
        </w:trPr>
        <w:tc>
          <w:tcPr>
            <w:tcW w:w="3060" w:type="dxa"/>
            <w:tcBorders>
              <w:top w:val="nil"/>
              <w:left w:val="single" w:sz="4" w:space="0" w:color="auto"/>
              <w:bottom w:val="single" w:sz="4" w:space="0" w:color="auto"/>
              <w:right w:val="single" w:sz="4" w:space="0" w:color="auto"/>
            </w:tcBorders>
            <w:shd w:val="clear" w:color="auto" w:fill="auto"/>
            <w:vAlign w:val="bottom"/>
            <w:hideMark/>
          </w:tcPr>
          <w:p w:rsidR="00EB7176" w:rsidRPr="0017067F" w:rsidRDefault="00EB7176" w:rsidP="00743B3C">
            <w:pPr>
              <w:spacing w:after="0" w:line="240" w:lineRule="auto"/>
              <w:rPr>
                <w:rFonts w:ascii="Arial" w:eastAsia="Times New Roman" w:hAnsi="Arial" w:cs="Arial"/>
                <w:lang w:eastAsia="hu-HU"/>
              </w:rPr>
            </w:pPr>
            <w:r w:rsidRPr="0017067F">
              <w:rPr>
                <w:rFonts w:ascii="Arial" w:eastAsia="Times New Roman" w:hAnsi="Arial" w:cs="Arial"/>
                <w:lang w:eastAsia="hu-HU"/>
              </w:rPr>
              <w:t>Kereskedelmi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38</w:t>
            </w:r>
          </w:p>
        </w:tc>
        <w:tc>
          <w:tcPr>
            <w:tcW w:w="1660"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1</w:t>
            </w:r>
          </w:p>
        </w:tc>
        <w:tc>
          <w:tcPr>
            <w:tcW w:w="3053"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3%</w:t>
            </w:r>
          </w:p>
        </w:tc>
      </w:tr>
      <w:tr w:rsidR="00EB7176" w:rsidRPr="0017067F" w:rsidTr="00743B3C">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rPr>
                <w:rFonts w:ascii="Arial" w:eastAsia="Times New Roman" w:hAnsi="Arial" w:cs="Arial"/>
                <w:lang w:eastAsia="hu-HU"/>
              </w:rPr>
            </w:pPr>
            <w:r w:rsidRPr="0017067F">
              <w:rPr>
                <w:rFonts w:ascii="Arial" w:eastAsia="Times New Roman" w:hAnsi="Arial" w:cs="Arial"/>
                <w:lang w:eastAsia="hu-HU"/>
              </w:rPr>
              <w:t>Egyéb szálláshely</w:t>
            </w:r>
          </w:p>
        </w:tc>
        <w:tc>
          <w:tcPr>
            <w:tcW w:w="1720"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437</w:t>
            </w:r>
          </w:p>
        </w:tc>
        <w:tc>
          <w:tcPr>
            <w:tcW w:w="1660"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24</w:t>
            </w:r>
          </w:p>
        </w:tc>
        <w:tc>
          <w:tcPr>
            <w:tcW w:w="3053"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5%</w:t>
            </w:r>
          </w:p>
        </w:tc>
      </w:tr>
      <w:tr w:rsidR="00EB7176" w:rsidRPr="0017067F" w:rsidTr="00743B3C">
        <w:trPr>
          <w:trHeight w:val="300"/>
        </w:trPr>
        <w:tc>
          <w:tcPr>
            <w:tcW w:w="3060" w:type="dxa"/>
            <w:tcBorders>
              <w:top w:val="nil"/>
              <w:left w:val="single" w:sz="4" w:space="0" w:color="auto"/>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rPr>
                <w:rFonts w:ascii="Arial" w:eastAsia="Times New Roman" w:hAnsi="Arial" w:cs="Arial"/>
                <w:lang w:eastAsia="hu-HU"/>
              </w:rPr>
            </w:pPr>
            <w:r w:rsidRPr="0017067F">
              <w:rPr>
                <w:rFonts w:ascii="Arial" w:eastAsia="Times New Roman" w:hAnsi="Arial" w:cs="Arial"/>
                <w:lang w:eastAsia="hu-HU"/>
              </w:rPr>
              <w:t>Összesen</w:t>
            </w:r>
          </w:p>
        </w:tc>
        <w:tc>
          <w:tcPr>
            <w:tcW w:w="1720"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475</w:t>
            </w:r>
          </w:p>
        </w:tc>
        <w:tc>
          <w:tcPr>
            <w:tcW w:w="1660"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25</w:t>
            </w:r>
          </w:p>
        </w:tc>
        <w:tc>
          <w:tcPr>
            <w:tcW w:w="3053" w:type="dxa"/>
            <w:tcBorders>
              <w:top w:val="nil"/>
              <w:left w:val="nil"/>
              <w:bottom w:val="single" w:sz="4" w:space="0" w:color="auto"/>
              <w:right w:val="single" w:sz="4" w:space="0" w:color="auto"/>
            </w:tcBorders>
            <w:shd w:val="clear" w:color="auto" w:fill="auto"/>
            <w:noWrap/>
            <w:vAlign w:val="bottom"/>
            <w:hideMark/>
          </w:tcPr>
          <w:p w:rsidR="00EB7176" w:rsidRPr="0017067F" w:rsidRDefault="00EB7176" w:rsidP="00743B3C">
            <w:pPr>
              <w:spacing w:after="0" w:line="240" w:lineRule="auto"/>
              <w:jc w:val="right"/>
              <w:rPr>
                <w:rFonts w:ascii="Arial" w:eastAsia="Times New Roman" w:hAnsi="Arial" w:cs="Arial"/>
                <w:lang w:eastAsia="hu-HU"/>
              </w:rPr>
            </w:pPr>
            <w:r w:rsidRPr="0017067F">
              <w:rPr>
                <w:rFonts w:ascii="Arial" w:eastAsia="Times New Roman" w:hAnsi="Arial" w:cs="Arial"/>
                <w:lang w:eastAsia="hu-HU"/>
              </w:rPr>
              <w:t>5%</w:t>
            </w:r>
          </w:p>
        </w:tc>
      </w:tr>
    </w:tbl>
    <w:p w:rsidR="00EB7176" w:rsidRPr="0017067F" w:rsidRDefault="00EB7176" w:rsidP="00EB7176">
      <w:pPr>
        <w:spacing w:after="0"/>
        <w:jc w:val="both"/>
        <w:rPr>
          <w:rFonts w:ascii="Arial" w:hAnsi="Arial" w:cs="Arial"/>
        </w:rPr>
      </w:pPr>
    </w:p>
    <w:p w:rsidR="00EB7176" w:rsidRPr="0017067F" w:rsidRDefault="00EB7176" w:rsidP="00EB7176">
      <w:pPr>
        <w:spacing w:after="0"/>
        <w:jc w:val="both"/>
        <w:rPr>
          <w:rFonts w:ascii="Arial" w:hAnsi="Arial" w:cs="Arial"/>
        </w:rPr>
      </w:pPr>
      <w:r w:rsidRPr="0017067F">
        <w:rPr>
          <w:rFonts w:ascii="Arial" w:hAnsi="Arial" w:cs="Arial"/>
        </w:rPr>
        <w:t xml:space="preserve">2015. évben a szálláshelyek (kereskedelmi és egyéb szálláshely összesen) ellenőrzése során a jogszabálysértések aránya 12 % volt, a 2016. évi 5 %-kal szemben. Valószínűsíthető, hogy az adózási morál javulásában szerepet játszott az, hogy a főszezonban 2 főállású idegenforgalmi adóellenőr </w:t>
      </w:r>
      <w:r w:rsidR="003501E1">
        <w:rPr>
          <w:rFonts w:ascii="Arial" w:hAnsi="Arial" w:cs="Arial"/>
        </w:rPr>
        <w:t>is foglalkoztatásra került.</w:t>
      </w:r>
      <w:r w:rsidRPr="0017067F">
        <w:rPr>
          <w:rFonts w:ascii="Arial" w:hAnsi="Arial" w:cs="Arial"/>
        </w:rPr>
        <w:t xml:space="preserve"> </w:t>
      </w:r>
    </w:p>
    <w:p w:rsidR="00EB7176" w:rsidRPr="0017067F" w:rsidRDefault="00EB7176" w:rsidP="00EB7176">
      <w:pPr>
        <w:spacing w:after="0"/>
        <w:jc w:val="center"/>
        <w:rPr>
          <w:rFonts w:ascii="Arial" w:hAnsi="Arial" w:cs="Arial"/>
        </w:rPr>
      </w:pPr>
    </w:p>
    <w:p w:rsidR="00EB7176" w:rsidRPr="0017067F" w:rsidRDefault="00EB7176" w:rsidP="00EB7176">
      <w:pPr>
        <w:spacing w:after="0"/>
        <w:jc w:val="both"/>
        <w:rPr>
          <w:rFonts w:ascii="Arial" w:hAnsi="Arial" w:cs="Arial"/>
          <w:u w:val="single"/>
        </w:rPr>
      </w:pPr>
      <w:r w:rsidRPr="0017067F">
        <w:rPr>
          <w:rFonts w:ascii="Arial" w:hAnsi="Arial" w:cs="Arial"/>
          <w:u w:val="single"/>
        </w:rPr>
        <w:t>Egyéb szálláshely:</w:t>
      </w:r>
    </w:p>
    <w:p w:rsidR="00EB7176" w:rsidRPr="0017067F" w:rsidRDefault="00EB7176" w:rsidP="00EB7176">
      <w:pPr>
        <w:spacing w:after="0"/>
        <w:jc w:val="both"/>
        <w:rPr>
          <w:rFonts w:ascii="Arial" w:hAnsi="Arial" w:cs="Arial"/>
        </w:rPr>
      </w:pPr>
      <w:r w:rsidRPr="0017067F">
        <w:rPr>
          <w:rFonts w:ascii="Arial" w:hAnsi="Arial" w:cs="Arial"/>
        </w:rPr>
        <w:t xml:space="preserve">2 adóbeszedésre kötelezett kapott a jegyzőkönyv alapján jogszabálysértő gyakorlat megszüntetésére szóló felhívást, 22 esetben került mulasztási bírság kiszabásra összesen 493.000 Ft (átlagosan 22.400 Ft) összegben. </w:t>
      </w:r>
    </w:p>
    <w:p w:rsidR="00EB7176" w:rsidRPr="0017067F" w:rsidRDefault="00EB7176" w:rsidP="00EB7176">
      <w:pPr>
        <w:spacing w:after="0"/>
        <w:jc w:val="both"/>
        <w:rPr>
          <w:rFonts w:ascii="Arial" w:hAnsi="Arial" w:cs="Arial"/>
        </w:rPr>
      </w:pPr>
      <w:r w:rsidRPr="0017067F">
        <w:rPr>
          <w:rFonts w:ascii="Arial" w:hAnsi="Arial" w:cs="Arial"/>
        </w:rPr>
        <w:t>Az ellenőrzési jegyzőkönyvekben összesen 116 vendég IFA könyvbe történő bejegyzésének hiányát állapítottuk meg.</w:t>
      </w:r>
    </w:p>
    <w:p w:rsidR="00EB7176" w:rsidRPr="0017067F" w:rsidRDefault="00EB7176" w:rsidP="00EB7176">
      <w:pPr>
        <w:spacing w:after="0"/>
        <w:jc w:val="both"/>
        <w:rPr>
          <w:rFonts w:ascii="Arial" w:hAnsi="Arial" w:cs="Arial"/>
          <w:u w:val="single"/>
        </w:rPr>
      </w:pPr>
    </w:p>
    <w:p w:rsidR="00EB7176" w:rsidRPr="0017067F" w:rsidRDefault="00EB7176" w:rsidP="00EB7176">
      <w:pPr>
        <w:spacing w:after="0"/>
        <w:jc w:val="both"/>
        <w:rPr>
          <w:rFonts w:ascii="Arial" w:hAnsi="Arial" w:cs="Arial"/>
          <w:u w:val="single"/>
        </w:rPr>
      </w:pPr>
      <w:r w:rsidRPr="0017067F">
        <w:rPr>
          <w:rFonts w:ascii="Arial" w:hAnsi="Arial" w:cs="Arial"/>
          <w:u w:val="single"/>
        </w:rPr>
        <w:t>Kereskedelmi szálláshely:</w:t>
      </w:r>
    </w:p>
    <w:p w:rsidR="00EB7176" w:rsidRPr="0017067F" w:rsidRDefault="00EB7176" w:rsidP="00EB7176">
      <w:pPr>
        <w:spacing w:after="0"/>
        <w:jc w:val="both"/>
        <w:rPr>
          <w:rFonts w:ascii="Arial" w:hAnsi="Arial" w:cs="Arial"/>
        </w:rPr>
      </w:pPr>
      <w:r w:rsidRPr="0017067F">
        <w:rPr>
          <w:rFonts w:ascii="Arial" w:hAnsi="Arial" w:cs="Arial"/>
        </w:rPr>
        <w:lastRenderedPageBreak/>
        <w:t xml:space="preserve">1 esetben került mulasztási bírság kiszabásra összesen 35.000 Ft összegben. A szálláshelyen az IFA nyilvántartó könyv hiánya miatt az érkező vendég nevének és érkezési idejének haladéktalan beírása nem történt meg, így a be nem írt vendégek száma pontosan nem állapítható meg. </w:t>
      </w:r>
    </w:p>
    <w:p w:rsidR="00EB7176" w:rsidRPr="0017067F" w:rsidRDefault="00EB7176" w:rsidP="00EB7176">
      <w:pPr>
        <w:spacing w:after="0"/>
        <w:jc w:val="both"/>
        <w:rPr>
          <w:rFonts w:ascii="Arial" w:hAnsi="Arial" w:cs="Arial"/>
        </w:rPr>
      </w:pPr>
    </w:p>
    <w:p w:rsidR="00EB7176" w:rsidRPr="003501E1" w:rsidRDefault="00EB7176" w:rsidP="00EB7176">
      <w:pPr>
        <w:spacing w:after="0"/>
        <w:jc w:val="both"/>
        <w:rPr>
          <w:rFonts w:ascii="Arial" w:hAnsi="Arial" w:cs="Arial"/>
        </w:rPr>
      </w:pPr>
      <w:r w:rsidRPr="0017067F">
        <w:rPr>
          <w:rFonts w:ascii="Arial" w:hAnsi="Arial" w:cs="Arial"/>
        </w:rPr>
        <w:t xml:space="preserve">A helyszíni ellenőrzéseken kívül 6 esetben (ebből 5 esetben bejelentés nélkül, illegálisan szálláshelyet működtető) – konkrét személyre vonatkozó megbízólevél alapján </w:t>
      </w:r>
      <w:r w:rsidRPr="003501E1">
        <w:rPr>
          <w:rFonts w:ascii="Arial" w:hAnsi="Arial" w:cs="Arial"/>
        </w:rPr>
        <w:t>- Idegenforgalmi adóbevallások utólagos ellenőrzésére és idegenforgalmi adó kötelezettség teljesítésére irányuló ellenőrzést folytattunk le.</w:t>
      </w:r>
    </w:p>
    <w:p w:rsidR="00EB7176" w:rsidRPr="0017067F" w:rsidRDefault="00EB7176" w:rsidP="00EB7176">
      <w:pPr>
        <w:spacing w:after="0"/>
        <w:jc w:val="both"/>
        <w:rPr>
          <w:rFonts w:ascii="Arial" w:hAnsi="Arial" w:cs="Arial"/>
        </w:rPr>
      </w:pPr>
    </w:p>
    <w:p w:rsidR="00EB7176" w:rsidRPr="0017067F" w:rsidRDefault="00EB7176" w:rsidP="00EB7176">
      <w:pPr>
        <w:spacing w:after="0"/>
        <w:jc w:val="both"/>
        <w:rPr>
          <w:rFonts w:ascii="Arial" w:hAnsi="Arial" w:cs="Arial"/>
        </w:rPr>
      </w:pPr>
      <w:r w:rsidRPr="0017067F">
        <w:rPr>
          <w:rFonts w:ascii="Arial" w:hAnsi="Arial" w:cs="Arial"/>
        </w:rPr>
        <w:t>Az elektronikus felületek által nyert információknak köszönhetően utólagos adóbevallásokra, adóbefizetésekre is sor került. 2016. évben utólagosan megállapított adó, illetve utólagosan bevallott adó 2.505.000 Ft volt, adóbírság összege 427.245 Ft.</w:t>
      </w:r>
    </w:p>
    <w:p w:rsidR="00EB7176" w:rsidRPr="0017067F" w:rsidRDefault="00EB7176" w:rsidP="00EB7176">
      <w:pPr>
        <w:spacing w:after="0"/>
        <w:jc w:val="both"/>
        <w:rPr>
          <w:rFonts w:ascii="Arial" w:hAnsi="Arial" w:cs="Arial"/>
        </w:rPr>
      </w:pPr>
    </w:p>
    <w:p w:rsidR="00EB7176" w:rsidRPr="0017067F" w:rsidRDefault="00EB7176" w:rsidP="00EB7176">
      <w:pPr>
        <w:spacing w:after="0"/>
        <w:jc w:val="both"/>
        <w:rPr>
          <w:rFonts w:ascii="Arial" w:hAnsi="Arial" w:cs="Arial"/>
        </w:rPr>
      </w:pPr>
      <w:r w:rsidRPr="0017067F">
        <w:rPr>
          <w:rFonts w:ascii="Arial" w:hAnsi="Arial" w:cs="Arial"/>
        </w:rPr>
        <w:t>2016. évben tovább folytatódott a bejelentés nélkül működő, idegenforgalmi adót be nem szedő, illetve az önkormányzathoz be nem fizető szálláshelyek felderítése. Az adatgyűjtés során egyre több honlap adatát felhasználjuk. 2016. évben az ingatlanok</w:t>
      </w:r>
      <w:r w:rsidR="003501E1">
        <w:rPr>
          <w:rFonts w:ascii="Arial" w:hAnsi="Arial" w:cs="Arial"/>
        </w:rPr>
        <w:t xml:space="preserve"> pontos beazonosítását követően </w:t>
      </w:r>
      <w:r w:rsidRPr="0017067F">
        <w:rPr>
          <w:rFonts w:ascii="Arial" w:hAnsi="Arial" w:cs="Arial"/>
        </w:rPr>
        <w:t>adóellenőrzési eljárás indítottunk, illetve ezt a feladatot 2017. év során tovább folytatjuk.</w:t>
      </w:r>
      <w:r w:rsidR="008A52E3">
        <w:rPr>
          <w:rFonts w:ascii="Arial" w:hAnsi="Arial" w:cs="Arial"/>
        </w:rPr>
        <w:t xml:space="preserve"> Az elmúlt év tapasztalatai alapján elmondhatjuk, hogy a szálláshely-szolgáltatók bevallási kötelezettségeiknek eleget tettek, összesen 4.099 bevallást dolgoztunk fel, továbbá az ellenőrzések tapasztalatai azt támasztják alá, hogy javult az adózási morál.</w:t>
      </w:r>
    </w:p>
    <w:p w:rsidR="00F409E3" w:rsidRPr="0017067F" w:rsidRDefault="00F409E3" w:rsidP="00F409E3">
      <w:pPr>
        <w:spacing w:after="0" w:line="240" w:lineRule="auto"/>
        <w:jc w:val="both"/>
        <w:rPr>
          <w:rFonts w:ascii="Arial" w:hAnsi="Arial" w:cs="Arial"/>
        </w:rPr>
      </w:pPr>
    </w:p>
    <w:p w:rsidR="00F409E3" w:rsidRPr="0017067F" w:rsidRDefault="00F409E3" w:rsidP="00F409E3">
      <w:pPr>
        <w:spacing w:before="240" w:after="240"/>
        <w:jc w:val="both"/>
        <w:rPr>
          <w:rFonts w:ascii="Arial" w:hAnsi="Arial" w:cs="Arial"/>
          <w:b/>
        </w:rPr>
      </w:pPr>
      <w:r w:rsidRPr="0017067F">
        <w:rPr>
          <w:rFonts w:ascii="Arial" w:hAnsi="Arial" w:cs="Arial"/>
          <w:b/>
        </w:rPr>
        <w:t>6.3. Iparűzési adó ellenőrzés</w:t>
      </w:r>
    </w:p>
    <w:p w:rsidR="00BA5BD4" w:rsidRPr="0017067F" w:rsidRDefault="00F409E3" w:rsidP="00A360CD">
      <w:pPr>
        <w:spacing w:after="0"/>
        <w:jc w:val="both"/>
        <w:rPr>
          <w:rFonts w:ascii="Arial" w:hAnsi="Arial" w:cs="Arial"/>
          <w:iCs/>
        </w:rPr>
      </w:pPr>
      <w:r w:rsidRPr="0017067F">
        <w:rPr>
          <w:rFonts w:ascii="Arial" w:hAnsi="Arial" w:cs="Arial"/>
          <w:iCs/>
        </w:rPr>
        <w:t>201</w:t>
      </w:r>
      <w:r w:rsidR="00CE0AC7" w:rsidRPr="0017067F">
        <w:rPr>
          <w:rFonts w:ascii="Arial" w:hAnsi="Arial" w:cs="Arial"/>
          <w:iCs/>
        </w:rPr>
        <w:t>6</w:t>
      </w:r>
      <w:r w:rsidRPr="0017067F">
        <w:rPr>
          <w:rFonts w:ascii="Arial" w:hAnsi="Arial" w:cs="Arial"/>
          <w:iCs/>
        </w:rPr>
        <w:t xml:space="preserve">-ben helyszíni ellenőrzésre nem került sor. A bevallások feldolgozásával egyidejűleg folyamatosan történt az adózók ellenőrzése. Ez évben </w:t>
      </w:r>
      <w:r w:rsidR="00CE0AC7" w:rsidRPr="0017067F">
        <w:rPr>
          <w:rFonts w:ascii="Arial" w:hAnsi="Arial" w:cs="Arial"/>
          <w:iCs/>
        </w:rPr>
        <w:t>is sor került a</w:t>
      </w:r>
      <w:r w:rsidRPr="0017067F">
        <w:rPr>
          <w:rFonts w:ascii="Arial" w:hAnsi="Arial" w:cs="Arial"/>
          <w:iCs/>
        </w:rPr>
        <w:t xml:space="preserve"> bevallást nem teljesítők felszólítására, illetve az ÖN</w:t>
      </w:r>
      <w:r w:rsidR="001274F8" w:rsidRPr="0017067F">
        <w:rPr>
          <w:rFonts w:ascii="Arial" w:hAnsi="Arial" w:cs="Arial"/>
          <w:iCs/>
        </w:rPr>
        <w:t>KADÓ</w:t>
      </w:r>
      <w:r w:rsidRPr="0017067F">
        <w:rPr>
          <w:rFonts w:ascii="Arial" w:hAnsi="Arial" w:cs="Arial"/>
          <w:iCs/>
        </w:rPr>
        <w:t xml:space="preserve"> nyilvántartásunk felülvizsgálatára</w:t>
      </w:r>
      <w:r w:rsidR="00CE0AC7" w:rsidRPr="0017067F">
        <w:rPr>
          <w:rFonts w:ascii="Arial" w:hAnsi="Arial" w:cs="Arial"/>
          <w:iCs/>
        </w:rPr>
        <w:t xml:space="preserve">. </w:t>
      </w:r>
    </w:p>
    <w:p w:rsidR="00CE0AC7" w:rsidRPr="0017067F" w:rsidRDefault="00CE0AC7" w:rsidP="00A360CD">
      <w:pPr>
        <w:spacing w:after="0"/>
        <w:jc w:val="both"/>
        <w:rPr>
          <w:rFonts w:ascii="Arial" w:hAnsi="Arial" w:cs="Arial"/>
          <w:b/>
          <w:iCs/>
        </w:rPr>
      </w:pPr>
    </w:p>
    <w:p w:rsidR="00334062" w:rsidRPr="0017067F" w:rsidRDefault="00334062" w:rsidP="00A360CD">
      <w:pPr>
        <w:numPr>
          <w:ilvl w:val="0"/>
          <w:numId w:val="35"/>
        </w:numPr>
        <w:spacing w:after="0"/>
        <w:ind w:left="284" w:hanging="284"/>
        <w:jc w:val="both"/>
        <w:rPr>
          <w:rFonts w:ascii="Arial" w:hAnsi="Arial" w:cs="Arial"/>
          <w:b/>
          <w:iCs/>
        </w:rPr>
      </w:pPr>
      <w:r w:rsidRPr="0017067F">
        <w:rPr>
          <w:rFonts w:ascii="Arial" w:hAnsi="Arial" w:cs="Arial"/>
          <w:b/>
          <w:iCs/>
        </w:rPr>
        <w:t>Jogorvoslati eljárás</w:t>
      </w:r>
    </w:p>
    <w:p w:rsidR="00FB0978" w:rsidRPr="0017067F" w:rsidRDefault="00FB0978" w:rsidP="00A360CD">
      <w:pPr>
        <w:spacing w:after="0"/>
        <w:jc w:val="both"/>
        <w:rPr>
          <w:rFonts w:ascii="Arial" w:hAnsi="Arial" w:cs="Arial"/>
          <w:b/>
          <w:iCs/>
        </w:rPr>
      </w:pPr>
    </w:p>
    <w:p w:rsidR="00FB0978" w:rsidRPr="0017067F" w:rsidRDefault="00FB0978" w:rsidP="00A360CD">
      <w:pPr>
        <w:spacing w:after="0"/>
        <w:jc w:val="both"/>
        <w:rPr>
          <w:rFonts w:ascii="Arial" w:hAnsi="Arial" w:cs="Arial"/>
          <w:iCs/>
        </w:rPr>
      </w:pPr>
      <w:r w:rsidRPr="0017067F">
        <w:rPr>
          <w:rFonts w:ascii="Arial" w:hAnsi="Arial" w:cs="Arial"/>
          <w:iCs/>
        </w:rPr>
        <w:t xml:space="preserve">Az osztályon végzett munka jogszerűségét nagymértékben alátámasztja, hogy a kibocsátott határozatok ellen </w:t>
      </w:r>
      <w:r w:rsidR="00F60FBF" w:rsidRPr="0017067F">
        <w:rPr>
          <w:rFonts w:ascii="Arial" w:hAnsi="Arial" w:cs="Arial"/>
          <w:iCs/>
        </w:rPr>
        <w:t>alacsony</w:t>
      </w:r>
      <w:r w:rsidRPr="0017067F">
        <w:rPr>
          <w:rFonts w:ascii="Arial" w:hAnsi="Arial" w:cs="Arial"/>
          <w:iCs/>
        </w:rPr>
        <w:t xml:space="preserve"> számú </w:t>
      </w:r>
      <w:r w:rsidR="00E20DE5" w:rsidRPr="0017067F">
        <w:rPr>
          <w:rFonts w:ascii="Arial" w:hAnsi="Arial" w:cs="Arial"/>
          <w:iCs/>
        </w:rPr>
        <w:t>(összesen</w:t>
      </w:r>
      <w:r w:rsidR="00484899" w:rsidRPr="0017067F">
        <w:rPr>
          <w:rFonts w:ascii="Arial" w:hAnsi="Arial" w:cs="Arial"/>
          <w:iCs/>
        </w:rPr>
        <w:t xml:space="preserve"> 8</w:t>
      </w:r>
      <w:r w:rsidR="00E20DE5" w:rsidRPr="0017067F">
        <w:rPr>
          <w:rFonts w:ascii="Arial" w:hAnsi="Arial" w:cs="Arial"/>
          <w:iCs/>
        </w:rPr>
        <w:t xml:space="preserve"> es</w:t>
      </w:r>
      <w:r w:rsidR="00253F1D" w:rsidRPr="0017067F">
        <w:rPr>
          <w:rFonts w:ascii="Arial" w:hAnsi="Arial" w:cs="Arial"/>
          <w:iCs/>
        </w:rPr>
        <w:t>e</w:t>
      </w:r>
      <w:r w:rsidR="00E20DE5" w:rsidRPr="0017067F">
        <w:rPr>
          <w:rFonts w:ascii="Arial" w:hAnsi="Arial" w:cs="Arial"/>
          <w:iCs/>
        </w:rPr>
        <w:t xml:space="preserve">tben) </w:t>
      </w:r>
      <w:r w:rsidRPr="0017067F">
        <w:rPr>
          <w:rFonts w:ascii="Arial" w:hAnsi="Arial" w:cs="Arial"/>
          <w:iCs/>
        </w:rPr>
        <w:t>fellebbezés benyújtására került sor.</w:t>
      </w:r>
      <w:r w:rsidR="00F60FBF" w:rsidRPr="0017067F">
        <w:rPr>
          <w:rFonts w:ascii="Arial" w:hAnsi="Arial" w:cs="Arial"/>
          <w:iCs/>
        </w:rPr>
        <w:t xml:space="preserve"> </w:t>
      </w:r>
    </w:p>
    <w:p w:rsidR="00F60FBF" w:rsidRPr="0017067F" w:rsidRDefault="00F60FBF" w:rsidP="00A360CD">
      <w:pPr>
        <w:spacing w:after="0"/>
        <w:jc w:val="both"/>
        <w:rPr>
          <w:rFonts w:ascii="Arial" w:hAnsi="Arial" w:cs="Arial"/>
        </w:rPr>
      </w:pPr>
      <w:r w:rsidRPr="0017067F">
        <w:rPr>
          <w:rFonts w:ascii="Arial" w:hAnsi="Arial" w:cs="Arial"/>
        </w:rPr>
        <w:t xml:space="preserve">A fellebbezési eljárások építményadó ellenőrzés, illetve építményadó megállapítással kapcsolatosak, </w:t>
      </w:r>
      <w:r w:rsidR="00417A6E" w:rsidRPr="0017067F">
        <w:rPr>
          <w:rFonts w:ascii="Arial" w:hAnsi="Arial" w:cs="Arial"/>
        </w:rPr>
        <w:t xml:space="preserve">2 </w:t>
      </w:r>
      <w:r w:rsidR="00E20DE5" w:rsidRPr="0017067F">
        <w:rPr>
          <w:rFonts w:ascii="Arial" w:hAnsi="Arial" w:cs="Arial"/>
        </w:rPr>
        <w:t>ügyféltől</w:t>
      </w:r>
      <w:r w:rsidR="00417A6E" w:rsidRPr="0017067F">
        <w:rPr>
          <w:rFonts w:ascii="Arial" w:hAnsi="Arial" w:cs="Arial"/>
        </w:rPr>
        <w:t xml:space="preserve"> érkez</w:t>
      </w:r>
      <w:r w:rsidRPr="0017067F">
        <w:rPr>
          <w:rFonts w:ascii="Arial" w:hAnsi="Arial" w:cs="Arial"/>
        </w:rPr>
        <w:t xml:space="preserve">tek. </w:t>
      </w:r>
    </w:p>
    <w:p w:rsidR="00F60FBF" w:rsidRPr="0017067F" w:rsidRDefault="0062106E" w:rsidP="00A360CD">
      <w:pPr>
        <w:spacing w:after="0"/>
        <w:jc w:val="both"/>
        <w:rPr>
          <w:rFonts w:ascii="Arial" w:hAnsi="Arial" w:cs="Arial"/>
        </w:rPr>
      </w:pPr>
      <w:r w:rsidRPr="0017067F">
        <w:rPr>
          <w:rFonts w:ascii="Arial" w:hAnsi="Arial" w:cs="Arial"/>
        </w:rPr>
        <w:t>A Zala Megyei Kormányhivatal a másodf</w:t>
      </w:r>
      <w:r w:rsidR="00A74326" w:rsidRPr="0017067F">
        <w:rPr>
          <w:rFonts w:ascii="Arial" w:hAnsi="Arial" w:cs="Arial"/>
        </w:rPr>
        <w:t xml:space="preserve">okú eljárás során </w:t>
      </w:r>
      <w:r w:rsidR="002658C0" w:rsidRPr="0017067F">
        <w:rPr>
          <w:rFonts w:ascii="Arial" w:hAnsi="Arial" w:cs="Arial"/>
        </w:rPr>
        <w:t xml:space="preserve">1 magánszemély ügyében: </w:t>
      </w:r>
      <w:r w:rsidR="00A74326" w:rsidRPr="0017067F">
        <w:rPr>
          <w:rFonts w:ascii="Arial" w:hAnsi="Arial" w:cs="Arial"/>
        </w:rPr>
        <w:t>a 2 esetben építményadó újrafelvételi kérelem elutasítása tárgyában hozott végzésünket helyben hagyta, 2 esetben felügyeleti intézkedésként határozatunkat megsemmisítette és új eljárás lefolytatását rendelt</w:t>
      </w:r>
      <w:r w:rsidR="003501E1">
        <w:rPr>
          <w:rFonts w:ascii="Arial" w:hAnsi="Arial" w:cs="Arial"/>
        </w:rPr>
        <w:t xml:space="preserve">e el, 1 esetben határozatunkat </w:t>
      </w:r>
      <w:r w:rsidR="00A74326" w:rsidRPr="0017067F">
        <w:rPr>
          <w:rFonts w:ascii="Arial" w:hAnsi="Arial" w:cs="Arial"/>
        </w:rPr>
        <w:t>helybenhagyta</w:t>
      </w:r>
      <w:r w:rsidR="002211D2" w:rsidRPr="0017067F">
        <w:rPr>
          <w:rFonts w:ascii="Arial" w:hAnsi="Arial" w:cs="Arial"/>
        </w:rPr>
        <w:t>,</w:t>
      </w:r>
      <w:r w:rsidR="00A74326" w:rsidRPr="0017067F">
        <w:rPr>
          <w:rFonts w:ascii="Arial" w:hAnsi="Arial" w:cs="Arial"/>
        </w:rPr>
        <w:t xml:space="preserve"> azonban a késedelmi pótlék megállapítása vonatkozásában megváltoztatta – késedelmi pótlék fizetési kötelezettséget törölte -.</w:t>
      </w:r>
    </w:p>
    <w:p w:rsidR="002658C0" w:rsidRPr="0017067F" w:rsidRDefault="00F85FFC" w:rsidP="00A360CD">
      <w:pPr>
        <w:spacing w:after="0"/>
        <w:jc w:val="both"/>
        <w:rPr>
          <w:rFonts w:ascii="Arial" w:hAnsi="Arial" w:cs="Arial"/>
        </w:rPr>
      </w:pPr>
      <w:r w:rsidRPr="0017067F">
        <w:rPr>
          <w:rFonts w:ascii="Arial" w:hAnsi="Arial" w:cs="Arial"/>
        </w:rPr>
        <w:t>Egy civil szervezetre vonatkozó 2012-2015. évr</w:t>
      </w:r>
      <w:r w:rsidR="003501E1">
        <w:rPr>
          <w:rFonts w:ascii="Arial" w:hAnsi="Arial" w:cs="Arial"/>
        </w:rPr>
        <w:t xml:space="preserve">e, továbbá 2016. évre vonatkozó </w:t>
      </w:r>
      <w:r w:rsidRPr="0017067F">
        <w:rPr>
          <w:rFonts w:ascii="Arial" w:hAnsi="Arial" w:cs="Arial"/>
        </w:rPr>
        <w:t xml:space="preserve">építményadó megállapítási ügyben 3 határozatunkat megsemmisítették, és új eljárás lefolytatását </w:t>
      </w:r>
      <w:r w:rsidR="00A028A7" w:rsidRPr="0017067F">
        <w:rPr>
          <w:rFonts w:ascii="Arial" w:hAnsi="Arial" w:cs="Arial"/>
        </w:rPr>
        <w:t xml:space="preserve">rendelte el a másodfokú hatóság, továbbá </w:t>
      </w:r>
      <w:r w:rsidR="009715C9" w:rsidRPr="0017067F">
        <w:rPr>
          <w:rFonts w:ascii="Arial" w:hAnsi="Arial" w:cs="Arial"/>
        </w:rPr>
        <w:t>az</w:t>
      </w:r>
      <w:r w:rsidR="001024FE" w:rsidRPr="0017067F">
        <w:rPr>
          <w:rFonts w:ascii="Arial" w:hAnsi="Arial" w:cs="Arial"/>
        </w:rPr>
        <w:t xml:space="preserve"> ügyben az</w:t>
      </w:r>
      <w:r w:rsidR="009715C9" w:rsidRPr="0017067F">
        <w:rPr>
          <w:rFonts w:ascii="Arial" w:hAnsi="Arial" w:cs="Arial"/>
        </w:rPr>
        <w:t xml:space="preserve"> általunk elrendelt végrehajtási cselekményeket</w:t>
      </w:r>
      <w:r w:rsidR="001024FE" w:rsidRPr="0017067F">
        <w:rPr>
          <w:rFonts w:ascii="Arial" w:hAnsi="Arial" w:cs="Arial"/>
        </w:rPr>
        <w:t xml:space="preserve"> (azonnali hatósági átutalási megbízások)</w:t>
      </w:r>
      <w:r w:rsidR="009715C9" w:rsidRPr="0017067F">
        <w:rPr>
          <w:rFonts w:ascii="Arial" w:hAnsi="Arial" w:cs="Arial"/>
        </w:rPr>
        <w:t xml:space="preserve"> </w:t>
      </w:r>
      <w:r w:rsidR="001024FE" w:rsidRPr="0017067F">
        <w:rPr>
          <w:rFonts w:ascii="Arial" w:hAnsi="Arial" w:cs="Arial"/>
        </w:rPr>
        <w:t xml:space="preserve">és a végrehajtási költségátalány megfizetésére kötelező végzést </w:t>
      </w:r>
      <w:r w:rsidR="009715C9" w:rsidRPr="0017067F">
        <w:rPr>
          <w:rFonts w:ascii="Arial" w:hAnsi="Arial" w:cs="Arial"/>
        </w:rPr>
        <w:t>megsemmisítette a Kormányhivatal és elrendelte a jogosulatlan végrehajtás összegeinek a visszautalását a nevezett civilszervezet részére.</w:t>
      </w:r>
    </w:p>
    <w:p w:rsidR="00A028A7" w:rsidRPr="0017067F" w:rsidRDefault="00A028A7" w:rsidP="00A360CD">
      <w:pPr>
        <w:spacing w:after="0"/>
        <w:jc w:val="both"/>
        <w:rPr>
          <w:rFonts w:ascii="Arial" w:hAnsi="Arial" w:cs="Arial"/>
        </w:rPr>
      </w:pPr>
      <w:r w:rsidRPr="0017067F">
        <w:rPr>
          <w:rFonts w:ascii="Arial" w:hAnsi="Arial" w:cs="Arial"/>
        </w:rPr>
        <w:t>Az ügyben az új eljárás még nem zárult le, vélhetően az adó megállapítás jogszerűsége fennáll, a Kormányhivatal által megjelölt tényállás tisztázása</w:t>
      </w:r>
      <w:r w:rsidR="00BC71FA" w:rsidRPr="0017067F">
        <w:rPr>
          <w:rFonts w:ascii="Arial" w:hAnsi="Arial" w:cs="Arial"/>
        </w:rPr>
        <w:t>, adatok pontosítása</w:t>
      </w:r>
      <w:r w:rsidRPr="0017067F">
        <w:rPr>
          <w:rFonts w:ascii="Arial" w:hAnsi="Arial" w:cs="Arial"/>
        </w:rPr>
        <w:t xml:space="preserve"> folyamatban van.</w:t>
      </w:r>
    </w:p>
    <w:p w:rsidR="00A028A7" w:rsidRDefault="00A028A7" w:rsidP="00A360CD">
      <w:pPr>
        <w:spacing w:after="0"/>
        <w:jc w:val="both"/>
        <w:rPr>
          <w:rFonts w:ascii="Arial" w:hAnsi="Arial" w:cs="Arial"/>
          <w:color w:val="002060"/>
        </w:rPr>
      </w:pPr>
    </w:p>
    <w:p w:rsidR="00F60FBF" w:rsidRDefault="00FB0978" w:rsidP="00A360CD">
      <w:pPr>
        <w:spacing w:after="0"/>
        <w:jc w:val="both"/>
        <w:rPr>
          <w:rFonts w:ascii="Arial" w:hAnsi="Arial" w:cs="Arial"/>
        </w:rPr>
      </w:pPr>
      <w:r w:rsidRPr="00B545C6">
        <w:rPr>
          <w:rFonts w:ascii="Arial" w:hAnsi="Arial" w:cs="Arial"/>
        </w:rPr>
        <w:t>Idegenforgalmi adóval kapcsolatos mulasztási</w:t>
      </w:r>
      <w:r w:rsidR="00515760" w:rsidRPr="00B545C6">
        <w:rPr>
          <w:rFonts w:ascii="Arial" w:hAnsi="Arial" w:cs="Arial"/>
        </w:rPr>
        <w:t>-</w:t>
      </w:r>
      <w:r w:rsidRPr="00B545C6">
        <w:rPr>
          <w:rFonts w:ascii="Arial" w:hAnsi="Arial" w:cs="Arial"/>
        </w:rPr>
        <w:t xml:space="preserve"> </w:t>
      </w:r>
      <w:r w:rsidR="00515760" w:rsidRPr="00B545C6">
        <w:rPr>
          <w:rFonts w:ascii="Arial" w:hAnsi="Arial" w:cs="Arial"/>
        </w:rPr>
        <w:t>illetve adó</w:t>
      </w:r>
      <w:r w:rsidRPr="00B545C6">
        <w:rPr>
          <w:rFonts w:ascii="Arial" w:hAnsi="Arial" w:cs="Arial"/>
        </w:rPr>
        <w:t xml:space="preserve">bírság </w:t>
      </w:r>
      <w:r w:rsidR="00F60FBF" w:rsidRPr="00B545C6">
        <w:rPr>
          <w:rFonts w:ascii="Arial" w:hAnsi="Arial" w:cs="Arial"/>
        </w:rPr>
        <w:t xml:space="preserve">megállapítására </w:t>
      </w:r>
      <w:r w:rsidR="00515760" w:rsidRPr="00B545C6">
        <w:rPr>
          <w:rFonts w:ascii="Arial" w:hAnsi="Arial" w:cs="Arial"/>
        </w:rPr>
        <w:t xml:space="preserve">29 alkalommal </w:t>
      </w:r>
      <w:r w:rsidR="00F60FBF" w:rsidRPr="00B545C6">
        <w:rPr>
          <w:rFonts w:ascii="Arial" w:hAnsi="Arial" w:cs="Arial"/>
        </w:rPr>
        <w:t xml:space="preserve">került sor, amely </w:t>
      </w:r>
      <w:proofErr w:type="gramStart"/>
      <w:r w:rsidR="00F60FBF" w:rsidRPr="00B545C6">
        <w:rPr>
          <w:rFonts w:ascii="Arial" w:hAnsi="Arial" w:cs="Arial"/>
        </w:rPr>
        <w:t xml:space="preserve">ellen </w:t>
      </w:r>
      <w:r w:rsidRPr="00B545C6">
        <w:rPr>
          <w:rFonts w:ascii="Arial" w:hAnsi="Arial" w:cs="Arial"/>
        </w:rPr>
        <w:t xml:space="preserve"> </w:t>
      </w:r>
      <w:r w:rsidR="00F60FBF" w:rsidRPr="00B545C6">
        <w:rPr>
          <w:rFonts w:ascii="Arial" w:hAnsi="Arial" w:cs="Arial"/>
        </w:rPr>
        <w:t>nem</w:t>
      </w:r>
      <w:proofErr w:type="gramEnd"/>
      <w:r w:rsidR="00F60FBF" w:rsidRPr="00B545C6">
        <w:rPr>
          <w:rFonts w:ascii="Arial" w:hAnsi="Arial" w:cs="Arial"/>
        </w:rPr>
        <w:t xml:space="preserve"> került sor</w:t>
      </w:r>
      <w:r w:rsidRPr="00B545C6">
        <w:rPr>
          <w:rFonts w:ascii="Arial" w:hAnsi="Arial" w:cs="Arial"/>
        </w:rPr>
        <w:t xml:space="preserve"> fellebbezés benyújtásra. </w:t>
      </w:r>
    </w:p>
    <w:p w:rsidR="009B6B70" w:rsidRPr="00B545C6" w:rsidRDefault="009B6B70" w:rsidP="00A360CD">
      <w:pPr>
        <w:spacing w:after="0"/>
        <w:jc w:val="both"/>
        <w:rPr>
          <w:rFonts w:ascii="Arial" w:hAnsi="Arial" w:cs="Arial"/>
        </w:rPr>
      </w:pPr>
    </w:p>
    <w:p w:rsidR="00854726" w:rsidRPr="009B6B70" w:rsidRDefault="009B6B70" w:rsidP="009B6B70">
      <w:pPr>
        <w:pStyle w:val="Listaszerbekezds"/>
        <w:numPr>
          <w:ilvl w:val="0"/>
          <w:numId w:val="35"/>
        </w:numPr>
        <w:spacing w:after="0"/>
        <w:ind w:left="0" w:firstLine="0"/>
        <w:jc w:val="both"/>
        <w:rPr>
          <w:rFonts w:ascii="Arial" w:hAnsi="Arial" w:cs="Arial"/>
          <w:b/>
          <w:iCs/>
        </w:rPr>
      </w:pPr>
      <w:r w:rsidRPr="009B6B70">
        <w:rPr>
          <w:rFonts w:ascii="Arial" w:hAnsi="Arial" w:cs="Arial"/>
          <w:b/>
          <w:iCs/>
        </w:rPr>
        <w:lastRenderedPageBreak/>
        <w:t xml:space="preserve">Aktualitás </w:t>
      </w:r>
    </w:p>
    <w:p w:rsidR="009B6B70" w:rsidRPr="009B6B70" w:rsidRDefault="009B6B70" w:rsidP="009B6B70">
      <w:pPr>
        <w:pStyle w:val="Listaszerbekezds"/>
        <w:spacing w:after="0"/>
        <w:ind w:left="0"/>
        <w:jc w:val="both"/>
        <w:rPr>
          <w:rFonts w:ascii="Arial" w:hAnsi="Arial" w:cs="Arial"/>
          <w:iCs/>
        </w:rPr>
      </w:pPr>
    </w:p>
    <w:p w:rsidR="00854726" w:rsidRPr="0017067F" w:rsidRDefault="00854726" w:rsidP="00A360CD">
      <w:pPr>
        <w:spacing w:after="0"/>
        <w:jc w:val="both"/>
        <w:rPr>
          <w:rFonts w:ascii="Arial" w:hAnsi="Arial" w:cs="Arial"/>
          <w:iCs/>
        </w:rPr>
      </w:pPr>
      <w:r w:rsidRPr="0017067F">
        <w:rPr>
          <w:rFonts w:ascii="Arial" w:hAnsi="Arial" w:cs="Arial"/>
          <w:iCs/>
        </w:rPr>
        <w:t>A kormányzati szinten folyó közigazga</w:t>
      </w:r>
      <w:r w:rsidR="00BC71FA" w:rsidRPr="0017067F">
        <w:rPr>
          <w:rFonts w:ascii="Arial" w:hAnsi="Arial" w:cs="Arial"/>
          <w:iCs/>
        </w:rPr>
        <w:t xml:space="preserve">tás korszerűsítés keretében vélhetően </w:t>
      </w:r>
      <w:r w:rsidRPr="0017067F">
        <w:rPr>
          <w:rFonts w:ascii="Arial" w:hAnsi="Arial" w:cs="Arial"/>
          <w:iCs/>
        </w:rPr>
        <w:t xml:space="preserve">2017. </w:t>
      </w:r>
      <w:r w:rsidR="00BC71FA" w:rsidRPr="0017067F">
        <w:rPr>
          <w:rFonts w:ascii="Arial" w:hAnsi="Arial" w:cs="Arial"/>
          <w:iCs/>
        </w:rPr>
        <w:t xml:space="preserve">április </w:t>
      </w:r>
      <w:r w:rsidRPr="0017067F">
        <w:rPr>
          <w:rFonts w:ascii="Arial" w:hAnsi="Arial" w:cs="Arial"/>
          <w:iCs/>
        </w:rPr>
        <w:t xml:space="preserve">1-től, </w:t>
      </w:r>
      <w:proofErr w:type="gramStart"/>
      <w:r w:rsidR="00BC71FA" w:rsidRPr="0017067F">
        <w:rPr>
          <w:rFonts w:ascii="Arial" w:hAnsi="Arial" w:cs="Arial"/>
          <w:iCs/>
        </w:rPr>
        <w:t>már  a</w:t>
      </w:r>
      <w:r w:rsidRPr="0017067F">
        <w:rPr>
          <w:rFonts w:ascii="Arial" w:hAnsi="Arial" w:cs="Arial"/>
          <w:iCs/>
        </w:rPr>
        <w:t>z</w:t>
      </w:r>
      <w:proofErr w:type="gramEnd"/>
      <w:r w:rsidRPr="0017067F">
        <w:rPr>
          <w:rFonts w:ascii="Arial" w:hAnsi="Arial" w:cs="Arial"/>
          <w:iCs/>
        </w:rPr>
        <w:t xml:space="preserve"> Önkormányzati ASP</w:t>
      </w:r>
      <w:r w:rsidR="00BC71FA" w:rsidRPr="0017067F">
        <w:rPr>
          <w:rFonts w:ascii="Arial" w:hAnsi="Arial" w:cs="Arial"/>
          <w:iCs/>
        </w:rPr>
        <w:t xml:space="preserve"> </w:t>
      </w:r>
      <w:r w:rsidR="003501E1">
        <w:rPr>
          <w:rFonts w:ascii="Arial" w:hAnsi="Arial" w:cs="Arial"/>
          <w:iCs/>
        </w:rPr>
        <w:t xml:space="preserve">ADO </w:t>
      </w:r>
      <w:r w:rsidR="00BC71FA" w:rsidRPr="0017067F">
        <w:rPr>
          <w:rFonts w:ascii="Arial" w:hAnsi="Arial" w:cs="Arial"/>
          <w:iCs/>
        </w:rPr>
        <w:t>számítástechnikai rendszerrel látjuk el feladatunkat</w:t>
      </w:r>
      <w:r w:rsidRPr="0017067F">
        <w:rPr>
          <w:rFonts w:ascii="Arial" w:hAnsi="Arial" w:cs="Arial"/>
          <w:iCs/>
        </w:rPr>
        <w:t xml:space="preserve">. Az </w:t>
      </w:r>
      <w:r w:rsidR="00BC71FA" w:rsidRPr="0017067F">
        <w:rPr>
          <w:rFonts w:ascii="Arial" w:hAnsi="Arial" w:cs="Arial"/>
          <w:iCs/>
        </w:rPr>
        <w:t xml:space="preserve">elmúlt évben az új szoftveres </w:t>
      </w:r>
      <w:r w:rsidRPr="0017067F">
        <w:rPr>
          <w:rFonts w:ascii="Arial" w:hAnsi="Arial" w:cs="Arial"/>
          <w:iCs/>
        </w:rPr>
        <w:t>adóigazgatási fejlesztés (ÁNYK rendszerű bevallás kezelés)</w:t>
      </w:r>
      <w:r w:rsidR="00BC71FA" w:rsidRPr="0017067F">
        <w:rPr>
          <w:rFonts w:ascii="Arial" w:hAnsi="Arial" w:cs="Arial"/>
          <w:iCs/>
        </w:rPr>
        <w:t xml:space="preserve"> nem került</w:t>
      </w:r>
      <w:r w:rsidRPr="0017067F">
        <w:rPr>
          <w:rFonts w:ascii="Arial" w:hAnsi="Arial" w:cs="Arial"/>
          <w:iCs/>
        </w:rPr>
        <w:t xml:space="preserve"> bevezetés</w:t>
      </w:r>
      <w:r w:rsidR="00BC71FA" w:rsidRPr="0017067F">
        <w:rPr>
          <w:rFonts w:ascii="Arial" w:hAnsi="Arial" w:cs="Arial"/>
          <w:iCs/>
        </w:rPr>
        <w:t>re.</w:t>
      </w:r>
    </w:p>
    <w:p w:rsidR="00CE0AC7" w:rsidRPr="00BC71FA" w:rsidRDefault="00CE0AC7" w:rsidP="00A360CD">
      <w:pPr>
        <w:spacing w:after="0"/>
        <w:jc w:val="both"/>
        <w:rPr>
          <w:rFonts w:ascii="Arial" w:hAnsi="Arial" w:cs="Arial"/>
          <w:iCs/>
          <w:color w:val="002060"/>
        </w:rPr>
      </w:pPr>
    </w:p>
    <w:p w:rsidR="00712065" w:rsidRPr="0017067F" w:rsidRDefault="00712065" w:rsidP="00712065">
      <w:pPr>
        <w:jc w:val="both"/>
        <w:rPr>
          <w:rFonts w:ascii="Arial" w:hAnsi="Arial" w:cs="Arial"/>
        </w:rPr>
      </w:pPr>
      <w:r w:rsidRPr="0017067F">
        <w:rPr>
          <w:rFonts w:ascii="Arial" w:hAnsi="Arial" w:cs="Arial"/>
        </w:rPr>
        <w:t xml:space="preserve">Az adóhatóság célja, a közvetlen kapcsolat kialakítása az adózókkal, az adóbevallások és befizetések határidőben történő benyújtásának és befizetésének elősegítése, ezen felül feladata a </w:t>
      </w:r>
      <w:hyperlink r:id="rId11" w:history="1">
        <w:r w:rsidRPr="0017067F">
          <w:rPr>
            <w:rStyle w:val="Hiperhivatkozs"/>
            <w:rFonts w:ascii="Arial" w:hAnsi="Arial" w:cs="Arial"/>
            <w:color w:val="auto"/>
          </w:rPr>
          <w:t>www.onkormanyzat.heviz.hu</w:t>
        </w:r>
      </w:hyperlink>
      <w:r w:rsidRPr="0017067F">
        <w:rPr>
          <w:rFonts w:ascii="Arial" w:hAnsi="Arial" w:cs="Arial"/>
        </w:rPr>
        <w:t xml:space="preserve"> honlapon elhelyezett ügytípus leírások, letölthető nyomtatványok aktualizálása, frissítése, az adóbevallások kitöltésének segítése. Az adózók részére a nyomtatványok határidőre elkészültek. </w:t>
      </w:r>
    </w:p>
    <w:p w:rsidR="003A06EF" w:rsidRDefault="003A06EF" w:rsidP="00A360CD">
      <w:pPr>
        <w:spacing w:after="0"/>
        <w:jc w:val="both"/>
        <w:rPr>
          <w:rFonts w:ascii="Arial" w:hAnsi="Arial" w:cs="Arial"/>
          <w:iCs/>
        </w:rPr>
      </w:pPr>
    </w:p>
    <w:p w:rsidR="004538E0" w:rsidRPr="0017067F" w:rsidRDefault="004538E0" w:rsidP="00A360CD">
      <w:pPr>
        <w:tabs>
          <w:tab w:val="center" w:pos="7088"/>
          <w:tab w:val="left" w:pos="7788"/>
          <w:tab w:val="left" w:pos="8496"/>
        </w:tabs>
        <w:suppressAutoHyphens/>
        <w:spacing w:after="0"/>
        <w:jc w:val="both"/>
        <w:rPr>
          <w:rFonts w:ascii="Arial" w:hAnsi="Arial" w:cs="Arial"/>
          <w:b/>
          <w:iCs/>
        </w:rPr>
      </w:pPr>
      <w:r w:rsidRPr="0017067F">
        <w:rPr>
          <w:rFonts w:ascii="Arial" w:hAnsi="Arial" w:cs="Arial"/>
          <w:b/>
          <w:iCs/>
        </w:rPr>
        <w:t>Tisztelt Képviselő-testületet!</w:t>
      </w:r>
    </w:p>
    <w:p w:rsidR="004538E0" w:rsidRPr="0017067F" w:rsidRDefault="004538E0" w:rsidP="00A360CD">
      <w:pPr>
        <w:tabs>
          <w:tab w:val="center" w:pos="7088"/>
          <w:tab w:val="left" w:pos="7788"/>
          <w:tab w:val="left" w:pos="8496"/>
        </w:tabs>
        <w:suppressAutoHyphens/>
        <w:spacing w:after="0"/>
        <w:jc w:val="both"/>
        <w:rPr>
          <w:rFonts w:ascii="Arial" w:eastAsia="MS Mincho" w:hAnsi="Arial" w:cs="Arial"/>
          <w:b/>
          <w:lang w:eastAsia="hu-HU"/>
        </w:rPr>
      </w:pPr>
    </w:p>
    <w:p w:rsidR="004538E0" w:rsidRPr="0017067F" w:rsidRDefault="001274F8" w:rsidP="00A360CD">
      <w:pPr>
        <w:spacing w:after="0"/>
        <w:jc w:val="both"/>
        <w:rPr>
          <w:rFonts w:ascii="Arial" w:hAnsi="Arial" w:cs="Arial"/>
          <w:iCs/>
        </w:rPr>
      </w:pPr>
      <w:r w:rsidRPr="0017067F">
        <w:rPr>
          <w:rFonts w:ascii="Arial" w:hAnsi="Arial" w:cs="Arial"/>
          <w:iCs/>
        </w:rPr>
        <w:t>Kérem az előterjesztés</w:t>
      </w:r>
      <w:r w:rsidR="004538E0" w:rsidRPr="0017067F">
        <w:rPr>
          <w:rFonts w:ascii="Arial" w:hAnsi="Arial" w:cs="Arial"/>
          <w:iCs/>
        </w:rPr>
        <w:t xml:space="preserve"> megvitatását.</w:t>
      </w:r>
      <w:r w:rsidR="00735D46" w:rsidRPr="0017067F">
        <w:rPr>
          <w:rFonts w:ascii="Arial" w:hAnsi="Arial" w:cs="Arial"/>
          <w:iCs/>
        </w:rPr>
        <w:t xml:space="preserve"> </w:t>
      </w:r>
      <w:r w:rsidR="004538E0" w:rsidRPr="0017067F">
        <w:rPr>
          <w:rFonts w:ascii="Arial" w:hAnsi="Arial" w:cs="Arial"/>
          <w:iCs/>
        </w:rPr>
        <w:t>A döntés egyszerű szótöbbséget igényel.</w:t>
      </w:r>
    </w:p>
    <w:p w:rsidR="000710C8" w:rsidRPr="0017067F" w:rsidRDefault="000710C8" w:rsidP="007A5695">
      <w:pPr>
        <w:spacing w:after="0" w:line="240" w:lineRule="auto"/>
        <w:jc w:val="center"/>
        <w:rPr>
          <w:rFonts w:ascii="Arial" w:hAnsi="Arial" w:cs="Arial"/>
          <w:b/>
          <w:sz w:val="24"/>
          <w:szCs w:val="24"/>
        </w:rPr>
      </w:pPr>
    </w:p>
    <w:p w:rsidR="0028388D" w:rsidRDefault="0028388D" w:rsidP="007A5695">
      <w:pPr>
        <w:spacing w:after="0" w:line="240" w:lineRule="auto"/>
        <w:jc w:val="center"/>
        <w:rPr>
          <w:rFonts w:ascii="Arial" w:hAnsi="Arial" w:cs="Arial"/>
          <w:b/>
          <w:sz w:val="24"/>
          <w:szCs w:val="24"/>
        </w:rPr>
      </w:pPr>
    </w:p>
    <w:p w:rsidR="0028388D" w:rsidRDefault="0028388D" w:rsidP="007A5695">
      <w:pPr>
        <w:spacing w:after="0" w:line="240" w:lineRule="auto"/>
        <w:jc w:val="center"/>
        <w:rPr>
          <w:rFonts w:ascii="Arial" w:hAnsi="Arial" w:cs="Arial"/>
          <w:b/>
          <w:sz w:val="24"/>
          <w:szCs w:val="24"/>
        </w:rPr>
      </w:pPr>
    </w:p>
    <w:p w:rsidR="0028388D" w:rsidRDefault="0028388D" w:rsidP="007A5695">
      <w:pPr>
        <w:spacing w:after="0" w:line="240" w:lineRule="auto"/>
        <w:jc w:val="center"/>
        <w:rPr>
          <w:rFonts w:ascii="Arial" w:hAnsi="Arial" w:cs="Arial"/>
          <w:b/>
          <w:sz w:val="24"/>
          <w:szCs w:val="24"/>
        </w:rPr>
      </w:pPr>
    </w:p>
    <w:p w:rsidR="006F5BC3" w:rsidRDefault="006F5BC3" w:rsidP="007A5695">
      <w:pPr>
        <w:spacing w:after="0" w:line="240" w:lineRule="auto"/>
        <w:jc w:val="center"/>
        <w:rPr>
          <w:rFonts w:ascii="Arial" w:hAnsi="Arial" w:cs="Arial"/>
          <w:b/>
          <w:sz w:val="24"/>
          <w:szCs w:val="24"/>
        </w:rPr>
      </w:pPr>
    </w:p>
    <w:p w:rsidR="006F5BC3" w:rsidRDefault="006F5BC3"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627CB2" w:rsidRDefault="00627CB2" w:rsidP="007A5695">
      <w:pPr>
        <w:spacing w:after="0" w:line="240" w:lineRule="auto"/>
        <w:jc w:val="center"/>
        <w:rPr>
          <w:rFonts w:ascii="Arial" w:hAnsi="Arial" w:cs="Arial"/>
          <w:b/>
          <w:sz w:val="24"/>
          <w:szCs w:val="24"/>
        </w:rPr>
      </w:pPr>
    </w:p>
    <w:p w:rsidR="002830E0" w:rsidRPr="0017067F" w:rsidRDefault="002830E0" w:rsidP="007A5695">
      <w:pPr>
        <w:spacing w:after="0" w:line="240" w:lineRule="auto"/>
        <w:jc w:val="center"/>
        <w:rPr>
          <w:rFonts w:ascii="Arial" w:hAnsi="Arial" w:cs="Arial"/>
          <w:b/>
          <w:sz w:val="24"/>
          <w:szCs w:val="24"/>
        </w:rPr>
      </w:pPr>
      <w:r w:rsidRPr="0017067F">
        <w:rPr>
          <w:rFonts w:ascii="Arial" w:hAnsi="Arial" w:cs="Arial"/>
          <w:b/>
          <w:sz w:val="24"/>
          <w:szCs w:val="24"/>
        </w:rPr>
        <w:t>2.</w:t>
      </w:r>
    </w:p>
    <w:p w:rsidR="00735D46" w:rsidRPr="0017067F" w:rsidRDefault="00735D46" w:rsidP="007A5695">
      <w:pPr>
        <w:spacing w:after="0" w:line="240" w:lineRule="auto"/>
        <w:jc w:val="center"/>
        <w:rPr>
          <w:rFonts w:ascii="Arial" w:hAnsi="Arial" w:cs="Arial"/>
          <w:b/>
          <w:sz w:val="24"/>
          <w:szCs w:val="24"/>
        </w:rPr>
      </w:pPr>
    </w:p>
    <w:p w:rsidR="00735D46" w:rsidRPr="0017067F" w:rsidRDefault="00735D46" w:rsidP="007A5695">
      <w:pPr>
        <w:spacing w:after="0" w:line="240" w:lineRule="auto"/>
        <w:jc w:val="center"/>
        <w:rPr>
          <w:rFonts w:ascii="Arial" w:hAnsi="Arial" w:cs="Arial"/>
          <w:b/>
          <w:sz w:val="24"/>
          <w:szCs w:val="24"/>
        </w:rPr>
      </w:pPr>
      <w:r w:rsidRPr="0017067F">
        <w:rPr>
          <w:rFonts w:ascii="Arial" w:hAnsi="Arial" w:cs="Arial"/>
          <w:b/>
          <w:sz w:val="24"/>
          <w:szCs w:val="24"/>
        </w:rPr>
        <w:t>Határozati javaslat</w:t>
      </w:r>
    </w:p>
    <w:p w:rsidR="002830E0" w:rsidRPr="0017067F" w:rsidRDefault="002830E0" w:rsidP="007A5695">
      <w:pPr>
        <w:spacing w:after="0" w:line="240" w:lineRule="auto"/>
        <w:jc w:val="center"/>
        <w:rPr>
          <w:rFonts w:ascii="Arial" w:hAnsi="Arial" w:cs="Arial"/>
          <w:sz w:val="24"/>
          <w:szCs w:val="24"/>
        </w:rPr>
      </w:pPr>
    </w:p>
    <w:p w:rsidR="002830E0" w:rsidRPr="0017067F" w:rsidRDefault="002830E0" w:rsidP="003501E1">
      <w:pPr>
        <w:spacing w:after="0" w:line="240" w:lineRule="auto"/>
        <w:jc w:val="both"/>
        <w:rPr>
          <w:rFonts w:ascii="Arial" w:hAnsi="Arial" w:cs="Arial"/>
        </w:rPr>
      </w:pPr>
      <w:r w:rsidRPr="0017067F">
        <w:rPr>
          <w:rFonts w:ascii="Arial" w:hAnsi="Arial" w:cs="Arial"/>
        </w:rPr>
        <w:t>Hévíz Város Önkormá</w:t>
      </w:r>
      <w:r w:rsidR="00B32CE8" w:rsidRPr="0017067F">
        <w:rPr>
          <w:rFonts w:ascii="Arial" w:hAnsi="Arial" w:cs="Arial"/>
        </w:rPr>
        <w:t>nyzat Képviselő-testülete a 201</w:t>
      </w:r>
      <w:r w:rsidR="00AC4D5A">
        <w:rPr>
          <w:rFonts w:ascii="Arial" w:hAnsi="Arial" w:cs="Arial"/>
        </w:rPr>
        <w:t>6</w:t>
      </w:r>
      <w:r w:rsidRPr="0017067F">
        <w:rPr>
          <w:rFonts w:ascii="Arial" w:hAnsi="Arial" w:cs="Arial"/>
        </w:rPr>
        <w:t>. évi adó</w:t>
      </w:r>
      <w:r w:rsidR="003501E1">
        <w:rPr>
          <w:rFonts w:ascii="Arial" w:hAnsi="Arial" w:cs="Arial"/>
        </w:rPr>
        <w:t xml:space="preserve">igazgatási tevékenységről szóló </w:t>
      </w:r>
      <w:r w:rsidRPr="0017067F">
        <w:rPr>
          <w:rFonts w:ascii="Arial" w:hAnsi="Arial" w:cs="Arial"/>
        </w:rPr>
        <w:t>beszámoló</w:t>
      </w:r>
      <w:r w:rsidR="00D632DC" w:rsidRPr="0017067F">
        <w:rPr>
          <w:rFonts w:ascii="Arial" w:hAnsi="Arial" w:cs="Arial"/>
        </w:rPr>
        <w:t>t</w:t>
      </w:r>
      <w:r w:rsidRPr="0017067F">
        <w:rPr>
          <w:rFonts w:ascii="Arial" w:hAnsi="Arial" w:cs="Arial"/>
        </w:rPr>
        <w:t xml:space="preserve"> elfogadja.</w:t>
      </w:r>
    </w:p>
    <w:p w:rsidR="003A06EF" w:rsidRPr="0017067F" w:rsidRDefault="003A06EF" w:rsidP="003501E1">
      <w:pPr>
        <w:spacing w:after="0" w:line="240" w:lineRule="auto"/>
        <w:jc w:val="both"/>
        <w:rPr>
          <w:rFonts w:ascii="Arial" w:hAnsi="Arial" w:cs="Arial"/>
        </w:rPr>
      </w:pPr>
    </w:p>
    <w:p w:rsidR="002830E0" w:rsidRPr="0017067F" w:rsidRDefault="002830E0" w:rsidP="003501E1">
      <w:pPr>
        <w:spacing w:after="0" w:line="240" w:lineRule="auto"/>
        <w:jc w:val="both"/>
        <w:rPr>
          <w:rFonts w:ascii="Arial" w:hAnsi="Arial" w:cs="Arial"/>
        </w:rPr>
      </w:pPr>
      <w:r w:rsidRPr="0017067F">
        <w:rPr>
          <w:rFonts w:ascii="Arial" w:hAnsi="Arial" w:cs="Arial"/>
        </w:rPr>
        <w:t>Felelős:</w:t>
      </w:r>
      <w:r w:rsidR="00735D46" w:rsidRPr="0017067F">
        <w:rPr>
          <w:rFonts w:ascii="Arial" w:hAnsi="Arial" w:cs="Arial"/>
        </w:rPr>
        <w:t xml:space="preserve"> dr. Tüske Róbert jegyző</w:t>
      </w:r>
    </w:p>
    <w:p w:rsidR="002830E0" w:rsidRPr="0017067F" w:rsidRDefault="002830E0" w:rsidP="003501E1">
      <w:pPr>
        <w:spacing w:after="0" w:line="240" w:lineRule="auto"/>
        <w:jc w:val="both"/>
        <w:rPr>
          <w:rFonts w:ascii="Arial" w:hAnsi="Arial" w:cs="Arial"/>
        </w:rPr>
      </w:pPr>
      <w:r w:rsidRPr="0017067F">
        <w:rPr>
          <w:rFonts w:ascii="Arial" w:hAnsi="Arial" w:cs="Arial"/>
        </w:rPr>
        <w:t xml:space="preserve">Határidő: </w:t>
      </w:r>
      <w:r w:rsidR="00756EEB" w:rsidRPr="0017067F">
        <w:rPr>
          <w:rFonts w:ascii="Arial" w:hAnsi="Arial" w:cs="Arial"/>
        </w:rPr>
        <w:t>2017</w:t>
      </w:r>
      <w:r w:rsidR="009849DD" w:rsidRPr="0017067F">
        <w:rPr>
          <w:rFonts w:ascii="Arial" w:hAnsi="Arial" w:cs="Arial"/>
        </w:rPr>
        <w:t>. április 3</w:t>
      </w:r>
      <w:r w:rsidR="000B2296" w:rsidRPr="0017067F">
        <w:rPr>
          <w:rFonts w:ascii="Arial" w:hAnsi="Arial" w:cs="Arial"/>
        </w:rPr>
        <w:t>.</w:t>
      </w:r>
    </w:p>
    <w:p w:rsidR="007A5695" w:rsidRDefault="00157B65" w:rsidP="003501E1">
      <w:pPr>
        <w:spacing w:after="0" w:line="240" w:lineRule="auto"/>
        <w:jc w:val="both"/>
        <w:rPr>
          <w:rFonts w:ascii="Arial" w:hAnsi="Arial" w:cs="Arial"/>
          <w:b/>
          <w:sz w:val="24"/>
          <w:szCs w:val="24"/>
        </w:rPr>
      </w:pPr>
      <w:bookmarkStart w:id="0" w:name="_GoBack"/>
      <w:bookmarkEnd w:id="0"/>
      <w:r w:rsidRPr="002211D2">
        <w:rPr>
          <w:rFonts w:ascii="Arial" w:hAnsi="Arial" w:cs="Arial"/>
          <w:b/>
          <w:color w:val="002060"/>
          <w:sz w:val="24"/>
          <w:szCs w:val="24"/>
        </w:rPr>
        <w:br w:type="page"/>
      </w:r>
      <w:r w:rsidR="007A5695">
        <w:rPr>
          <w:rFonts w:ascii="Arial" w:hAnsi="Arial" w:cs="Arial"/>
          <w:b/>
          <w:sz w:val="24"/>
          <w:szCs w:val="24"/>
        </w:rPr>
        <w:lastRenderedPageBreak/>
        <w:t>3.</w:t>
      </w:r>
    </w:p>
    <w:p w:rsidR="007A5695" w:rsidRDefault="007A5695" w:rsidP="007A5695">
      <w:pPr>
        <w:spacing w:after="0" w:line="240" w:lineRule="auto"/>
        <w:jc w:val="center"/>
        <w:rPr>
          <w:rFonts w:ascii="Arial" w:hAnsi="Arial" w:cs="Arial"/>
          <w:b/>
          <w:sz w:val="24"/>
          <w:szCs w:val="24"/>
        </w:rPr>
      </w:pPr>
    </w:p>
    <w:p w:rsidR="007A5695" w:rsidRDefault="007A5695" w:rsidP="007A5695">
      <w:pPr>
        <w:spacing w:after="0" w:line="240" w:lineRule="auto"/>
        <w:jc w:val="center"/>
        <w:rPr>
          <w:rFonts w:ascii="Arial" w:hAnsi="Arial" w:cs="Arial"/>
          <w:b/>
          <w:sz w:val="24"/>
          <w:szCs w:val="24"/>
        </w:rPr>
      </w:pPr>
      <w:r>
        <w:rPr>
          <w:rFonts w:ascii="Arial" w:hAnsi="Arial" w:cs="Arial"/>
          <w:b/>
          <w:sz w:val="24"/>
          <w:szCs w:val="24"/>
        </w:rPr>
        <w:t>Bizottsági állásfoglalás</w:t>
      </w:r>
    </w:p>
    <w:p w:rsidR="007A5695" w:rsidRPr="00843DC2" w:rsidRDefault="00157B65" w:rsidP="007A5695">
      <w:pPr>
        <w:jc w:val="center"/>
        <w:rPr>
          <w:rFonts w:ascii="Arial" w:hAnsi="Arial" w:cs="Arial"/>
          <w:b/>
          <w:sz w:val="24"/>
          <w:szCs w:val="24"/>
        </w:rPr>
      </w:pPr>
      <w:r>
        <w:rPr>
          <w:rFonts w:ascii="Arial" w:hAnsi="Arial" w:cs="Arial"/>
          <w:b/>
          <w:sz w:val="24"/>
          <w:szCs w:val="24"/>
        </w:rPr>
        <w:br w:type="page"/>
      </w:r>
      <w:r w:rsidR="007A5695">
        <w:rPr>
          <w:rFonts w:ascii="Arial" w:hAnsi="Arial" w:cs="Arial"/>
          <w:b/>
          <w:sz w:val="24"/>
          <w:szCs w:val="24"/>
        </w:rPr>
        <w:lastRenderedPageBreak/>
        <w:t>4</w:t>
      </w:r>
      <w:r w:rsidR="007A5695" w:rsidRPr="00843DC2">
        <w:rPr>
          <w:rFonts w:ascii="Arial" w:hAnsi="Arial" w:cs="Arial"/>
          <w:b/>
          <w:sz w:val="24"/>
          <w:szCs w:val="24"/>
        </w:rPr>
        <w:t>.</w:t>
      </w:r>
    </w:p>
    <w:p w:rsidR="00E4261F" w:rsidRPr="002830E0" w:rsidRDefault="002830E0" w:rsidP="002830E0">
      <w:pPr>
        <w:tabs>
          <w:tab w:val="left" w:pos="3465"/>
        </w:tabs>
        <w:jc w:val="center"/>
        <w:rPr>
          <w:rFonts w:ascii="Arial" w:hAnsi="Arial" w:cs="Arial"/>
          <w:b/>
        </w:rPr>
      </w:pPr>
      <w:r w:rsidRPr="002830E0">
        <w:rPr>
          <w:rFonts w:ascii="Arial" w:hAnsi="Arial" w:cs="Arial"/>
          <w:b/>
        </w:rPr>
        <w:t>Mellékletek</w:t>
      </w:r>
    </w:p>
    <w:p w:rsidR="00157B65" w:rsidRPr="00F7042A" w:rsidRDefault="00157B65" w:rsidP="00157B65">
      <w:pPr>
        <w:spacing w:after="0" w:line="240" w:lineRule="auto"/>
        <w:jc w:val="center"/>
        <w:rPr>
          <w:rFonts w:ascii="Arial" w:hAnsi="Arial" w:cs="Arial"/>
          <w:b/>
          <w:sz w:val="24"/>
          <w:szCs w:val="24"/>
        </w:rPr>
      </w:pPr>
      <w:r>
        <w:rPr>
          <w:rFonts w:ascii="Arial" w:hAnsi="Arial" w:cs="Arial"/>
          <w:b/>
          <w:sz w:val="24"/>
          <w:szCs w:val="24"/>
        </w:rPr>
        <w:br w:type="page"/>
      </w:r>
      <w:r w:rsidRPr="00F7042A">
        <w:rPr>
          <w:rFonts w:ascii="Arial" w:hAnsi="Arial" w:cs="Arial"/>
          <w:b/>
          <w:sz w:val="24"/>
          <w:szCs w:val="24"/>
        </w:rPr>
        <w:lastRenderedPageBreak/>
        <w:t xml:space="preserve"> </w:t>
      </w:r>
    </w:p>
    <w:p w:rsidR="00E03983" w:rsidRDefault="00157B65" w:rsidP="00F7042A">
      <w:pPr>
        <w:spacing w:after="0" w:line="240" w:lineRule="auto"/>
        <w:jc w:val="center"/>
        <w:rPr>
          <w:rFonts w:ascii="Arial" w:hAnsi="Arial" w:cs="Arial"/>
          <w:b/>
          <w:sz w:val="24"/>
          <w:szCs w:val="24"/>
        </w:rPr>
      </w:pPr>
      <w:r>
        <w:rPr>
          <w:rFonts w:ascii="Arial" w:hAnsi="Arial" w:cs="Arial"/>
          <w:b/>
          <w:sz w:val="24"/>
          <w:szCs w:val="24"/>
        </w:rPr>
        <w:t>5</w:t>
      </w:r>
      <w:r w:rsidR="00F7042A">
        <w:rPr>
          <w:rFonts w:ascii="Arial" w:hAnsi="Arial" w:cs="Arial"/>
          <w:b/>
          <w:sz w:val="24"/>
          <w:szCs w:val="24"/>
        </w:rPr>
        <w:t>.</w:t>
      </w:r>
    </w:p>
    <w:p w:rsidR="00F7042A" w:rsidRPr="00F7042A" w:rsidRDefault="00F7042A" w:rsidP="00F7042A">
      <w:pPr>
        <w:spacing w:after="0" w:line="240" w:lineRule="auto"/>
        <w:jc w:val="center"/>
        <w:rPr>
          <w:rFonts w:ascii="Arial" w:hAnsi="Arial" w:cs="Arial"/>
          <w:b/>
          <w:sz w:val="24"/>
          <w:szCs w:val="24"/>
        </w:rPr>
      </w:pPr>
    </w:p>
    <w:p w:rsidR="006D22ED" w:rsidRDefault="006D22ED" w:rsidP="00F7042A">
      <w:pPr>
        <w:spacing w:after="0" w:line="240" w:lineRule="auto"/>
        <w:jc w:val="center"/>
        <w:rPr>
          <w:rFonts w:ascii="Arial" w:hAnsi="Arial" w:cs="Arial"/>
          <w:b/>
          <w:sz w:val="24"/>
          <w:szCs w:val="24"/>
        </w:rPr>
      </w:pPr>
      <w:r w:rsidRPr="00F7042A">
        <w:rPr>
          <w:rFonts w:ascii="Arial" w:hAnsi="Arial" w:cs="Arial"/>
          <w:b/>
          <w:sz w:val="24"/>
          <w:szCs w:val="24"/>
        </w:rPr>
        <w:t>Felülvizsgálatok - egyeztetések</w:t>
      </w:r>
    </w:p>
    <w:p w:rsidR="00E03983" w:rsidRDefault="00E03983" w:rsidP="007A5695">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7A5695" w:rsidRPr="00054B8A">
        <w:tc>
          <w:tcPr>
            <w:tcW w:w="9959"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Polgármesteri Hivatal </w:t>
            </w:r>
          </w:p>
        </w:tc>
      </w:tr>
      <w:tr w:rsidR="007A5695" w:rsidRPr="00054B8A">
        <w:trPr>
          <w:trHeight w:val="422"/>
        </w:trPr>
        <w:tc>
          <w:tcPr>
            <w:tcW w:w="230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név </w:t>
            </w:r>
          </w:p>
        </w:tc>
        <w:tc>
          <w:tcPr>
            <w:tcW w:w="248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beosztás/feladat</w:t>
            </w:r>
          </w:p>
        </w:tc>
        <w:tc>
          <w:tcPr>
            <w:tcW w:w="1843"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aláírás </w:t>
            </w:r>
          </w:p>
        </w:tc>
        <w:tc>
          <w:tcPr>
            <w:tcW w:w="333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0812FC" w:rsidRPr="00054B8A">
        <w:trPr>
          <w:trHeight w:val="697"/>
        </w:trPr>
        <w:tc>
          <w:tcPr>
            <w:tcW w:w="2303" w:type="dxa"/>
          </w:tcPr>
          <w:p w:rsidR="000812FC" w:rsidRPr="00054B8A" w:rsidRDefault="00310FAB" w:rsidP="00233937">
            <w:pPr>
              <w:spacing w:after="0" w:line="240" w:lineRule="auto"/>
              <w:rPr>
                <w:rFonts w:ascii="Arial" w:hAnsi="Arial" w:cs="Arial"/>
                <w:b/>
              </w:rPr>
            </w:pPr>
            <w:r>
              <w:rPr>
                <w:rFonts w:ascii="Arial" w:hAnsi="Arial" w:cs="Arial"/>
                <w:b/>
              </w:rPr>
              <w:t>Fábiánné Hoffman Márta</w:t>
            </w:r>
          </w:p>
        </w:tc>
        <w:tc>
          <w:tcPr>
            <w:tcW w:w="2483" w:type="dxa"/>
          </w:tcPr>
          <w:p w:rsidR="000812FC" w:rsidRPr="00054B8A" w:rsidRDefault="00C91785" w:rsidP="00C91785">
            <w:pPr>
              <w:spacing w:after="0" w:line="240" w:lineRule="auto"/>
              <w:rPr>
                <w:rFonts w:ascii="Arial" w:hAnsi="Arial" w:cs="Arial"/>
                <w:b/>
              </w:rPr>
            </w:pPr>
            <w:r>
              <w:rPr>
                <w:rFonts w:ascii="Arial" w:hAnsi="Arial" w:cs="Arial"/>
                <w:b/>
              </w:rPr>
              <w:t xml:space="preserve">mb. </w:t>
            </w:r>
            <w:r w:rsidR="000812FC" w:rsidRPr="00054B8A">
              <w:rPr>
                <w:rFonts w:ascii="Arial" w:hAnsi="Arial" w:cs="Arial"/>
                <w:b/>
              </w:rPr>
              <w:t>hatósági osztályvezető</w:t>
            </w:r>
          </w:p>
        </w:tc>
        <w:tc>
          <w:tcPr>
            <w:tcW w:w="1843" w:type="dxa"/>
          </w:tcPr>
          <w:p w:rsidR="000812FC" w:rsidRPr="00054B8A" w:rsidRDefault="000812FC" w:rsidP="00233937">
            <w:pPr>
              <w:spacing w:after="0" w:line="240" w:lineRule="auto"/>
              <w:rPr>
                <w:rFonts w:ascii="Arial" w:hAnsi="Arial" w:cs="Arial"/>
                <w:b/>
              </w:rPr>
            </w:pPr>
          </w:p>
        </w:tc>
        <w:tc>
          <w:tcPr>
            <w:tcW w:w="3330" w:type="dxa"/>
          </w:tcPr>
          <w:p w:rsidR="000812FC" w:rsidRPr="00054B8A" w:rsidRDefault="000812FC" w:rsidP="00233937">
            <w:pPr>
              <w:spacing w:after="0" w:line="240" w:lineRule="auto"/>
              <w:rPr>
                <w:rFonts w:ascii="Arial" w:hAnsi="Arial" w:cs="Arial"/>
                <w:b/>
              </w:rPr>
            </w:pPr>
          </w:p>
        </w:tc>
      </w:tr>
      <w:tr w:rsidR="00267CD8" w:rsidRPr="00054B8A">
        <w:trPr>
          <w:trHeight w:val="697"/>
        </w:trPr>
        <w:tc>
          <w:tcPr>
            <w:tcW w:w="2303" w:type="dxa"/>
          </w:tcPr>
          <w:p w:rsidR="00267CD8" w:rsidRDefault="00A25494" w:rsidP="00233937">
            <w:pPr>
              <w:spacing w:after="0" w:line="240" w:lineRule="auto"/>
              <w:rPr>
                <w:rFonts w:ascii="Arial" w:hAnsi="Arial" w:cs="Arial"/>
                <w:b/>
              </w:rPr>
            </w:pPr>
            <w:r>
              <w:rPr>
                <w:rFonts w:ascii="Arial" w:hAnsi="Arial" w:cs="Arial"/>
                <w:b/>
              </w:rPr>
              <w:t>Dr. Vértesaljainé Halami Katalin</w:t>
            </w:r>
          </w:p>
          <w:p w:rsidR="00267CD8" w:rsidRDefault="00267CD8" w:rsidP="00233937">
            <w:pPr>
              <w:spacing w:after="0" w:line="240" w:lineRule="auto"/>
              <w:rPr>
                <w:rFonts w:ascii="Arial" w:hAnsi="Arial" w:cs="Arial"/>
                <w:b/>
              </w:rPr>
            </w:pPr>
          </w:p>
        </w:tc>
        <w:tc>
          <w:tcPr>
            <w:tcW w:w="2483" w:type="dxa"/>
          </w:tcPr>
          <w:p w:rsidR="00267CD8" w:rsidRPr="00054B8A" w:rsidRDefault="00A25494" w:rsidP="00233937">
            <w:pPr>
              <w:spacing w:after="0" w:line="240" w:lineRule="auto"/>
              <w:rPr>
                <w:rFonts w:ascii="Arial" w:hAnsi="Arial" w:cs="Arial"/>
                <w:b/>
              </w:rPr>
            </w:pPr>
            <w:r>
              <w:rPr>
                <w:rFonts w:ascii="Arial" w:hAnsi="Arial" w:cs="Arial"/>
                <w:b/>
              </w:rPr>
              <w:t>gépjárműadó és behajtási ügyintéző</w:t>
            </w:r>
          </w:p>
        </w:tc>
        <w:tc>
          <w:tcPr>
            <w:tcW w:w="1843" w:type="dxa"/>
          </w:tcPr>
          <w:p w:rsidR="00267CD8" w:rsidRPr="00054B8A" w:rsidRDefault="00267CD8" w:rsidP="00233937">
            <w:pPr>
              <w:spacing w:after="0" w:line="240" w:lineRule="auto"/>
              <w:rPr>
                <w:rFonts w:ascii="Arial" w:hAnsi="Arial" w:cs="Arial"/>
                <w:b/>
              </w:rPr>
            </w:pPr>
          </w:p>
        </w:tc>
        <w:tc>
          <w:tcPr>
            <w:tcW w:w="3330" w:type="dxa"/>
          </w:tcPr>
          <w:p w:rsidR="00267CD8" w:rsidRPr="00054B8A" w:rsidRDefault="00267CD8"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Pángerné Toplak Éva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idegenforgalmi adóügyintéző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5F5EBB" w:rsidRPr="00054B8A">
        <w:trPr>
          <w:trHeight w:val="697"/>
        </w:trPr>
        <w:tc>
          <w:tcPr>
            <w:tcW w:w="2303" w:type="dxa"/>
          </w:tcPr>
          <w:p w:rsidR="005F5EBB" w:rsidRDefault="005F5EBB" w:rsidP="00233937">
            <w:pPr>
              <w:spacing w:after="0" w:line="240" w:lineRule="auto"/>
              <w:rPr>
                <w:rFonts w:ascii="Arial" w:hAnsi="Arial" w:cs="Arial"/>
                <w:b/>
              </w:rPr>
            </w:pPr>
            <w:r>
              <w:rPr>
                <w:rFonts w:ascii="Arial" w:hAnsi="Arial" w:cs="Arial"/>
                <w:b/>
              </w:rPr>
              <w:t>Panka-Kovács Melinda</w:t>
            </w:r>
          </w:p>
        </w:tc>
        <w:tc>
          <w:tcPr>
            <w:tcW w:w="2483" w:type="dxa"/>
          </w:tcPr>
          <w:p w:rsidR="005F5EBB" w:rsidRDefault="005F5EBB" w:rsidP="00233937">
            <w:pPr>
              <w:spacing w:after="0" w:line="240" w:lineRule="auto"/>
              <w:rPr>
                <w:rFonts w:ascii="Arial" w:hAnsi="Arial" w:cs="Arial"/>
                <w:b/>
              </w:rPr>
            </w:pPr>
            <w:r>
              <w:rPr>
                <w:rFonts w:ascii="Arial" w:hAnsi="Arial" w:cs="Arial"/>
                <w:b/>
              </w:rPr>
              <w:t>hatósági ügyintéző</w:t>
            </w:r>
          </w:p>
        </w:tc>
        <w:tc>
          <w:tcPr>
            <w:tcW w:w="1843" w:type="dxa"/>
          </w:tcPr>
          <w:p w:rsidR="005F5EBB" w:rsidRPr="00054B8A" w:rsidRDefault="005F5EBB" w:rsidP="00233937">
            <w:pPr>
              <w:spacing w:after="0" w:line="240" w:lineRule="auto"/>
              <w:rPr>
                <w:rFonts w:ascii="Arial" w:hAnsi="Arial" w:cs="Arial"/>
                <w:b/>
              </w:rPr>
            </w:pPr>
          </w:p>
        </w:tc>
        <w:tc>
          <w:tcPr>
            <w:tcW w:w="3330" w:type="dxa"/>
          </w:tcPr>
          <w:p w:rsidR="005F5EBB" w:rsidRPr="00054B8A" w:rsidRDefault="005F5EBB"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Szörényi László</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adóügyi és építményadó ügyintéző</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363CAA" w:rsidRPr="00054B8A">
        <w:trPr>
          <w:trHeight w:val="697"/>
        </w:trPr>
        <w:tc>
          <w:tcPr>
            <w:tcW w:w="2303" w:type="dxa"/>
          </w:tcPr>
          <w:p w:rsidR="00363CAA" w:rsidRDefault="00A25494" w:rsidP="00233937">
            <w:pPr>
              <w:spacing w:after="0" w:line="240" w:lineRule="auto"/>
              <w:rPr>
                <w:rFonts w:ascii="Arial" w:hAnsi="Arial" w:cs="Arial"/>
                <w:b/>
              </w:rPr>
            </w:pPr>
            <w:r>
              <w:rPr>
                <w:rFonts w:ascii="Arial" w:hAnsi="Arial" w:cs="Arial"/>
                <w:b/>
              </w:rPr>
              <w:t>Szűrösné Németh Hajnalka</w:t>
            </w:r>
          </w:p>
        </w:tc>
        <w:tc>
          <w:tcPr>
            <w:tcW w:w="2483" w:type="dxa"/>
          </w:tcPr>
          <w:p w:rsidR="00363CAA" w:rsidRPr="00054B8A" w:rsidRDefault="00A25494" w:rsidP="00233937">
            <w:pPr>
              <w:spacing w:after="0" w:line="240" w:lineRule="auto"/>
              <w:rPr>
                <w:rFonts w:ascii="Arial" w:hAnsi="Arial" w:cs="Arial"/>
                <w:b/>
              </w:rPr>
            </w:pPr>
            <w:r>
              <w:rPr>
                <w:rFonts w:ascii="Arial" w:hAnsi="Arial" w:cs="Arial"/>
                <w:b/>
              </w:rPr>
              <w:t>adóellenőr</w:t>
            </w:r>
          </w:p>
        </w:tc>
        <w:tc>
          <w:tcPr>
            <w:tcW w:w="1843" w:type="dxa"/>
          </w:tcPr>
          <w:p w:rsidR="00363CAA" w:rsidRPr="00054B8A" w:rsidRDefault="00363CAA" w:rsidP="00233937">
            <w:pPr>
              <w:spacing w:after="0" w:line="240" w:lineRule="auto"/>
              <w:rPr>
                <w:rFonts w:ascii="Arial" w:hAnsi="Arial" w:cs="Arial"/>
                <w:b/>
              </w:rPr>
            </w:pPr>
          </w:p>
        </w:tc>
        <w:tc>
          <w:tcPr>
            <w:tcW w:w="3330" w:type="dxa"/>
          </w:tcPr>
          <w:p w:rsidR="00363CAA" w:rsidRPr="00054B8A" w:rsidRDefault="00363CAA" w:rsidP="00233937">
            <w:pPr>
              <w:spacing w:after="0" w:line="240" w:lineRule="auto"/>
              <w:rPr>
                <w:rFonts w:ascii="Arial" w:hAnsi="Arial" w:cs="Arial"/>
                <w:b/>
              </w:rPr>
            </w:pPr>
          </w:p>
        </w:tc>
      </w:tr>
      <w:tr w:rsidR="007A5695" w:rsidRPr="00054B8A">
        <w:trPr>
          <w:trHeight w:val="573"/>
        </w:trPr>
        <w:tc>
          <w:tcPr>
            <w:tcW w:w="2303" w:type="dxa"/>
          </w:tcPr>
          <w:p w:rsidR="007A5695" w:rsidRPr="00054B8A" w:rsidRDefault="005F5EBB" w:rsidP="00267CD8">
            <w:pPr>
              <w:spacing w:after="0" w:line="240" w:lineRule="auto"/>
              <w:rPr>
                <w:rFonts w:ascii="Arial" w:hAnsi="Arial" w:cs="Arial"/>
                <w:b/>
              </w:rPr>
            </w:pPr>
            <w:r>
              <w:rPr>
                <w:rFonts w:ascii="Arial" w:hAnsi="Arial" w:cs="Arial"/>
                <w:b/>
              </w:rPr>
              <w:t>Szintén László</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pénzügyi ellenőrzés </w:t>
            </w: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r w:rsidR="007A5695" w:rsidRPr="00054B8A">
        <w:tc>
          <w:tcPr>
            <w:tcW w:w="2303" w:type="dxa"/>
          </w:tcPr>
          <w:p w:rsidR="007A5695" w:rsidRPr="00054B8A" w:rsidRDefault="007A5695" w:rsidP="00476DD3">
            <w:pPr>
              <w:spacing w:after="0" w:line="240" w:lineRule="auto"/>
              <w:rPr>
                <w:rFonts w:ascii="Arial" w:hAnsi="Arial" w:cs="Arial"/>
                <w:b/>
              </w:rPr>
            </w:pPr>
            <w:r w:rsidRPr="00054B8A">
              <w:rPr>
                <w:rFonts w:ascii="Arial" w:hAnsi="Arial" w:cs="Arial"/>
                <w:b/>
              </w:rPr>
              <w:t>dr. Tüske Róbert</w:t>
            </w:r>
          </w:p>
        </w:tc>
        <w:tc>
          <w:tcPr>
            <w:tcW w:w="2483" w:type="dxa"/>
            <w:vAlign w:val="center"/>
          </w:tcPr>
          <w:p w:rsidR="007A5695" w:rsidRPr="00054B8A" w:rsidRDefault="007A5695" w:rsidP="00476DD3">
            <w:pPr>
              <w:spacing w:after="0" w:line="240" w:lineRule="auto"/>
              <w:rPr>
                <w:rFonts w:ascii="Arial" w:hAnsi="Arial" w:cs="Arial"/>
                <w:b/>
              </w:rPr>
            </w:pPr>
            <w:r w:rsidRPr="00054B8A">
              <w:rPr>
                <w:rFonts w:ascii="Arial" w:hAnsi="Arial" w:cs="Arial"/>
                <w:b/>
              </w:rPr>
              <w:t xml:space="preserve">törvényességi felülvizsgálat </w:t>
            </w:r>
          </w:p>
          <w:p w:rsidR="007A5695" w:rsidRPr="00054B8A" w:rsidRDefault="007A5695" w:rsidP="00476DD3">
            <w:pPr>
              <w:spacing w:after="0" w:line="240" w:lineRule="auto"/>
              <w:rPr>
                <w:rFonts w:ascii="Arial" w:hAnsi="Arial" w:cs="Arial"/>
                <w:b/>
              </w:rPr>
            </w:pPr>
          </w:p>
        </w:tc>
        <w:tc>
          <w:tcPr>
            <w:tcW w:w="1843" w:type="dxa"/>
          </w:tcPr>
          <w:p w:rsidR="007A5695" w:rsidRPr="00054B8A" w:rsidRDefault="007A5695" w:rsidP="00476DD3">
            <w:pPr>
              <w:spacing w:after="0" w:line="240" w:lineRule="auto"/>
              <w:jc w:val="center"/>
              <w:rPr>
                <w:rFonts w:ascii="Arial" w:hAnsi="Arial" w:cs="Arial"/>
                <w:b/>
              </w:rPr>
            </w:pPr>
          </w:p>
        </w:tc>
        <w:tc>
          <w:tcPr>
            <w:tcW w:w="3330" w:type="dxa"/>
          </w:tcPr>
          <w:p w:rsidR="007A5695" w:rsidRPr="00054B8A" w:rsidRDefault="007A5695" w:rsidP="00476DD3">
            <w:pPr>
              <w:spacing w:after="0" w:line="240" w:lineRule="auto"/>
              <w:jc w:val="center"/>
              <w:rPr>
                <w:rFonts w:ascii="Arial" w:hAnsi="Arial" w:cs="Arial"/>
                <w:b/>
              </w:rPr>
            </w:pPr>
          </w:p>
        </w:tc>
      </w:tr>
    </w:tbl>
    <w:p w:rsidR="007A5695" w:rsidRPr="00054B8A" w:rsidRDefault="007A5695" w:rsidP="007A5695">
      <w:pPr>
        <w:jc w:val="center"/>
        <w:rPr>
          <w:rFonts w:ascii="Arial" w:hAnsi="Arial" w:cs="Arial"/>
          <w:b/>
        </w:rPr>
      </w:pPr>
    </w:p>
    <w:p w:rsidR="007A5695" w:rsidRPr="00054B8A" w:rsidRDefault="007A5695" w:rsidP="007A5695">
      <w:pPr>
        <w:jc w:val="center"/>
        <w:rPr>
          <w:rFonts w:ascii="Arial" w:hAnsi="Arial" w:cs="Arial"/>
          <w:b/>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4"/>
        <w:gridCol w:w="2390"/>
        <w:gridCol w:w="1760"/>
        <w:gridCol w:w="3174"/>
      </w:tblGrid>
      <w:tr w:rsidR="007A5695" w:rsidRPr="00054B8A">
        <w:trPr>
          <w:trHeight w:val="277"/>
        </w:trPr>
        <w:tc>
          <w:tcPr>
            <w:tcW w:w="10008" w:type="dxa"/>
            <w:gridSpan w:val="4"/>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Külsős partner </w:t>
            </w:r>
          </w:p>
        </w:tc>
      </w:tr>
      <w:tr w:rsidR="007A5695" w:rsidRPr="00054B8A">
        <w:trPr>
          <w:trHeight w:val="277"/>
        </w:trPr>
        <w:tc>
          <w:tcPr>
            <w:tcW w:w="268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Név</w:t>
            </w:r>
          </w:p>
        </w:tc>
        <w:tc>
          <w:tcPr>
            <w:tcW w:w="239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beosztás</w:t>
            </w:r>
          </w:p>
        </w:tc>
        <w:tc>
          <w:tcPr>
            <w:tcW w:w="1760"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aláírás</w:t>
            </w:r>
          </w:p>
        </w:tc>
        <w:tc>
          <w:tcPr>
            <w:tcW w:w="3174" w:type="dxa"/>
          </w:tcPr>
          <w:p w:rsidR="007A5695" w:rsidRPr="00054B8A" w:rsidRDefault="007A5695" w:rsidP="00476DD3">
            <w:pPr>
              <w:spacing w:after="0" w:line="240" w:lineRule="auto"/>
              <w:jc w:val="center"/>
              <w:rPr>
                <w:rFonts w:ascii="Arial" w:hAnsi="Arial" w:cs="Arial"/>
                <w:b/>
              </w:rPr>
            </w:pPr>
            <w:r w:rsidRPr="00054B8A">
              <w:rPr>
                <w:rFonts w:ascii="Arial" w:hAnsi="Arial" w:cs="Arial"/>
                <w:b/>
              </w:rPr>
              <w:t xml:space="preserve">megjegyzés </w:t>
            </w:r>
          </w:p>
        </w:tc>
      </w:tr>
      <w:tr w:rsidR="007A5695" w:rsidRPr="00054B8A">
        <w:trPr>
          <w:trHeight w:val="277"/>
        </w:trPr>
        <w:tc>
          <w:tcPr>
            <w:tcW w:w="2684" w:type="dxa"/>
          </w:tcPr>
          <w:p w:rsidR="007A5695" w:rsidRPr="00054B8A" w:rsidRDefault="007A5695" w:rsidP="002339CB">
            <w:pPr>
              <w:spacing w:after="0" w:line="240" w:lineRule="auto"/>
              <w:jc w:val="center"/>
              <w:rPr>
                <w:rFonts w:ascii="Arial" w:hAnsi="Arial" w:cs="Arial"/>
                <w:b/>
              </w:rPr>
            </w:pPr>
          </w:p>
        </w:tc>
        <w:tc>
          <w:tcPr>
            <w:tcW w:w="2390" w:type="dxa"/>
          </w:tcPr>
          <w:p w:rsidR="007A5695" w:rsidRPr="00054B8A" w:rsidRDefault="007A5695" w:rsidP="00476DD3">
            <w:pPr>
              <w:spacing w:after="0" w:line="240" w:lineRule="auto"/>
              <w:jc w:val="center"/>
              <w:rPr>
                <w:rFonts w:ascii="Arial" w:hAnsi="Arial" w:cs="Arial"/>
                <w:b/>
              </w:rPr>
            </w:pPr>
          </w:p>
        </w:tc>
        <w:tc>
          <w:tcPr>
            <w:tcW w:w="1760" w:type="dxa"/>
          </w:tcPr>
          <w:p w:rsidR="007A5695" w:rsidRPr="00054B8A" w:rsidRDefault="007A5695" w:rsidP="00476DD3">
            <w:pPr>
              <w:spacing w:after="0" w:line="240" w:lineRule="auto"/>
              <w:jc w:val="center"/>
              <w:rPr>
                <w:rFonts w:ascii="Arial" w:hAnsi="Arial" w:cs="Arial"/>
                <w:b/>
              </w:rPr>
            </w:pPr>
          </w:p>
        </w:tc>
        <w:tc>
          <w:tcPr>
            <w:tcW w:w="3174" w:type="dxa"/>
          </w:tcPr>
          <w:p w:rsidR="007A5695" w:rsidRPr="00054B8A" w:rsidRDefault="007A5695" w:rsidP="00476DD3">
            <w:pPr>
              <w:spacing w:after="0" w:line="240" w:lineRule="auto"/>
              <w:jc w:val="center"/>
              <w:rPr>
                <w:rFonts w:ascii="Arial" w:hAnsi="Arial" w:cs="Arial"/>
                <w:b/>
              </w:rPr>
            </w:pPr>
          </w:p>
        </w:tc>
      </w:tr>
      <w:tr w:rsidR="00F7042A" w:rsidRPr="00054B8A">
        <w:trPr>
          <w:trHeight w:val="277"/>
        </w:trPr>
        <w:tc>
          <w:tcPr>
            <w:tcW w:w="2684" w:type="dxa"/>
          </w:tcPr>
          <w:p w:rsidR="00F7042A" w:rsidRDefault="00F7042A" w:rsidP="00476DD3">
            <w:pPr>
              <w:spacing w:after="0" w:line="240" w:lineRule="auto"/>
              <w:jc w:val="center"/>
              <w:rPr>
                <w:rFonts w:ascii="Arial" w:hAnsi="Arial" w:cs="Arial"/>
                <w:b/>
              </w:rPr>
            </w:pPr>
          </w:p>
        </w:tc>
        <w:tc>
          <w:tcPr>
            <w:tcW w:w="2390" w:type="dxa"/>
          </w:tcPr>
          <w:p w:rsidR="00F7042A" w:rsidRDefault="00F7042A" w:rsidP="008549E4">
            <w:pPr>
              <w:spacing w:after="0" w:line="240" w:lineRule="auto"/>
              <w:jc w:val="center"/>
              <w:rPr>
                <w:rFonts w:ascii="Arial" w:hAnsi="Arial" w:cs="Arial"/>
                <w:b/>
              </w:rPr>
            </w:pPr>
          </w:p>
        </w:tc>
        <w:tc>
          <w:tcPr>
            <w:tcW w:w="1760" w:type="dxa"/>
          </w:tcPr>
          <w:p w:rsidR="00F7042A" w:rsidRPr="00054B8A" w:rsidRDefault="00F7042A" w:rsidP="00476DD3">
            <w:pPr>
              <w:spacing w:after="0" w:line="240" w:lineRule="auto"/>
              <w:jc w:val="center"/>
              <w:rPr>
                <w:rFonts w:ascii="Arial" w:hAnsi="Arial" w:cs="Arial"/>
                <w:b/>
              </w:rPr>
            </w:pPr>
          </w:p>
        </w:tc>
        <w:tc>
          <w:tcPr>
            <w:tcW w:w="3174" w:type="dxa"/>
          </w:tcPr>
          <w:p w:rsidR="00F7042A" w:rsidRPr="00054B8A" w:rsidRDefault="00F7042A" w:rsidP="00476DD3">
            <w:pPr>
              <w:spacing w:after="0" w:line="240" w:lineRule="auto"/>
              <w:jc w:val="center"/>
              <w:rPr>
                <w:rFonts w:ascii="Arial" w:hAnsi="Arial" w:cs="Arial"/>
                <w:b/>
              </w:rPr>
            </w:pPr>
          </w:p>
        </w:tc>
      </w:tr>
    </w:tbl>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4F003C" w:rsidRDefault="004F003C" w:rsidP="00B42B93">
      <w:pPr>
        <w:ind w:left="360"/>
        <w:rPr>
          <w:rFonts w:ascii="Arial" w:hAnsi="Arial" w:cs="Arial"/>
        </w:rPr>
      </w:pPr>
    </w:p>
    <w:p w:rsidR="00EC17CA" w:rsidRPr="00843DC2" w:rsidRDefault="00EC17CA" w:rsidP="00EC17CA">
      <w:pPr>
        <w:jc w:val="center"/>
        <w:rPr>
          <w:rFonts w:ascii="Arial" w:hAnsi="Arial" w:cs="Arial"/>
          <w:b/>
          <w:sz w:val="24"/>
          <w:szCs w:val="24"/>
        </w:rPr>
      </w:pPr>
    </w:p>
    <w:sectPr w:rsidR="00EC17CA" w:rsidRPr="00843DC2" w:rsidSect="00E63E43">
      <w:footerReference w:type="even" r:id="rId12"/>
      <w:footerReference w:type="default" r:id="rId13"/>
      <w:headerReference w:type="first" r:id="rId14"/>
      <w:pgSz w:w="11906" w:h="16838" w:code="9"/>
      <w:pgMar w:top="907" w:right="1247" w:bottom="907" w:left="124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965" w:rsidRDefault="003D1965" w:rsidP="00980239">
      <w:pPr>
        <w:spacing w:after="0" w:line="240" w:lineRule="auto"/>
      </w:pPr>
      <w:r>
        <w:separator/>
      </w:r>
    </w:p>
  </w:endnote>
  <w:endnote w:type="continuationSeparator" w:id="0">
    <w:p w:rsidR="003D1965" w:rsidRDefault="003D1965" w:rsidP="0098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calaSans">
    <w:altName w:val="Times New Roman"/>
    <w:panose1 w:val="00000000000000000000"/>
    <w:charset w:val="00"/>
    <w:family w:val="auto"/>
    <w:pitch w:val="variable"/>
    <w:sig w:usb0="A00000AF" w:usb1="4000004A" w:usb2="00000000" w:usb3="00000000" w:csb0="000001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AC" w:rsidRDefault="008135AC"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8135AC" w:rsidRDefault="008135AC">
    <w:pPr>
      <w:pStyle w:val="llb"/>
    </w:pPr>
  </w:p>
  <w:p w:rsidR="008135AC" w:rsidRDefault="008135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AC" w:rsidRDefault="008135AC" w:rsidP="00080171">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3501E1">
      <w:rPr>
        <w:rStyle w:val="Oldalszm"/>
        <w:noProof/>
      </w:rPr>
      <w:t>16</w:t>
    </w:r>
    <w:r>
      <w:rPr>
        <w:rStyle w:val="Oldalszm"/>
      </w:rPr>
      <w:fldChar w:fldCharType="end"/>
    </w:r>
  </w:p>
  <w:p w:rsidR="008135AC" w:rsidRDefault="008135A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965" w:rsidRDefault="003D1965" w:rsidP="00980239">
      <w:pPr>
        <w:spacing w:after="0" w:line="240" w:lineRule="auto"/>
      </w:pPr>
      <w:r>
        <w:separator/>
      </w:r>
    </w:p>
  </w:footnote>
  <w:footnote w:type="continuationSeparator" w:id="0">
    <w:p w:rsidR="003D1965" w:rsidRDefault="003D1965" w:rsidP="009802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35AC" w:rsidRDefault="008135AC" w:rsidP="00B12CDF">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-467995</wp:posOffset>
          </wp:positionH>
          <wp:positionV relativeFrom="paragraph">
            <wp:posOffset>0</wp:posOffset>
          </wp:positionV>
          <wp:extent cx="1047750" cy="1257300"/>
          <wp:effectExtent l="0" t="0" r="0" b="0"/>
          <wp:wrapNone/>
          <wp:docPr id="10" name="Kép 10"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35AC" w:rsidRDefault="008135AC" w:rsidP="00B12CDF">
    <w:pPr>
      <w:pStyle w:val="lfej"/>
      <w:tabs>
        <w:tab w:val="clear" w:pos="4536"/>
        <w:tab w:val="clear" w:pos="9072"/>
      </w:tabs>
    </w:pPr>
  </w:p>
  <w:p w:rsidR="008135AC" w:rsidRDefault="008135AC" w:rsidP="00B12CDF">
    <w:pPr>
      <w:pStyle w:val="lfej"/>
      <w:tabs>
        <w:tab w:val="clear" w:pos="4536"/>
        <w:tab w:val="clear" w:pos="9072"/>
      </w:tabs>
    </w:pPr>
  </w:p>
  <w:p w:rsidR="008135AC" w:rsidRDefault="008135AC" w:rsidP="00B12CDF">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0"/>
              <wp:wrapNone/>
              <wp:docPr id="2" name="Text Box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135AC" w:rsidRPr="00C05199" w:rsidRDefault="008135AC"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8135AC" w:rsidRDefault="008135AC"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8135AC" w:rsidRDefault="008135AC"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8135AC" w:rsidRPr="00AB14F3">
                            <w:trPr>
                              <w:trHeight w:val="1531"/>
                            </w:trPr>
                            <w:tc>
                              <w:tcPr>
                                <w:tcW w:w="3685" w:type="dxa"/>
                              </w:tcPr>
                              <w:p w:rsidR="008135AC" w:rsidRPr="00A101F2" w:rsidRDefault="008135AC" w:rsidP="00A101F2">
                                <w:pPr>
                                  <w:spacing w:before="57" w:after="0" w:line="240" w:lineRule="auto"/>
                                  <w:ind w:right="227"/>
                                  <w:rPr>
                                    <w:rFonts w:ascii="ScalaSans" w:hAnsi="ScalaSans"/>
                                    <w:color w:val="808080"/>
                                    <w:spacing w:val="6"/>
                                  </w:rPr>
                                </w:pPr>
                              </w:p>
                              <w:p w:rsidR="008135AC" w:rsidRPr="00D15388" w:rsidRDefault="008135AC" w:rsidP="00A101F2">
                                <w:pPr>
                                  <w:spacing w:before="57" w:after="0" w:line="240" w:lineRule="auto"/>
                                  <w:ind w:right="227"/>
                                  <w:rPr>
                                    <w:rFonts w:ascii="ScalaSans" w:hAnsi="ScalaSans" w:cs="ScalaSans"/>
                                    <w:color w:val="808080"/>
                                    <w:spacing w:val="6"/>
                                  </w:rPr>
                                </w:pPr>
                              </w:p>
                            </w:tc>
                            <w:tc>
                              <w:tcPr>
                                <w:tcW w:w="4535" w:type="dxa"/>
                              </w:tcPr>
                              <w:p w:rsidR="008135AC" w:rsidRPr="00D15388" w:rsidRDefault="008135AC" w:rsidP="00A101F2">
                                <w:pPr>
                                  <w:spacing w:before="57" w:after="0" w:line="240" w:lineRule="auto"/>
                                  <w:rPr>
                                    <w:rFonts w:ascii="ScalaSans" w:hAnsi="ScalaSans" w:cs="ScalaSans"/>
                                    <w:color w:val="808080"/>
                                    <w:spacing w:val="2"/>
                                    <w:sz w:val="24"/>
                                    <w:szCs w:val="24"/>
                                  </w:rPr>
                                </w:pPr>
                              </w:p>
                            </w:tc>
                          </w:tr>
                        </w:tbl>
                        <w:p w:rsidR="008135AC" w:rsidRDefault="008135AC" w:rsidP="00B12CDF">
                          <w:pPr>
                            <w:pStyle w:val="BasicParagraph"/>
                            <w:spacing w:line="240" w:lineRule="auto"/>
                            <w:rPr>
                              <w:rFonts w:ascii="ScalaSans" w:hAnsi="ScalaSans" w:cs="ScalaSans"/>
                              <w:color w:val="auto"/>
                              <w:spacing w:val="7"/>
                            </w:rPr>
                          </w:pPr>
                        </w:p>
                        <w:p w:rsidR="008135AC" w:rsidRPr="00763423" w:rsidRDefault="008135AC" w:rsidP="00B12CDF">
                          <w:pPr>
                            <w:pStyle w:val="BasicParagraph"/>
                            <w:spacing w:line="240" w:lineRule="auto"/>
                            <w:rPr>
                              <w:rFonts w:ascii="ScalaSans" w:hAnsi="ScalaSans" w:cs="ScalaSans"/>
                              <w:color w:val="auto"/>
                              <w:spacing w:val="7"/>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1kEgQIAABMFAAAOAAAAZHJzL2Uyb0RvYy54bWysVNuO2yAQfa/Uf0C8Z32pk42tdVZ7aapK&#10;24u02w8ggGNUDBRI7G3Vf++A42S7baWqqh/wAMPhzMwZLi6HTqI9t05oVePsLMWIK6qZUNsaf3pY&#10;z5YYOU8UI1IrXuNH7vDl6uWLi95UPNetloxbBCDKVb2pceu9qZLE0ZZ3xJ1pwxVsNtp2xMPUbhNm&#10;SQ/onUzyNF0kvbbMWE25c7B6O27iVcRvGk79h6Zx3CNZY+Dm42jjuAljsrog1dYS0wp6oEH+gUVH&#10;hIJLj1C3xBO0s+IXqE5Qq51u/BnVXaKbRlAeY4BosvRZNPctMTzGAslx5pgm9/9g6fv9R4sEq3GO&#10;kSIdlOiBDx5d6wEtQ3Z64ypwujfg5gdYhirHSJ250/SzQ0rftERt+ZUzkO2we1qyVvctJwwIZwEs&#10;eYI2QruAu+nfaQY3k53XEXtobBeyCflBcCEU7vFYrMCOwuI8z8rzFLYo7GWv0vl8EcuZkGo6bqzz&#10;b7juUDBqbIFfhCf7O+cDHVJNLuE2p6VgayFlnNjt5kZatCegnHX8YgTP3KQKzkqHYyPiuAIs4Y6w&#10;F/hGJXwrs7xIr/Nytl4sz2fFupjPIILlLM3K63KRFmVxu/4eCGZF1QrGuLoTik+qzIq/q/qhP0Y9&#10;RV2ivsblPJ+PZftjkGn8fhdkJzw0qRRdjZdHJ1KFyr5WDMImlSdCjnbyM/2YZcjB9I9ZiToIpR9F&#10;4IfNAChBHBvNHkERVkO9oLbwsoDRavsVox66tMbuy45YjpF8q0BVoaUnw07GZjKIonC0xh6j0bzx&#10;Y+vvjBXbFpBHKSt9BcprRNTEicVBr9B5kfzhlQit/XQevU5v2eoHAAAA//8DAFBLAwQUAAYACAAA&#10;ACEAv5q8c+AAAAAMAQAADwAAAGRycy9kb3ducmV2LnhtbEyPQU/DMAyF70j8h8hIXBBL1rFplKYT&#10;bHAbh41pZ68JbUXjVE26dv8e7wQ32+/p+XvZanSNONsu1J40TCcKhKXCm5pKDYevj8cliBCRDDae&#10;rIaLDbDKb28yTI0faGfP+1gKDqGQooYqxjaVMhSVdRgmvrXE2rfvHEZeu1KaDgcOd41MlFpIhzXx&#10;hwpbu65s8bPvnYbFpuuHHa0fNof3LX62ZXJ8uxy1vr8bX19ARDvGPzNc8RkdcmY6+Z5MEI2GZDmb&#10;s5UF9fQM4uqYqjmfThpmPIHMM/m/RP4LAAD//wMAUEsBAi0AFAAGAAgAAAAhALaDOJL+AAAA4QEA&#10;ABMAAAAAAAAAAAAAAAAAAAAAAFtDb250ZW50X1R5cGVzXS54bWxQSwECLQAUAAYACAAAACEAOP0h&#10;/9YAAACUAQAACwAAAAAAAAAAAAAAAAAvAQAAX3JlbHMvLnJlbHNQSwECLQAUAAYACAAAACEALSdZ&#10;BIECAAATBQAADgAAAAAAAAAAAAAAAAAuAgAAZHJzL2Uyb0RvYy54bWxQSwECLQAUAAYACAAAACEA&#10;v5q8c+AAAAAMAQAADwAAAAAAAAAAAAAAAADbBAAAZHJzL2Rvd25yZXYueG1sUEsFBgAAAAAEAAQA&#10;8wAAAOgFAAAAAA==&#10;" stroked="f">
              <o:lock v:ext="edit" aspectratio="t"/>
              <v:textbox inset="0,0,0,0">
                <w:txbxContent>
                  <w:p w:rsidR="008135AC" w:rsidRPr="00C05199" w:rsidRDefault="008135AC" w:rsidP="00B12CDF">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JEGYZŐJE</w:t>
                    </w:r>
                  </w:p>
                  <w:p w:rsidR="008135AC" w:rsidRDefault="008135AC" w:rsidP="00B12CDF">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8135AC" w:rsidRDefault="008135AC" w:rsidP="00B12CDF">
                    <w:pPr>
                      <w:pStyle w:val="BasicParagraph"/>
                      <w:spacing w:line="240" w:lineRule="auto"/>
                      <w:rPr>
                        <w:rFonts w:ascii="ScalaSans" w:hAnsi="ScalaSans" w:cs="ScalaSans"/>
                        <w:color w:val="auto"/>
                        <w:spacing w:val="7"/>
                      </w:rPr>
                    </w:pPr>
                  </w:p>
                  <w:tbl>
                    <w:tblPr>
                      <w:tblW w:w="8220" w:type="dxa"/>
                      <w:tblLayout w:type="fixed"/>
                      <w:tblCellMar>
                        <w:left w:w="0" w:type="dxa"/>
                        <w:right w:w="0" w:type="dxa"/>
                      </w:tblCellMar>
                      <w:tblLook w:val="04A0" w:firstRow="1" w:lastRow="0" w:firstColumn="1" w:lastColumn="0" w:noHBand="0" w:noVBand="1"/>
                    </w:tblPr>
                    <w:tblGrid>
                      <w:gridCol w:w="3685"/>
                      <w:gridCol w:w="4535"/>
                    </w:tblGrid>
                    <w:tr w:rsidR="008135AC" w:rsidRPr="00AB14F3">
                      <w:trPr>
                        <w:trHeight w:val="1531"/>
                      </w:trPr>
                      <w:tc>
                        <w:tcPr>
                          <w:tcW w:w="3685" w:type="dxa"/>
                        </w:tcPr>
                        <w:p w:rsidR="008135AC" w:rsidRPr="00A101F2" w:rsidRDefault="008135AC" w:rsidP="00A101F2">
                          <w:pPr>
                            <w:spacing w:before="57" w:after="0" w:line="240" w:lineRule="auto"/>
                            <w:ind w:right="227"/>
                            <w:rPr>
                              <w:rFonts w:ascii="ScalaSans" w:hAnsi="ScalaSans"/>
                              <w:color w:val="808080"/>
                              <w:spacing w:val="6"/>
                            </w:rPr>
                          </w:pPr>
                        </w:p>
                        <w:p w:rsidR="008135AC" w:rsidRPr="00D15388" w:rsidRDefault="008135AC" w:rsidP="00A101F2">
                          <w:pPr>
                            <w:spacing w:before="57" w:after="0" w:line="240" w:lineRule="auto"/>
                            <w:ind w:right="227"/>
                            <w:rPr>
                              <w:rFonts w:ascii="ScalaSans" w:hAnsi="ScalaSans" w:cs="ScalaSans"/>
                              <w:color w:val="808080"/>
                              <w:spacing w:val="6"/>
                            </w:rPr>
                          </w:pPr>
                        </w:p>
                      </w:tc>
                      <w:tc>
                        <w:tcPr>
                          <w:tcW w:w="4535" w:type="dxa"/>
                        </w:tcPr>
                        <w:p w:rsidR="008135AC" w:rsidRPr="00D15388" w:rsidRDefault="008135AC" w:rsidP="00A101F2">
                          <w:pPr>
                            <w:spacing w:before="57" w:after="0" w:line="240" w:lineRule="auto"/>
                            <w:rPr>
                              <w:rFonts w:ascii="ScalaSans" w:hAnsi="ScalaSans" w:cs="ScalaSans"/>
                              <w:color w:val="808080"/>
                              <w:spacing w:val="2"/>
                              <w:sz w:val="24"/>
                              <w:szCs w:val="24"/>
                            </w:rPr>
                          </w:pPr>
                        </w:p>
                      </w:tc>
                    </w:tr>
                  </w:tbl>
                  <w:p w:rsidR="008135AC" w:rsidRDefault="008135AC" w:rsidP="00B12CDF">
                    <w:pPr>
                      <w:pStyle w:val="BasicParagraph"/>
                      <w:spacing w:line="240" w:lineRule="auto"/>
                      <w:rPr>
                        <w:rFonts w:ascii="ScalaSans" w:hAnsi="ScalaSans" w:cs="ScalaSans"/>
                        <w:color w:val="auto"/>
                        <w:spacing w:val="7"/>
                      </w:rPr>
                    </w:pPr>
                  </w:p>
                  <w:p w:rsidR="008135AC" w:rsidRPr="00763423" w:rsidRDefault="008135AC" w:rsidP="00B12CDF">
                    <w:pPr>
                      <w:pStyle w:val="BasicParagraph"/>
                      <w:spacing w:line="240" w:lineRule="auto"/>
                      <w:rPr>
                        <w:rFonts w:ascii="ScalaSans" w:hAnsi="ScalaSans" w:cs="ScalaSans"/>
                        <w:color w:val="auto"/>
                        <w:spacing w:val="7"/>
                      </w:rPr>
                    </w:pPr>
                  </w:p>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9" name="Kép 9"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14:sizeRelH relativeFrom="leftMargin">
            <wp14:pctWidth>0</wp14:pctWidth>
          </wp14:sizeRelH>
          <wp14:sizeRelV relativeFrom="topMargin">
            <wp14:pctHeight>0</wp14:pctHeight>
          </wp14:sizeRelV>
        </wp:anchor>
      </w:drawing>
    </w:r>
  </w:p>
  <w:p w:rsidR="008135AC" w:rsidRDefault="008135AC" w:rsidP="00B12CDF">
    <w:pPr>
      <w:pStyle w:val="lfej"/>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24EC94C"/>
    <w:multiLevelType w:val="hybridMultilevel"/>
    <w:tmpl w:val="C397FE5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B020C5"/>
    <w:multiLevelType w:val="hybridMultilevel"/>
    <w:tmpl w:val="995E4A3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733E3"/>
    <w:multiLevelType w:val="hybridMultilevel"/>
    <w:tmpl w:val="B354342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176FD3"/>
    <w:multiLevelType w:val="hybridMultilevel"/>
    <w:tmpl w:val="696E28E4"/>
    <w:lvl w:ilvl="0" w:tplc="17649D8C">
      <w:start w:val="1"/>
      <w:numFmt w:val="decimal"/>
      <w:lvlText w:val="%1."/>
      <w:lvlJc w:val="left"/>
      <w:pPr>
        <w:ind w:left="1035" w:hanging="67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81A5AC5"/>
    <w:multiLevelType w:val="hybridMultilevel"/>
    <w:tmpl w:val="5090268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9244124"/>
    <w:multiLevelType w:val="hybridMultilevel"/>
    <w:tmpl w:val="A6208AF4"/>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 w15:restartNumberingAfterBreak="0">
    <w:nsid w:val="19980E3D"/>
    <w:multiLevelType w:val="hybridMultilevel"/>
    <w:tmpl w:val="DDACADB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0405F"/>
    <w:multiLevelType w:val="hybridMultilevel"/>
    <w:tmpl w:val="0F48A692"/>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D10D58"/>
    <w:multiLevelType w:val="hybridMultilevel"/>
    <w:tmpl w:val="20A82BC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A80F94"/>
    <w:multiLevelType w:val="hybridMultilevel"/>
    <w:tmpl w:val="095C544A"/>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3220E56"/>
    <w:multiLevelType w:val="hybridMultilevel"/>
    <w:tmpl w:val="4A0E89FE"/>
    <w:lvl w:ilvl="0" w:tplc="6E7889D6">
      <w:numFmt w:val="bullet"/>
      <w:lvlText w:val="-"/>
      <w:lvlJc w:val="left"/>
      <w:pPr>
        <w:ind w:left="720" w:hanging="360"/>
      </w:pPr>
      <w:rPr>
        <w:rFonts w:ascii="Arial" w:eastAsiaTheme="minorHAns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4AF19C4"/>
    <w:multiLevelType w:val="hybridMultilevel"/>
    <w:tmpl w:val="4BBCF3D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8025D9"/>
    <w:multiLevelType w:val="hybridMultilevel"/>
    <w:tmpl w:val="00F03A7A"/>
    <w:lvl w:ilvl="0" w:tplc="BC98CCDC">
      <w:start w:val="1"/>
      <w:numFmt w:val="decimal"/>
      <w:lvlText w:val="%1."/>
      <w:lvlJc w:val="left"/>
      <w:pPr>
        <w:tabs>
          <w:tab w:val="num" w:pos="1068"/>
        </w:tabs>
        <w:ind w:left="1068" w:hanging="360"/>
      </w:pPr>
      <w:rPr>
        <w:rFonts w:hint="default"/>
      </w:rPr>
    </w:lvl>
    <w:lvl w:ilvl="1" w:tplc="040E0019" w:tentative="1">
      <w:start w:val="1"/>
      <w:numFmt w:val="lowerLetter"/>
      <w:lvlText w:val="%2."/>
      <w:lvlJc w:val="left"/>
      <w:pPr>
        <w:tabs>
          <w:tab w:val="num" w:pos="1788"/>
        </w:tabs>
        <w:ind w:left="1788" w:hanging="360"/>
      </w:pPr>
    </w:lvl>
    <w:lvl w:ilvl="2" w:tplc="040E001B" w:tentative="1">
      <w:start w:val="1"/>
      <w:numFmt w:val="lowerRoman"/>
      <w:lvlText w:val="%3."/>
      <w:lvlJc w:val="right"/>
      <w:pPr>
        <w:tabs>
          <w:tab w:val="num" w:pos="2508"/>
        </w:tabs>
        <w:ind w:left="2508" w:hanging="180"/>
      </w:pPr>
    </w:lvl>
    <w:lvl w:ilvl="3" w:tplc="040E000F" w:tentative="1">
      <w:start w:val="1"/>
      <w:numFmt w:val="decimal"/>
      <w:lvlText w:val="%4."/>
      <w:lvlJc w:val="left"/>
      <w:pPr>
        <w:tabs>
          <w:tab w:val="num" w:pos="3228"/>
        </w:tabs>
        <w:ind w:left="3228" w:hanging="360"/>
      </w:pPr>
    </w:lvl>
    <w:lvl w:ilvl="4" w:tplc="040E0019" w:tentative="1">
      <w:start w:val="1"/>
      <w:numFmt w:val="lowerLetter"/>
      <w:lvlText w:val="%5."/>
      <w:lvlJc w:val="left"/>
      <w:pPr>
        <w:tabs>
          <w:tab w:val="num" w:pos="3948"/>
        </w:tabs>
        <w:ind w:left="3948" w:hanging="360"/>
      </w:pPr>
    </w:lvl>
    <w:lvl w:ilvl="5" w:tplc="040E001B" w:tentative="1">
      <w:start w:val="1"/>
      <w:numFmt w:val="lowerRoman"/>
      <w:lvlText w:val="%6."/>
      <w:lvlJc w:val="right"/>
      <w:pPr>
        <w:tabs>
          <w:tab w:val="num" w:pos="4668"/>
        </w:tabs>
        <w:ind w:left="4668" w:hanging="180"/>
      </w:pPr>
    </w:lvl>
    <w:lvl w:ilvl="6" w:tplc="040E000F" w:tentative="1">
      <w:start w:val="1"/>
      <w:numFmt w:val="decimal"/>
      <w:lvlText w:val="%7."/>
      <w:lvlJc w:val="left"/>
      <w:pPr>
        <w:tabs>
          <w:tab w:val="num" w:pos="5388"/>
        </w:tabs>
        <w:ind w:left="5388" w:hanging="360"/>
      </w:pPr>
    </w:lvl>
    <w:lvl w:ilvl="7" w:tplc="040E0019" w:tentative="1">
      <w:start w:val="1"/>
      <w:numFmt w:val="lowerLetter"/>
      <w:lvlText w:val="%8."/>
      <w:lvlJc w:val="left"/>
      <w:pPr>
        <w:tabs>
          <w:tab w:val="num" w:pos="6108"/>
        </w:tabs>
        <w:ind w:left="6108" w:hanging="360"/>
      </w:pPr>
    </w:lvl>
    <w:lvl w:ilvl="8" w:tplc="040E001B" w:tentative="1">
      <w:start w:val="1"/>
      <w:numFmt w:val="lowerRoman"/>
      <w:lvlText w:val="%9."/>
      <w:lvlJc w:val="right"/>
      <w:pPr>
        <w:tabs>
          <w:tab w:val="num" w:pos="6828"/>
        </w:tabs>
        <w:ind w:left="6828" w:hanging="180"/>
      </w:pPr>
    </w:lvl>
  </w:abstractNum>
  <w:abstractNum w:abstractNumId="13" w15:restartNumberingAfterBreak="0">
    <w:nsid w:val="2720358B"/>
    <w:multiLevelType w:val="multilevel"/>
    <w:tmpl w:val="88A46BEC"/>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27B2000D"/>
    <w:multiLevelType w:val="hybridMultilevel"/>
    <w:tmpl w:val="E83A8D2C"/>
    <w:lvl w:ilvl="0" w:tplc="CB5C39CE">
      <w:start w:val="2"/>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8254553"/>
    <w:multiLevelType w:val="hybridMultilevel"/>
    <w:tmpl w:val="9078B690"/>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4C0993"/>
    <w:multiLevelType w:val="hybridMultilevel"/>
    <w:tmpl w:val="160E8BA6"/>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E273828"/>
    <w:multiLevelType w:val="hybridMultilevel"/>
    <w:tmpl w:val="3C8EA196"/>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0946343"/>
    <w:multiLevelType w:val="hybridMultilevel"/>
    <w:tmpl w:val="EF60C5E0"/>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31B52FDE"/>
    <w:multiLevelType w:val="hybridMultilevel"/>
    <w:tmpl w:val="157CA39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4A5401"/>
    <w:multiLevelType w:val="hybridMultilevel"/>
    <w:tmpl w:val="C8DC14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8CA5B13"/>
    <w:multiLevelType w:val="hybridMultilevel"/>
    <w:tmpl w:val="4830D24C"/>
    <w:lvl w:ilvl="0" w:tplc="54DC068E">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2F288C"/>
    <w:multiLevelType w:val="hybridMultilevel"/>
    <w:tmpl w:val="760AB90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A6639B"/>
    <w:multiLevelType w:val="multilevel"/>
    <w:tmpl w:val="191A499C"/>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DE127AB"/>
    <w:multiLevelType w:val="hybridMultilevel"/>
    <w:tmpl w:val="BCC8B8B8"/>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404316E1"/>
    <w:multiLevelType w:val="hybridMultilevel"/>
    <w:tmpl w:val="B57611D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210D47"/>
    <w:multiLevelType w:val="multilevel"/>
    <w:tmpl w:val="24623A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3223AA3"/>
    <w:multiLevelType w:val="hybridMultilevel"/>
    <w:tmpl w:val="858CD1E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3C10155"/>
    <w:multiLevelType w:val="hybridMultilevel"/>
    <w:tmpl w:val="9DAC7D5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D32864"/>
    <w:multiLevelType w:val="hybridMultilevel"/>
    <w:tmpl w:val="911A2498"/>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832988"/>
    <w:multiLevelType w:val="hybridMultilevel"/>
    <w:tmpl w:val="8C6A46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484676A6"/>
    <w:multiLevelType w:val="hybridMultilevel"/>
    <w:tmpl w:val="4B4064E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8A224B2"/>
    <w:multiLevelType w:val="multilevel"/>
    <w:tmpl w:val="07AA4AAA"/>
    <w:lvl w:ilvl="0">
      <w:start w:val="2"/>
      <w:numFmt w:val="decimal"/>
      <w:lvlText w:val="%1."/>
      <w:lvlJc w:val="left"/>
      <w:pPr>
        <w:ind w:left="360" w:hanging="360"/>
      </w:pPr>
      <w:rPr>
        <w:rFonts w:hint="default"/>
        <w:b/>
      </w:rPr>
    </w:lvl>
    <w:lvl w:ilvl="1">
      <w:start w:val="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4B680AE6"/>
    <w:multiLevelType w:val="multilevel"/>
    <w:tmpl w:val="A32EA7D0"/>
    <w:lvl w:ilvl="0">
      <w:start w:val="5"/>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4FA35836"/>
    <w:multiLevelType w:val="hybridMultilevel"/>
    <w:tmpl w:val="D6E80AAE"/>
    <w:lvl w:ilvl="0" w:tplc="5DD08BAE">
      <w:start w:val="1"/>
      <w:numFmt w:val="bullet"/>
      <w:lvlText w:val="-"/>
      <w:lvlJc w:val="left"/>
      <w:pPr>
        <w:tabs>
          <w:tab w:val="num" w:pos="740"/>
        </w:tabs>
        <w:ind w:left="740" w:hanging="360"/>
      </w:pPr>
      <w:rPr>
        <w:rFonts w:ascii="Arial" w:hAnsi="Arial" w:hint="default"/>
      </w:rPr>
    </w:lvl>
    <w:lvl w:ilvl="1" w:tplc="040E0003" w:tentative="1">
      <w:start w:val="1"/>
      <w:numFmt w:val="bullet"/>
      <w:lvlText w:val="o"/>
      <w:lvlJc w:val="left"/>
      <w:pPr>
        <w:tabs>
          <w:tab w:val="num" w:pos="1460"/>
        </w:tabs>
        <w:ind w:left="1460" w:hanging="360"/>
      </w:pPr>
      <w:rPr>
        <w:rFonts w:ascii="Courier New" w:hAnsi="Courier New" w:cs="Courier New" w:hint="default"/>
      </w:rPr>
    </w:lvl>
    <w:lvl w:ilvl="2" w:tplc="040E0005" w:tentative="1">
      <w:start w:val="1"/>
      <w:numFmt w:val="bullet"/>
      <w:lvlText w:val=""/>
      <w:lvlJc w:val="left"/>
      <w:pPr>
        <w:tabs>
          <w:tab w:val="num" w:pos="2180"/>
        </w:tabs>
        <w:ind w:left="2180" w:hanging="360"/>
      </w:pPr>
      <w:rPr>
        <w:rFonts w:ascii="Wingdings" w:hAnsi="Wingdings" w:hint="default"/>
      </w:rPr>
    </w:lvl>
    <w:lvl w:ilvl="3" w:tplc="040E0001" w:tentative="1">
      <w:start w:val="1"/>
      <w:numFmt w:val="bullet"/>
      <w:lvlText w:val=""/>
      <w:lvlJc w:val="left"/>
      <w:pPr>
        <w:tabs>
          <w:tab w:val="num" w:pos="2900"/>
        </w:tabs>
        <w:ind w:left="2900" w:hanging="360"/>
      </w:pPr>
      <w:rPr>
        <w:rFonts w:ascii="Symbol" w:hAnsi="Symbol" w:hint="default"/>
      </w:rPr>
    </w:lvl>
    <w:lvl w:ilvl="4" w:tplc="040E0003" w:tentative="1">
      <w:start w:val="1"/>
      <w:numFmt w:val="bullet"/>
      <w:lvlText w:val="o"/>
      <w:lvlJc w:val="left"/>
      <w:pPr>
        <w:tabs>
          <w:tab w:val="num" w:pos="3620"/>
        </w:tabs>
        <w:ind w:left="3620" w:hanging="360"/>
      </w:pPr>
      <w:rPr>
        <w:rFonts w:ascii="Courier New" w:hAnsi="Courier New" w:cs="Courier New" w:hint="default"/>
      </w:rPr>
    </w:lvl>
    <w:lvl w:ilvl="5" w:tplc="040E0005" w:tentative="1">
      <w:start w:val="1"/>
      <w:numFmt w:val="bullet"/>
      <w:lvlText w:val=""/>
      <w:lvlJc w:val="left"/>
      <w:pPr>
        <w:tabs>
          <w:tab w:val="num" w:pos="4340"/>
        </w:tabs>
        <w:ind w:left="4340" w:hanging="360"/>
      </w:pPr>
      <w:rPr>
        <w:rFonts w:ascii="Wingdings" w:hAnsi="Wingdings" w:hint="default"/>
      </w:rPr>
    </w:lvl>
    <w:lvl w:ilvl="6" w:tplc="040E0001" w:tentative="1">
      <w:start w:val="1"/>
      <w:numFmt w:val="bullet"/>
      <w:lvlText w:val=""/>
      <w:lvlJc w:val="left"/>
      <w:pPr>
        <w:tabs>
          <w:tab w:val="num" w:pos="5060"/>
        </w:tabs>
        <w:ind w:left="5060" w:hanging="360"/>
      </w:pPr>
      <w:rPr>
        <w:rFonts w:ascii="Symbol" w:hAnsi="Symbol" w:hint="default"/>
      </w:rPr>
    </w:lvl>
    <w:lvl w:ilvl="7" w:tplc="040E0003" w:tentative="1">
      <w:start w:val="1"/>
      <w:numFmt w:val="bullet"/>
      <w:lvlText w:val="o"/>
      <w:lvlJc w:val="left"/>
      <w:pPr>
        <w:tabs>
          <w:tab w:val="num" w:pos="5780"/>
        </w:tabs>
        <w:ind w:left="5780" w:hanging="360"/>
      </w:pPr>
      <w:rPr>
        <w:rFonts w:ascii="Courier New" w:hAnsi="Courier New" w:cs="Courier New" w:hint="default"/>
      </w:rPr>
    </w:lvl>
    <w:lvl w:ilvl="8" w:tplc="040E0005" w:tentative="1">
      <w:start w:val="1"/>
      <w:numFmt w:val="bullet"/>
      <w:lvlText w:val=""/>
      <w:lvlJc w:val="left"/>
      <w:pPr>
        <w:tabs>
          <w:tab w:val="num" w:pos="6500"/>
        </w:tabs>
        <w:ind w:left="6500" w:hanging="360"/>
      </w:pPr>
      <w:rPr>
        <w:rFonts w:ascii="Wingdings" w:hAnsi="Wingdings" w:hint="default"/>
      </w:rPr>
    </w:lvl>
  </w:abstractNum>
  <w:abstractNum w:abstractNumId="35" w15:restartNumberingAfterBreak="0">
    <w:nsid w:val="50CE4785"/>
    <w:multiLevelType w:val="hybridMultilevel"/>
    <w:tmpl w:val="06A8A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5AD152E"/>
    <w:multiLevelType w:val="hybridMultilevel"/>
    <w:tmpl w:val="A4C00D94"/>
    <w:lvl w:ilvl="0" w:tplc="4DAE6D4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7" w15:restartNumberingAfterBreak="0">
    <w:nsid w:val="55D46BBF"/>
    <w:multiLevelType w:val="hybridMultilevel"/>
    <w:tmpl w:val="01D25660"/>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565E266B"/>
    <w:multiLevelType w:val="hybridMultilevel"/>
    <w:tmpl w:val="0BA8A8E4"/>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B121B42"/>
    <w:multiLevelType w:val="hybridMultilevel"/>
    <w:tmpl w:val="C1C2BBA2"/>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D083838"/>
    <w:multiLevelType w:val="hybridMultilevel"/>
    <w:tmpl w:val="46187846"/>
    <w:lvl w:ilvl="0" w:tplc="087482E6">
      <w:start w:val="1"/>
      <w:numFmt w:val="lowerLetter"/>
      <w:lvlText w:val="%1.)"/>
      <w:lvlJc w:val="left"/>
      <w:pPr>
        <w:tabs>
          <w:tab w:val="num" w:pos="780"/>
        </w:tabs>
        <w:ind w:left="780" w:hanging="42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330674B"/>
    <w:multiLevelType w:val="hybridMultilevel"/>
    <w:tmpl w:val="D02A5A54"/>
    <w:lvl w:ilvl="0" w:tplc="040E000F">
      <w:start w:val="7"/>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A173944"/>
    <w:multiLevelType w:val="hybridMultilevel"/>
    <w:tmpl w:val="6E9AA14E"/>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E8541F6"/>
    <w:multiLevelType w:val="hybridMultilevel"/>
    <w:tmpl w:val="64DCAB6C"/>
    <w:lvl w:ilvl="0" w:tplc="5DD08BAE">
      <w:start w:val="1"/>
      <w:numFmt w:val="bullet"/>
      <w:lvlText w:val="-"/>
      <w:lvlJc w:val="left"/>
      <w:pPr>
        <w:tabs>
          <w:tab w:val="num" w:pos="720"/>
        </w:tabs>
        <w:ind w:left="720" w:hanging="360"/>
      </w:pPr>
      <w:rPr>
        <w:rFonts w:ascii="Arial" w:hAnsi="Aria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4BD3747"/>
    <w:multiLevelType w:val="multilevel"/>
    <w:tmpl w:val="D7E295C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6C65E3E"/>
    <w:multiLevelType w:val="hybridMultilevel"/>
    <w:tmpl w:val="70A2954A"/>
    <w:lvl w:ilvl="0" w:tplc="54DC068E">
      <w:start w:val="1"/>
      <w:numFmt w:val="bullet"/>
      <w:lvlText w:val=""/>
      <w:lvlJc w:val="left"/>
      <w:pPr>
        <w:tabs>
          <w:tab w:val="num" w:pos="1440"/>
        </w:tabs>
        <w:ind w:left="1440" w:hanging="360"/>
      </w:pPr>
      <w:rPr>
        <w:rFonts w:ascii="Symbol" w:hAnsi="Symbol"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num w:numId="1">
    <w:abstractNumId w:val="36"/>
  </w:num>
  <w:num w:numId="2">
    <w:abstractNumId w:val="12"/>
  </w:num>
  <w:num w:numId="3">
    <w:abstractNumId w:val="0"/>
  </w:num>
  <w:num w:numId="4">
    <w:abstractNumId w:val="21"/>
  </w:num>
  <w:num w:numId="5">
    <w:abstractNumId w:val="7"/>
  </w:num>
  <w:num w:numId="6">
    <w:abstractNumId w:val="45"/>
  </w:num>
  <w:num w:numId="7">
    <w:abstractNumId w:val="24"/>
  </w:num>
  <w:num w:numId="8">
    <w:abstractNumId w:val="37"/>
  </w:num>
  <w:num w:numId="9">
    <w:abstractNumId w:val="11"/>
  </w:num>
  <w:num w:numId="10">
    <w:abstractNumId w:val="29"/>
  </w:num>
  <w:num w:numId="11">
    <w:abstractNumId w:val="8"/>
  </w:num>
  <w:num w:numId="12">
    <w:abstractNumId w:val="43"/>
  </w:num>
  <w:num w:numId="13">
    <w:abstractNumId w:val="13"/>
  </w:num>
  <w:num w:numId="14">
    <w:abstractNumId w:val="17"/>
  </w:num>
  <w:num w:numId="15">
    <w:abstractNumId w:val="28"/>
  </w:num>
  <w:num w:numId="16">
    <w:abstractNumId w:val="1"/>
  </w:num>
  <w:num w:numId="17">
    <w:abstractNumId w:val="22"/>
  </w:num>
  <w:num w:numId="18">
    <w:abstractNumId w:val="6"/>
  </w:num>
  <w:num w:numId="19">
    <w:abstractNumId w:val="19"/>
  </w:num>
  <w:num w:numId="20">
    <w:abstractNumId w:val="18"/>
  </w:num>
  <w:num w:numId="21">
    <w:abstractNumId w:val="38"/>
  </w:num>
  <w:num w:numId="22">
    <w:abstractNumId w:val="42"/>
  </w:num>
  <w:num w:numId="23">
    <w:abstractNumId w:val="25"/>
  </w:num>
  <w:num w:numId="24">
    <w:abstractNumId w:val="34"/>
  </w:num>
  <w:num w:numId="25">
    <w:abstractNumId w:val="39"/>
  </w:num>
  <w:num w:numId="26">
    <w:abstractNumId w:val="15"/>
  </w:num>
  <w:num w:numId="27">
    <w:abstractNumId w:val="2"/>
  </w:num>
  <w:num w:numId="28">
    <w:abstractNumId w:val="4"/>
  </w:num>
  <w:num w:numId="29">
    <w:abstractNumId w:val="40"/>
  </w:num>
  <w:num w:numId="30">
    <w:abstractNumId w:val="27"/>
  </w:num>
  <w:num w:numId="31">
    <w:abstractNumId w:val="5"/>
  </w:num>
  <w:num w:numId="32">
    <w:abstractNumId w:val="26"/>
  </w:num>
  <w:num w:numId="33">
    <w:abstractNumId w:val="44"/>
  </w:num>
  <w:num w:numId="34">
    <w:abstractNumId w:val="33"/>
  </w:num>
  <w:num w:numId="35">
    <w:abstractNumId w:val="9"/>
  </w:num>
  <w:num w:numId="36">
    <w:abstractNumId w:val="3"/>
  </w:num>
  <w:num w:numId="37">
    <w:abstractNumId w:val="14"/>
  </w:num>
  <w:num w:numId="38">
    <w:abstractNumId w:val="23"/>
  </w:num>
  <w:num w:numId="39">
    <w:abstractNumId w:val="32"/>
  </w:num>
  <w:num w:numId="40">
    <w:abstractNumId w:val="16"/>
  </w:num>
  <w:num w:numId="41">
    <w:abstractNumId w:val="41"/>
  </w:num>
  <w:num w:numId="42">
    <w:abstractNumId w:val="10"/>
  </w:num>
  <w:num w:numId="43">
    <w:abstractNumId w:val="31"/>
  </w:num>
  <w:num w:numId="44">
    <w:abstractNumId w:val="20"/>
  </w:num>
  <w:num w:numId="45">
    <w:abstractNumId w:val="30"/>
  </w:num>
  <w:num w:numId="46">
    <w:abstractNumId w:val="3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133"/>
    <w:rsid w:val="00011EF7"/>
    <w:rsid w:val="0001430F"/>
    <w:rsid w:val="000174EF"/>
    <w:rsid w:val="000241F8"/>
    <w:rsid w:val="000267B9"/>
    <w:rsid w:val="00036C0F"/>
    <w:rsid w:val="00046E13"/>
    <w:rsid w:val="000542EE"/>
    <w:rsid w:val="00054B8A"/>
    <w:rsid w:val="000550DD"/>
    <w:rsid w:val="00056345"/>
    <w:rsid w:val="00056E5B"/>
    <w:rsid w:val="00061317"/>
    <w:rsid w:val="00065464"/>
    <w:rsid w:val="000660BC"/>
    <w:rsid w:val="00067C84"/>
    <w:rsid w:val="000710C8"/>
    <w:rsid w:val="000730B1"/>
    <w:rsid w:val="00080171"/>
    <w:rsid w:val="000804B3"/>
    <w:rsid w:val="000812FC"/>
    <w:rsid w:val="00085129"/>
    <w:rsid w:val="00095936"/>
    <w:rsid w:val="00096CEA"/>
    <w:rsid w:val="000A0B42"/>
    <w:rsid w:val="000A0CA6"/>
    <w:rsid w:val="000A1A87"/>
    <w:rsid w:val="000A3591"/>
    <w:rsid w:val="000A5CBB"/>
    <w:rsid w:val="000B0CB2"/>
    <w:rsid w:val="000B2296"/>
    <w:rsid w:val="000C64AD"/>
    <w:rsid w:val="000D2A6E"/>
    <w:rsid w:val="000D5866"/>
    <w:rsid w:val="000D6570"/>
    <w:rsid w:val="000E4C5D"/>
    <w:rsid w:val="000F190C"/>
    <w:rsid w:val="000F753F"/>
    <w:rsid w:val="00100C93"/>
    <w:rsid w:val="001024FE"/>
    <w:rsid w:val="00104A07"/>
    <w:rsid w:val="00113CBB"/>
    <w:rsid w:val="00117905"/>
    <w:rsid w:val="001234F3"/>
    <w:rsid w:val="00126B56"/>
    <w:rsid w:val="001274F8"/>
    <w:rsid w:val="00127572"/>
    <w:rsid w:val="00134427"/>
    <w:rsid w:val="0013487C"/>
    <w:rsid w:val="00136334"/>
    <w:rsid w:val="001408ED"/>
    <w:rsid w:val="001410DC"/>
    <w:rsid w:val="00141493"/>
    <w:rsid w:val="00150F54"/>
    <w:rsid w:val="00151E7D"/>
    <w:rsid w:val="00155238"/>
    <w:rsid w:val="001557C6"/>
    <w:rsid w:val="00157B65"/>
    <w:rsid w:val="00162823"/>
    <w:rsid w:val="0016436E"/>
    <w:rsid w:val="0017067F"/>
    <w:rsid w:val="001728AE"/>
    <w:rsid w:val="001729A0"/>
    <w:rsid w:val="001805A0"/>
    <w:rsid w:val="00183CC1"/>
    <w:rsid w:val="00184378"/>
    <w:rsid w:val="001871B5"/>
    <w:rsid w:val="00187CCB"/>
    <w:rsid w:val="00190DAB"/>
    <w:rsid w:val="00192550"/>
    <w:rsid w:val="001925F2"/>
    <w:rsid w:val="00194223"/>
    <w:rsid w:val="00194B82"/>
    <w:rsid w:val="001A0FA3"/>
    <w:rsid w:val="001A2530"/>
    <w:rsid w:val="001B1145"/>
    <w:rsid w:val="001B3060"/>
    <w:rsid w:val="001B35E5"/>
    <w:rsid w:val="001B3C83"/>
    <w:rsid w:val="001C18D0"/>
    <w:rsid w:val="001C4CAE"/>
    <w:rsid w:val="001D009A"/>
    <w:rsid w:val="001D2FEF"/>
    <w:rsid w:val="001D34E7"/>
    <w:rsid w:val="001D3734"/>
    <w:rsid w:val="001E00D4"/>
    <w:rsid w:val="001E2B7D"/>
    <w:rsid w:val="001E32D4"/>
    <w:rsid w:val="001E6D84"/>
    <w:rsid w:val="001E77AA"/>
    <w:rsid w:val="0020008B"/>
    <w:rsid w:val="00202025"/>
    <w:rsid w:val="0020310B"/>
    <w:rsid w:val="00203DDF"/>
    <w:rsid w:val="00203F1B"/>
    <w:rsid w:val="00204FAF"/>
    <w:rsid w:val="00205040"/>
    <w:rsid w:val="00205E44"/>
    <w:rsid w:val="00214490"/>
    <w:rsid w:val="00220CA0"/>
    <w:rsid w:val="002211D2"/>
    <w:rsid w:val="00222F9C"/>
    <w:rsid w:val="00223A87"/>
    <w:rsid w:val="0022472D"/>
    <w:rsid w:val="00227CE7"/>
    <w:rsid w:val="0023059D"/>
    <w:rsid w:val="002311B0"/>
    <w:rsid w:val="00233246"/>
    <w:rsid w:val="00233492"/>
    <w:rsid w:val="00233937"/>
    <w:rsid w:val="002339CB"/>
    <w:rsid w:val="002343AC"/>
    <w:rsid w:val="002361AF"/>
    <w:rsid w:val="0023721A"/>
    <w:rsid w:val="00246B33"/>
    <w:rsid w:val="00246B3E"/>
    <w:rsid w:val="00250A8C"/>
    <w:rsid w:val="00253F1D"/>
    <w:rsid w:val="002566B7"/>
    <w:rsid w:val="0026024A"/>
    <w:rsid w:val="00263FDA"/>
    <w:rsid w:val="00264A7E"/>
    <w:rsid w:val="002658C0"/>
    <w:rsid w:val="0026793D"/>
    <w:rsid w:val="00267CD8"/>
    <w:rsid w:val="00271301"/>
    <w:rsid w:val="00272531"/>
    <w:rsid w:val="00273AA1"/>
    <w:rsid w:val="002830E0"/>
    <w:rsid w:val="0028388D"/>
    <w:rsid w:val="00284834"/>
    <w:rsid w:val="00287240"/>
    <w:rsid w:val="0029175B"/>
    <w:rsid w:val="00293921"/>
    <w:rsid w:val="00294C84"/>
    <w:rsid w:val="00295741"/>
    <w:rsid w:val="002B076F"/>
    <w:rsid w:val="002B789F"/>
    <w:rsid w:val="002C1DC6"/>
    <w:rsid w:val="002C7472"/>
    <w:rsid w:val="002D13A9"/>
    <w:rsid w:val="002D2D27"/>
    <w:rsid w:val="002D30F1"/>
    <w:rsid w:val="002D48E6"/>
    <w:rsid w:val="002D4BC8"/>
    <w:rsid w:val="002D6593"/>
    <w:rsid w:val="002E28A0"/>
    <w:rsid w:val="002E2C07"/>
    <w:rsid w:val="002E382B"/>
    <w:rsid w:val="002E782A"/>
    <w:rsid w:val="002F1734"/>
    <w:rsid w:val="002F2A5F"/>
    <w:rsid w:val="002F4C75"/>
    <w:rsid w:val="002F6B2E"/>
    <w:rsid w:val="002F753E"/>
    <w:rsid w:val="002F7754"/>
    <w:rsid w:val="00301B74"/>
    <w:rsid w:val="00301D08"/>
    <w:rsid w:val="00305B4C"/>
    <w:rsid w:val="003072C8"/>
    <w:rsid w:val="00310FAB"/>
    <w:rsid w:val="00311CFA"/>
    <w:rsid w:val="00313F0B"/>
    <w:rsid w:val="00316E5E"/>
    <w:rsid w:val="00321437"/>
    <w:rsid w:val="00323106"/>
    <w:rsid w:val="00326435"/>
    <w:rsid w:val="003275ED"/>
    <w:rsid w:val="00330729"/>
    <w:rsid w:val="00330E8F"/>
    <w:rsid w:val="0033152D"/>
    <w:rsid w:val="003315DD"/>
    <w:rsid w:val="003337DE"/>
    <w:rsid w:val="00334062"/>
    <w:rsid w:val="00334FEB"/>
    <w:rsid w:val="00336F0D"/>
    <w:rsid w:val="00340B91"/>
    <w:rsid w:val="00345D98"/>
    <w:rsid w:val="00345EF9"/>
    <w:rsid w:val="003501E1"/>
    <w:rsid w:val="00350FD8"/>
    <w:rsid w:val="003541A8"/>
    <w:rsid w:val="0035452D"/>
    <w:rsid w:val="00354A1C"/>
    <w:rsid w:val="00355AE6"/>
    <w:rsid w:val="00361BEF"/>
    <w:rsid w:val="00363C4C"/>
    <w:rsid w:val="00363CAA"/>
    <w:rsid w:val="00366CD9"/>
    <w:rsid w:val="00372231"/>
    <w:rsid w:val="003727F6"/>
    <w:rsid w:val="00372B12"/>
    <w:rsid w:val="00373EF5"/>
    <w:rsid w:val="00376824"/>
    <w:rsid w:val="00377B85"/>
    <w:rsid w:val="00380396"/>
    <w:rsid w:val="003816EC"/>
    <w:rsid w:val="00385871"/>
    <w:rsid w:val="0039063E"/>
    <w:rsid w:val="003909B6"/>
    <w:rsid w:val="00397D06"/>
    <w:rsid w:val="003A06EF"/>
    <w:rsid w:val="003A7928"/>
    <w:rsid w:val="003B0E0D"/>
    <w:rsid w:val="003B16A1"/>
    <w:rsid w:val="003B4F7E"/>
    <w:rsid w:val="003B5241"/>
    <w:rsid w:val="003C7E03"/>
    <w:rsid w:val="003D1965"/>
    <w:rsid w:val="003D22D3"/>
    <w:rsid w:val="003D5C9B"/>
    <w:rsid w:val="003E329B"/>
    <w:rsid w:val="003E4CE7"/>
    <w:rsid w:val="003E5685"/>
    <w:rsid w:val="003F4419"/>
    <w:rsid w:val="004035AC"/>
    <w:rsid w:val="00404B69"/>
    <w:rsid w:val="00404CB2"/>
    <w:rsid w:val="004070E4"/>
    <w:rsid w:val="00416625"/>
    <w:rsid w:val="00417A6E"/>
    <w:rsid w:val="00425B50"/>
    <w:rsid w:val="00430653"/>
    <w:rsid w:val="00433A8D"/>
    <w:rsid w:val="0043410F"/>
    <w:rsid w:val="00435BC8"/>
    <w:rsid w:val="0043730F"/>
    <w:rsid w:val="004406A2"/>
    <w:rsid w:val="00442BE1"/>
    <w:rsid w:val="0044521B"/>
    <w:rsid w:val="00446E47"/>
    <w:rsid w:val="00446FBC"/>
    <w:rsid w:val="00447CC7"/>
    <w:rsid w:val="004538E0"/>
    <w:rsid w:val="00454601"/>
    <w:rsid w:val="00455198"/>
    <w:rsid w:val="004630B0"/>
    <w:rsid w:val="00463DE9"/>
    <w:rsid w:val="004643E5"/>
    <w:rsid w:val="00467DAC"/>
    <w:rsid w:val="004740C0"/>
    <w:rsid w:val="00476DD3"/>
    <w:rsid w:val="00483308"/>
    <w:rsid w:val="00484899"/>
    <w:rsid w:val="00493C37"/>
    <w:rsid w:val="00494555"/>
    <w:rsid w:val="004A3700"/>
    <w:rsid w:val="004B34DE"/>
    <w:rsid w:val="004B3870"/>
    <w:rsid w:val="004C125B"/>
    <w:rsid w:val="004C3A0F"/>
    <w:rsid w:val="004C47AE"/>
    <w:rsid w:val="004C5C4B"/>
    <w:rsid w:val="004C6329"/>
    <w:rsid w:val="004D1381"/>
    <w:rsid w:val="004D4D8B"/>
    <w:rsid w:val="004D4F2E"/>
    <w:rsid w:val="004D69EE"/>
    <w:rsid w:val="004E1A59"/>
    <w:rsid w:val="004E3182"/>
    <w:rsid w:val="004E4AA6"/>
    <w:rsid w:val="004F003C"/>
    <w:rsid w:val="004F2B70"/>
    <w:rsid w:val="004F37C2"/>
    <w:rsid w:val="004F4B68"/>
    <w:rsid w:val="004F705E"/>
    <w:rsid w:val="004F761B"/>
    <w:rsid w:val="0050344A"/>
    <w:rsid w:val="0050698C"/>
    <w:rsid w:val="00515760"/>
    <w:rsid w:val="00520498"/>
    <w:rsid w:val="00520613"/>
    <w:rsid w:val="0052542B"/>
    <w:rsid w:val="0052586D"/>
    <w:rsid w:val="00526985"/>
    <w:rsid w:val="00527774"/>
    <w:rsid w:val="00530B99"/>
    <w:rsid w:val="00536752"/>
    <w:rsid w:val="0054315A"/>
    <w:rsid w:val="00546EBF"/>
    <w:rsid w:val="005477C3"/>
    <w:rsid w:val="005510AA"/>
    <w:rsid w:val="00554B52"/>
    <w:rsid w:val="00555F70"/>
    <w:rsid w:val="00557692"/>
    <w:rsid w:val="005628C3"/>
    <w:rsid w:val="00572ECF"/>
    <w:rsid w:val="00573C38"/>
    <w:rsid w:val="0057493C"/>
    <w:rsid w:val="00581F3E"/>
    <w:rsid w:val="00582DB0"/>
    <w:rsid w:val="00583421"/>
    <w:rsid w:val="005851C0"/>
    <w:rsid w:val="00586684"/>
    <w:rsid w:val="0059067F"/>
    <w:rsid w:val="00592606"/>
    <w:rsid w:val="005944DE"/>
    <w:rsid w:val="0059736F"/>
    <w:rsid w:val="005A0F3A"/>
    <w:rsid w:val="005A18C5"/>
    <w:rsid w:val="005A32CA"/>
    <w:rsid w:val="005A4B5C"/>
    <w:rsid w:val="005B2748"/>
    <w:rsid w:val="005B34CD"/>
    <w:rsid w:val="005D2532"/>
    <w:rsid w:val="005D3A98"/>
    <w:rsid w:val="005D4BCD"/>
    <w:rsid w:val="005E3988"/>
    <w:rsid w:val="005E54AA"/>
    <w:rsid w:val="005F1BAC"/>
    <w:rsid w:val="005F4770"/>
    <w:rsid w:val="005F5282"/>
    <w:rsid w:val="005F5EBB"/>
    <w:rsid w:val="006017E2"/>
    <w:rsid w:val="00601809"/>
    <w:rsid w:val="00605CFE"/>
    <w:rsid w:val="00612861"/>
    <w:rsid w:val="0062074C"/>
    <w:rsid w:val="0062106E"/>
    <w:rsid w:val="00626241"/>
    <w:rsid w:val="00627CB2"/>
    <w:rsid w:val="00632522"/>
    <w:rsid w:val="00633A53"/>
    <w:rsid w:val="00637421"/>
    <w:rsid w:val="0064283F"/>
    <w:rsid w:val="00643A03"/>
    <w:rsid w:val="00644844"/>
    <w:rsid w:val="006552B8"/>
    <w:rsid w:val="00662300"/>
    <w:rsid w:val="00662918"/>
    <w:rsid w:val="00664269"/>
    <w:rsid w:val="00666A1B"/>
    <w:rsid w:val="00677896"/>
    <w:rsid w:val="006833A9"/>
    <w:rsid w:val="0068568C"/>
    <w:rsid w:val="006908A6"/>
    <w:rsid w:val="006938D7"/>
    <w:rsid w:val="00696256"/>
    <w:rsid w:val="00697BEB"/>
    <w:rsid w:val="006A1891"/>
    <w:rsid w:val="006A3F95"/>
    <w:rsid w:val="006B24FC"/>
    <w:rsid w:val="006C4C08"/>
    <w:rsid w:val="006C4F87"/>
    <w:rsid w:val="006C5A42"/>
    <w:rsid w:val="006C74B5"/>
    <w:rsid w:val="006D0C2A"/>
    <w:rsid w:val="006D22ED"/>
    <w:rsid w:val="006D26AD"/>
    <w:rsid w:val="006D2CE0"/>
    <w:rsid w:val="006D533A"/>
    <w:rsid w:val="006E395B"/>
    <w:rsid w:val="006E4422"/>
    <w:rsid w:val="006F1727"/>
    <w:rsid w:val="006F5BC3"/>
    <w:rsid w:val="00700097"/>
    <w:rsid w:val="007013DE"/>
    <w:rsid w:val="007015D6"/>
    <w:rsid w:val="007027A9"/>
    <w:rsid w:val="00702D22"/>
    <w:rsid w:val="00703463"/>
    <w:rsid w:val="007111E6"/>
    <w:rsid w:val="00712065"/>
    <w:rsid w:val="00712DC0"/>
    <w:rsid w:val="00720021"/>
    <w:rsid w:val="00720FB6"/>
    <w:rsid w:val="00723C3E"/>
    <w:rsid w:val="00724786"/>
    <w:rsid w:val="007263C8"/>
    <w:rsid w:val="00731291"/>
    <w:rsid w:val="00735D46"/>
    <w:rsid w:val="007364EB"/>
    <w:rsid w:val="007422F8"/>
    <w:rsid w:val="00743668"/>
    <w:rsid w:val="00743B3C"/>
    <w:rsid w:val="00756EEB"/>
    <w:rsid w:val="00762A6A"/>
    <w:rsid w:val="00762B24"/>
    <w:rsid w:val="00763423"/>
    <w:rsid w:val="00766746"/>
    <w:rsid w:val="00770339"/>
    <w:rsid w:val="00772B13"/>
    <w:rsid w:val="00775173"/>
    <w:rsid w:val="007779BD"/>
    <w:rsid w:val="00786E79"/>
    <w:rsid w:val="007907F8"/>
    <w:rsid w:val="00795CCB"/>
    <w:rsid w:val="007A1B50"/>
    <w:rsid w:val="007A37E1"/>
    <w:rsid w:val="007A5695"/>
    <w:rsid w:val="007A7944"/>
    <w:rsid w:val="007B2C40"/>
    <w:rsid w:val="007B6CC4"/>
    <w:rsid w:val="007C289A"/>
    <w:rsid w:val="007C44C0"/>
    <w:rsid w:val="007C55BF"/>
    <w:rsid w:val="007C6387"/>
    <w:rsid w:val="007D20F6"/>
    <w:rsid w:val="007D38F4"/>
    <w:rsid w:val="007D41EC"/>
    <w:rsid w:val="007D44A1"/>
    <w:rsid w:val="007D4E68"/>
    <w:rsid w:val="007E593D"/>
    <w:rsid w:val="007E6A63"/>
    <w:rsid w:val="007F01AB"/>
    <w:rsid w:val="008029BE"/>
    <w:rsid w:val="008111B2"/>
    <w:rsid w:val="0081273A"/>
    <w:rsid w:val="008132C6"/>
    <w:rsid w:val="008135AC"/>
    <w:rsid w:val="00822C61"/>
    <w:rsid w:val="00824411"/>
    <w:rsid w:val="00824F19"/>
    <w:rsid w:val="008415CA"/>
    <w:rsid w:val="00844886"/>
    <w:rsid w:val="008456A6"/>
    <w:rsid w:val="00850CC7"/>
    <w:rsid w:val="00851521"/>
    <w:rsid w:val="00854726"/>
    <w:rsid w:val="008549E4"/>
    <w:rsid w:val="00860349"/>
    <w:rsid w:val="00861CAB"/>
    <w:rsid w:val="0086373C"/>
    <w:rsid w:val="00864B3E"/>
    <w:rsid w:val="00865383"/>
    <w:rsid w:val="00866490"/>
    <w:rsid w:val="00866749"/>
    <w:rsid w:val="00867227"/>
    <w:rsid w:val="00871057"/>
    <w:rsid w:val="008717B8"/>
    <w:rsid w:val="00871885"/>
    <w:rsid w:val="00883778"/>
    <w:rsid w:val="00884E08"/>
    <w:rsid w:val="00885B29"/>
    <w:rsid w:val="00887DB9"/>
    <w:rsid w:val="00891EDA"/>
    <w:rsid w:val="00892688"/>
    <w:rsid w:val="00895123"/>
    <w:rsid w:val="008A522E"/>
    <w:rsid w:val="008A52E3"/>
    <w:rsid w:val="008A6E90"/>
    <w:rsid w:val="008B1381"/>
    <w:rsid w:val="008B4A96"/>
    <w:rsid w:val="008C36B1"/>
    <w:rsid w:val="008C5149"/>
    <w:rsid w:val="008C6691"/>
    <w:rsid w:val="008C7CEC"/>
    <w:rsid w:val="008D4BC9"/>
    <w:rsid w:val="008D6CF5"/>
    <w:rsid w:val="008E0A38"/>
    <w:rsid w:val="008E41AD"/>
    <w:rsid w:val="008E46E6"/>
    <w:rsid w:val="008E6B86"/>
    <w:rsid w:val="008F017B"/>
    <w:rsid w:val="008F033F"/>
    <w:rsid w:val="008F0B6B"/>
    <w:rsid w:val="008F377A"/>
    <w:rsid w:val="008F4B60"/>
    <w:rsid w:val="008F656F"/>
    <w:rsid w:val="009036D6"/>
    <w:rsid w:val="00904A94"/>
    <w:rsid w:val="009065D0"/>
    <w:rsid w:val="00906EB9"/>
    <w:rsid w:val="009072F6"/>
    <w:rsid w:val="00907553"/>
    <w:rsid w:val="00911205"/>
    <w:rsid w:val="009126C2"/>
    <w:rsid w:val="00913F8D"/>
    <w:rsid w:val="00920033"/>
    <w:rsid w:val="00922DB8"/>
    <w:rsid w:val="009239CE"/>
    <w:rsid w:val="00924E29"/>
    <w:rsid w:val="00927A5C"/>
    <w:rsid w:val="00934518"/>
    <w:rsid w:val="00936FAE"/>
    <w:rsid w:val="0093760F"/>
    <w:rsid w:val="00940524"/>
    <w:rsid w:val="00946175"/>
    <w:rsid w:val="00946343"/>
    <w:rsid w:val="00952352"/>
    <w:rsid w:val="00956A08"/>
    <w:rsid w:val="00960B80"/>
    <w:rsid w:val="00961F39"/>
    <w:rsid w:val="0096423F"/>
    <w:rsid w:val="009670E8"/>
    <w:rsid w:val="009715C9"/>
    <w:rsid w:val="00971838"/>
    <w:rsid w:val="00972562"/>
    <w:rsid w:val="00973809"/>
    <w:rsid w:val="00975EF0"/>
    <w:rsid w:val="00980239"/>
    <w:rsid w:val="00983FD5"/>
    <w:rsid w:val="009849DD"/>
    <w:rsid w:val="009903B7"/>
    <w:rsid w:val="009917C1"/>
    <w:rsid w:val="009940AD"/>
    <w:rsid w:val="009968C6"/>
    <w:rsid w:val="00996C49"/>
    <w:rsid w:val="009A3F49"/>
    <w:rsid w:val="009A72DF"/>
    <w:rsid w:val="009B3A61"/>
    <w:rsid w:val="009B4EE1"/>
    <w:rsid w:val="009B50C6"/>
    <w:rsid w:val="009B5665"/>
    <w:rsid w:val="009B5CEB"/>
    <w:rsid w:val="009B61E2"/>
    <w:rsid w:val="009B6612"/>
    <w:rsid w:val="009B6B70"/>
    <w:rsid w:val="009C15FC"/>
    <w:rsid w:val="009C18EB"/>
    <w:rsid w:val="009C5116"/>
    <w:rsid w:val="009D0B86"/>
    <w:rsid w:val="009D3137"/>
    <w:rsid w:val="009E4B8E"/>
    <w:rsid w:val="009E5D92"/>
    <w:rsid w:val="009F0D07"/>
    <w:rsid w:val="009F2871"/>
    <w:rsid w:val="009F7F0B"/>
    <w:rsid w:val="00A028A7"/>
    <w:rsid w:val="00A032C4"/>
    <w:rsid w:val="00A0729A"/>
    <w:rsid w:val="00A101F2"/>
    <w:rsid w:val="00A21B4B"/>
    <w:rsid w:val="00A25494"/>
    <w:rsid w:val="00A257D3"/>
    <w:rsid w:val="00A2795D"/>
    <w:rsid w:val="00A33858"/>
    <w:rsid w:val="00A33D06"/>
    <w:rsid w:val="00A360CD"/>
    <w:rsid w:val="00A3685C"/>
    <w:rsid w:val="00A5159D"/>
    <w:rsid w:val="00A547AA"/>
    <w:rsid w:val="00A54FCC"/>
    <w:rsid w:val="00A5780C"/>
    <w:rsid w:val="00A628A2"/>
    <w:rsid w:val="00A66B99"/>
    <w:rsid w:val="00A66DB3"/>
    <w:rsid w:val="00A70631"/>
    <w:rsid w:val="00A73E5C"/>
    <w:rsid w:val="00A74326"/>
    <w:rsid w:val="00A76B8E"/>
    <w:rsid w:val="00A83674"/>
    <w:rsid w:val="00A8453C"/>
    <w:rsid w:val="00A91935"/>
    <w:rsid w:val="00A91F5A"/>
    <w:rsid w:val="00A91FF5"/>
    <w:rsid w:val="00A9448E"/>
    <w:rsid w:val="00AA14B4"/>
    <w:rsid w:val="00AB14F3"/>
    <w:rsid w:val="00AB2763"/>
    <w:rsid w:val="00AB384D"/>
    <w:rsid w:val="00AB4A62"/>
    <w:rsid w:val="00AB5899"/>
    <w:rsid w:val="00AC2E3D"/>
    <w:rsid w:val="00AC481D"/>
    <w:rsid w:val="00AC4D5A"/>
    <w:rsid w:val="00AC50A4"/>
    <w:rsid w:val="00AD3150"/>
    <w:rsid w:val="00AD759D"/>
    <w:rsid w:val="00AF168B"/>
    <w:rsid w:val="00AF310F"/>
    <w:rsid w:val="00AF5621"/>
    <w:rsid w:val="00AF5839"/>
    <w:rsid w:val="00AF5D0B"/>
    <w:rsid w:val="00B03B76"/>
    <w:rsid w:val="00B114BE"/>
    <w:rsid w:val="00B11776"/>
    <w:rsid w:val="00B12CDF"/>
    <w:rsid w:val="00B1697C"/>
    <w:rsid w:val="00B22E2F"/>
    <w:rsid w:val="00B23D5A"/>
    <w:rsid w:val="00B30FB7"/>
    <w:rsid w:val="00B32CE8"/>
    <w:rsid w:val="00B36B5B"/>
    <w:rsid w:val="00B40D4B"/>
    <w:rsid w:val="00B417EA"/>
    <w:rsid w:val="00B42B93"/>
    <w:rsid w:val="00B45EEA"/>
    <w:rsid w:val="00B45FCC"/>
    <w:rsid w:val="00B5063B"/>
    <w:rsid w:val="00B51EE9"/>
    <w:rsid w:val="00B545C6"/>
    <w:rsid w:val="00B5468C"/>
    <w:rsid w:val="00B57260"/>
    <w:rsid w:val="00B62462"/>
    <w:rsid w:val="00B6248E"/>
    <w:rsid w:val="00B638A6"/>
    <w:rsid w:val="00B63EA4"/>
    <w:rsid w:val="00B64A66"/>
    <w:rsid w:val="00B6567E"/>
    <w:rsid w:val="00B659B1"/>
    <w:rsid w:val="00B7168F"/>
    <w:rsid w:val="00B774E9"/>
    <w:rsid w:val="00B82F3A"/>
    <w:rsid w:val="00B839F0"/>
    <w:rsid w:val="00B860C3"/>
    <w:rsid w:val="00B96242"/>
    <w:rsid w:val="00BA03D2"/>
    <w:rsid w:val="00BA5BD4"/>
    <w:rsid w:val="00BB3CD1"/>
    <w:rsid w:val="00BB3EC7"/>
    <w:rsid w:val="00BB72F5"/>
    <w:rsid w:val="00BB7DB2"/>
    <w:rsid w:val="00BC3769"/>
    <w:rsid w:val="00BC70D6"/>
    <w:rsid w:val="00BC71FA"/>
    <w:rsid w:val="00BD4BD3"/>
    <w:rsid w:val="00BD4D1E"/>
    <w:rsid w:val="00BD6670"/>
    <w:rsid w:val="00BE10CE"/>
    <w:rsid w:val="00BF1CFD"/>
    <w:rsid w:val="00BF24E3"/>
    <w:rsid w:val="00BF3A06"/>
    <w:rsid w:val="00BF65BC"/>
    <w:rsid w:val="00BF75BD"/>
    <w:rsid w:val="00BF779B"/>
    <w:rsid w:val="00C01A30"/>
    <w:rsid w:val="00C02529"/>
    <w:rsid w:val="00C03A15"/>
    <w:rsid w:val="00C04242"/>
    <w:rsid w:val="00C04FA9"/>
    <w:rsid w:val="00C05199"/>
    <w:rsid w:val="00C118CA"/>
    <w:rsid w:val="00C1382E"/>
    <w:rsid w:val="00C16205"/>
    <w:rsid w:val="00C23B3B"/>
    <w:rsid w:val="00C269E2"/>
    <w:rsid w:val="00C3046E"/>
    <w:rsid w:val="00C31D1C"/>
    <w:rsid w:val="00C36FA4"/>
    <w:rsid w:val="00C42108"/>
    <w:rsid w:val="00C43E02"/>
    <w:rsid w:val="00C479D8"/>
    <w:rsid w:val="00C520B7"/>
    <w:rsid w:val="00C60D01"/>
    <w:rsid w:val="00C60F2B"/>
    <w:rsid w:val="00C616AA"/>
    <w:rsid w:val="00C623BE"/>
    <w:rsid w:val="00C67F67"/>
    <w:rsid w:val="00C71FF8"/>
    <w:rsid w:val="00C81C2D"/>
    <w:rsid w:val="00C86AA8"/>
    <w:rsid w:val="00C87FF3"/>
    <w:rsid w:val="00C90854"/>
    <w:rsid w:val="00C90A6B"/>
    <w:rsid w:val="00C90C8F"/>
    <w:rsid w:val="00C91785"/>
    <w:rsid w:val="00C93FC6"/>
    <w:rsid w:val="00CA0EBD"/>
    <w:rsid w:val="00CA2D61"/>
    <w:rsid w:val="00CA3901"/>
    <w:rsid w:val="00CA3F69"/>
    <w:rsid w:val="00CA61EA"/>
    <w:rsid w:val="00CB19DC"/>
    <w:rsid w:val="00CB1C33"/>
    <w:rsid w:val="00CB2E6A"/>
    <w:rsid w:val="00CB62DB"/>
    <w:rsid w:val="00CB79E6"/>
    <w:rsid w:val="00CC496E"/>
    <w:rsid w:val="00CC4BD7"/>
    <w:rsid w:val="00CC503A"/>
    <w:rsid w:val="00CC5701"/>
    <w:rsid w:val="00CC5A82"/>
    <w:rsid w:val="00CC7862"/>
    <w:rsid w:val="00CD5E97"/>
    <w:rsid w:val="00CD6A41"/>
    <w:rsid w:val="00CD6E7F"/>
    <w:rsid w:val="00CD7184"/>
    <w:rsid w:val="00CE0AC7"/>
    <w:rsid w:val="00CE0F23"/>
    <w:rsid w:val="00CE1179"/>
    <w:rsid w:val="00CE141F"/>
    <w:rsid w:val="00CF5CE9"/>
    <w:rsid w:val="00CF630C"/>
    <w:rsid w:val="00D10705"/>
    <w:rsid w:val="00D15388"/>
    <w:rsid w:val="00D17D48"/>
    <w:rsid w:val="00D20E67"/>
    <w:rsid w:val="00D2479B"/>
    <w:rsid w:val="00D312EE"/>
    <w:rsid w:val="00D33A5A"/>
    <w:rsid w:val="00D36799"/>
    <w:rsid w:val="00D37C2C"/>
    <w:rsid w:val="00D4255F"/>
    <w:rsid w:val="00D50ACF"/>
    <w:rsid w:val="00D519D3"/>
    <w:rsid w:val="00D54A4B"/>
    <w:rsid w:val="00D567B6"/>
    <w:rsid w:val="00D57C60"/>
    <w:rsid w:val="00D632DC"/>
    <w:rsid w:val="00D63B36"/>
    <w:rsid w:val="00D67FF9"/>
    <w:rsid w:val="00D70B40"/>
    <w:rsid w:val="00D719D4"/>
    <w:rsid w:val="00D73566"/>
    <w:rsid w:val="00DA0557"/>
    <w:rsid w:val="00DA3E24"/>
    <w:rsid w:val="00DC3D50"/>
    <w:rsid w:val="00DD0D10"/>
    <w:rsid w:val="00DD1AD2"/>
    <w:rsid w:val="00DD1E0C"/>
    <w:rsid w:val="00DD6789"/>
    <w:rsid w:val="00DE2206"/>
    <w:rsid w:val="00DE702B"/>
    <w:rsid w:val="00DF297C"/>
    <w:rsid w:val="00DF59EA"/>
    <w:rsid w:val="00DF7763"/>
    <w:rsid w:val="00E012A4"/>
    <w:rsid w:val="00E01EDD"/>
    <w:rsid w:val="00E03983"/>
    <w:rsid w:val="00E06B90"/>
    <w:rsid w:val="00E16447"/>
    <w:rsid w:val="00E17E1E"/>
    <w:rsid w:val="00E20DE5"/>
    <w:rsid w:val="00E2663F"/>
    <w:rsid w:val="00E31EDF"/>
    <w:rsid w:val="00E330CA"/>
    <w:rsid w:val="00E334B8"/>
    <w:rsid w:val="00E34331"/>
    <w:rsid w:val="00E3639C"/>
    <w:rsid w:val="00E37367"/>
    <w:rsid w:val="00E4261F"/>
    <w:rsid w:val="00E4607D"/>
    <w:rsid w:val="00E47133"/>
    <w:rsid w:val="00E50514"/>
    <w:rsid w:val="00E56586"/>
    <w:rsid w:val="00E63E43"/>
    <w:rsid w:val="00E6487C"/>
    <w:rsid w:val="00E729AE"/>
    <w:rsid w:val="00E73A28"/>
    <w:rsid w:val="00E744AE"/>
    <w:rsid w:val="00E766B5"/>
    <w:rsid w:val="00E76864"/>
    <w:rsid w:val="00E81B63"/>
    <w:rsid w:val="00E81D29"/>
    <w:rsid w:val="00E85B7B"/>
    <w:rsid w:val="00E90B4A"/>
    <w:rsid w:val="00E9139C"/>
    <w:rsid w:val="00E91DDD"/>
    <w:rsid w:val="00E92D39"/>
    <w:rsid w:val="00E968A0"/>
    <w:rsid w:val="00E975AE"/>
    <w:rsid w:val="00EA4208"/>
    <w:rsid w:val="00EA50A4"/>
    <w:rsid w:val="00EA59A4"/>
    <w:rsid w:val="00EA70BA"/>
    <w:rsid w:val="00EB0D77"/>
    <w:rsid w:val="00EB39EF"/>
    <w:rsid w:val="00EB5AF0"/>
    <w:rsid w:val="00EB7176"/>
    <w:rsid w:val="00EC17CA"/>
    <w:rsid w:val="00EC2FE2"/>
    <w:rsid w:val="00EC411A"/>
    <w:rsid w:val="00EC682F"/>
    <w:rsid w:val="00ED2B37"/>
    <w:rsid w:val="00ED3DFE"/>
    <w:rsid w:val="00ED4236"/>
    <w:rsid w:val="00ED6AEE"/>
    <w:rsid w:val="00ED6B22"/>
    <w:rsid w:val="00ED7103"/>
    <w:rsid w:val="00ED766E"/>
    <w:rsid w:val="00ED785C"/>
    <w:rsid w:val="00EE664C"/>
    <w:rsid w:val="00EE7ACC"/>
    <w:rsid w:val="00EF0F22"/>
    <w:rsid w:val="00EF1658"/>
    <w:rsid w:val="00EF2357"/>
    <w:rsid w:val="00EF2B64"/>
    <w:rsid w:val="00EF47ED"/>
    <w:rsid w:val="00EF4D8F"/>
    <w:rsid w:val="00F05284"/>
    <w:rsid w:val="00F07241"/>
    <w:rsid w:val="00F114C2"/>
    <w:rsid w:val="00F117EF"/>
    <w:rsid w:val="00F1750F"/>
    <w:rsid w:val="00F21E33"/>
    <w:rsid w:val="00F22DF9"/>
    <w:rsid w:val="00F26987"/>
    <w:rsid w:val="00F31BCB"/>
    <w:rsid w:val="00F409E3"/>
    <w:rsid w:val="00F474E1"/>
    <w:rsid w:val="00F50400"/>
    <w:rsid w:val="00F541E0"/>
    <w:rsid w:val="00F60FBF"/>
    <w:rsid w:val="00F612AA"/>
    <w:rsid w:val="00F66A53"/>
    <w:rsid w:val="00F7042A"/>
    <w:rsid w:val="00F709AC"/>
    <w:rsid w:val="00F71CD6"/>
    <w:rsid w:val="00F76875"/>
    <w:rsid w:val="00F77002"/>
    <w:rsid w:val="00F820C8"/>
    <w:rsid w:val="00F8256F"/>
    <w:rsid w:val="00F832B7"/>
    <w:rsid w:val="00F83C96"/>
    <w:rsid w:val="00F85FFC"/>
    <w:rsid w:val="00F97467"/>
    <w:rsid w:val="00FA2BBD"/>
    <w:rsid w:val="00FA33D8"/>
    <w:rsid w:val="00FA76B8"/>
    <w:rsid w:val="00FB08F7"/>
    <w:rsid w:val="00FB0978"/>
    <w:rsid w:val="00FB3FE9"/>
    <w:rsid w:val="00FC26C7"/>
    <w:rsid w:val="00FC3C77"/>
    <w:rsid w:val="00FC50BA"/>
    <w:rsid w:val="00FC59A0"/>
    <w:rsid w:val="00FC64A8"/>
    <w:rsid w:val="00FC7402"/>
    <w:rsid w:val="00FD03B8"/>
    <w:rsid w:val="00FD7353"/>
    <w:rsid w:val="00FE0D85"/>
    <w:rsid w:val="00FE2A2D"/>
    <w:rsid w:val="00FF2B4B"/>
    <w:rsid w:val="00FF4148"/>
    <w:rsid w:val="00FF4EB9"/>
    <w:rsid w:val="00FF7AB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DDA7EA-63CE-480D-8003-53F5C3B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77B85"/>
    <w:pPr>
      <w:spacing w:after="200" w:line="276" w:lineRule="auto"/>
    </w:pPr>
    <w:rPr>
      <w:sz w:val="22"/>
      <w:szCs w:val="22"/>
      <w:lang w:eastAsia="en-US"/>
    </w:rPr>
  </w:style>
  <w:style w:type="paragraph" w:styleId="Cmsor1">
    <w:name w:val="heading 1"/>
    <w:basedOn w:val="Default"/>
    <w:next w:val="Default"/>
    <w:qFormat/>
    <w:rsid w:val="007422F8"/>
    <w:pPr>
      <w:outlineLvl w:val="0"/>
    </w:pPr>
    <w:rPr>
      <w:color w:val="auto"/>
    </w:rPr>
  </w:style>
  <w:style w:type="paragraph" w:styleId="Cmsor2">
    <w:name w:val="heading 2"/>
    <w:basedOn w:val="Norml"/>
    <w:next w:val="Norml"/>
    <w:link w:val="Cmsor2Char"/>
    <w:uiPriority w:val="9"/>
    <w:qFormat/>
    <w:rsid w:val="00FA76B8"/>
    <w:pPr>
      <w:keepNext/>
      <w:spacing w:before="240" w:after="60"/>
      <w:outlineLvl w:val="1"/>
    </w:pPr>
    <w:rPr>
      <w:rFonts w:ascii="Calibri Light" w:eastAsia="Times New Roman" w:hAnsi="Calibri Light"/>
      <w:b/>
      <w:bCs/>
      <w:i/>
      <w:iCs/>
      <w:sz w:val="28"/>
      <w:szCs w:val="28"/>
    </w:rPr>
  </w:style>
  <w:style w:type="paragraph" w:styleId="Cmsor3">
    <w:name w:val="heading 3"/>
    <w:basedOn w:val="Default"/>
    <w:next w:val="Default"/>
    <w:qFormat/>
    <w:rsid w:val="007422F8"/>
    <w:pPr>
      <w:outlineLvl w:val="2"/>
    </w:pPr>
    <w:rPr>
      <w:color w:val="auto"/>
    </w:rPr>
  </w:style>
  <w:style w:type="paragraph" w:styleId="Cmsor4">
    <w:name w:val="heading 4"/>
    <w:basedOn w:val="Default"/>
    <w:next w:val="Default"/>
    <w:qFormat/>
    <w:rsid w:val="007422F8"/>
    <w:pPr>
      <w:outlineLvl w:val="3"/>
    </w:pPr>
    <w:rPr>
      <w:color w:val="auto"/>
    </w:rPr>
  </w:style>
  <w:style w:type="paragraph" w:styleId="Cmsor5">
    <w:name w:val="heading 5"/>
    <w:basedOn w:val="Default"/>
    <w:next w:val="Default"/>
    <w:qFormat/>
    <w:rsid w:val="007422F8"/>
    <w:pPr>
      <w:outlineLvl w:val="4"/>
    </w:pPr>
    <w:rPr>
      <w:color w:val="auto"/>
    </w:rPr>
  </w:style>
  <w:style w:type="paragraph" w:styleId="Cmsor8">
    <w:name w:val="heading 8"/>
    <w:basedOn w:val="Default"/>
    <w:next w:val="Default"/>
    <w:qFormat/>
    <w:rsid w:val="007422F8"/>
    <w:pPr>
      <w:outlineLvl w:val="7"/>
    </w:pPr>
    <w:rPr>
      <w:color w:val="auto"/>
    </w:rPr>
  </w:style>
  <w:style w:type="paragraph" w:styleId="Cmsor9">
    <w:name w:val="heading 9"/>
    <w:basedOn w:val="Default"/>
    <w:next w:val="Default"/>
    <w:qFormat/>
    <w:rsid w:val="007422F8"/>
    <w:pPr>
      <w:outlineLvl w:val="8"/>
    </w:pPr>
    <w:rPr>
      <w:color w:val="auto"/>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980239"/>
    <w:pPr>
      <w:tabs>
        <w:tab w:val="center" w:pos="4536"/>
        <w:tab w:val="right" w:pos="9072"/>
      </w:tabs>
    </w:pPr>
  </w:style>
  <w:style w:type="character" w:customStyle="1" w:styleId="lfejChar">
    <w:name w:val="Élőfej Char"/>
    <w:link w:val="lfej"/>
    <w:uiPriority w:val="99"/>
    <w:rsid w:val="00980239"/>
    <w:rPr>
      <w:sz w:val="22"/>
      <w:szCs w:val="22"/>
      <w:lang w:eastAsia="en-US"/>
    </w:rPr>
  </w:style>
  <w:style w:type="paragraph" w:styleId="llb">
    <w:name w:val="footer"/>
    <w:basedOn w:val="Norml"/>
    <w:link w:val="llbChar"/>
    <w:uiPriority w:val="99"/>
    <w:unhideWhenUsed/>
    <w:rsid w:val="00980239"/>
    <w:pPr>
      <w:tabs>
        <w:tab w:val="center" w:pos="4536"/>
        <w:tab w:val="right" w:pos="9072"/>
      </w:tabs>
    </w:pPr>
  </w:style>
  <w:style w:type="character" w:customStyle="1" w:styleId="llbChar">
    <w:name w:val="Élőláb Char"/>
    <w:link w:val="llb"/>
    <w:uiPriority w:val="99"/>
    <w:rsid w:val="00980239"/>
    <w:rPr>
      <w:sz w:val="22"/>
      <w:szCs w:val="22"/>
      <w:lang w:eastAsia="en-US"/>
    </w:rPr>
  </w:style>
  <w:style w:type="paragraph" w:styleId="Buborkszveg">
    <w:name w:val="Balloon Text"/>
    <w:basedOn w:val="Norml"/>
    <w:link w:val="BuborkszvegChar"/>
    <w:uiPriority w:val="99"/>
    <w:semiHidden/>
    <w:unhideWhenUsed/>
    <w:rsid w:val="00980239"/>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rsid w:val="00980239"/>
    <w:rPr>
      <w:rFonts w:ascii="Tahoma" w:hAnsi="Tahoma" w:cs="Tahoma"/>
      <w:sz w:val="16"/>
      <w:szCs w:val="16"/>
      <w:lang w:eastAsia="en-US"/>
    </w:rPr>
  </w:style>
  <w:style w:type="paragraph" w:customStyle="1" w:styleId="BasicParagraph">
    <w:name w:val="[Basic Paragraph]"/>
    <w:basedOn w:val="Norml"/>
    <w:uiPriority w:val="99"/>
    <w:rsid w:val="00FF7ABC"/>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table" w:styleId="Rcsostblzat">
    <w:name w:val="Table Grid"/>
    <w:basedOn w:val="Normltblzat"/>
    <w:uiPriority w:val="39"/>
    <w:rsid w:val="00924E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FF2B4B"/>
    <w:rPr>
      <w:color w:val="0000FF"/>
      <w:u w:val="single"/>
    </w:rPr>
  </w:style>
  <w:style w:type="paragraph" w:styleId="NormlWeb">
    <w:name w:val="Normal (Web)"/>
    <w:basedOn w:val="Norml"/>
    <w:uiPriority w:val="99"/>
    <w:rsid w:val="00B12CDF"/>
    <w:pPr>
      <w:spacing w:before="100" w:beforeAutospacing="1" w:after="100" w:afterAutospacing="1" w:line="240" w:lineRule="auto"/>
    </w:pPr>
    <w:rPr>
      <w:rFonts w:ascii="Times New Roman" w:eastAsia="Times New Roman" w:hAnsi="Times New Roman"/>
      <w:sz w:val="24"/>
      <w:szCs w:val="24"/>
      <w:lang w:eastAsia="hu-HU"/>
    </w:rPr>
  </w:style>
  <w:style w:type="paragraph" w:styleId="Cm">
    <w:name w:val="Title"/>
    <w:basedOn w:val="Norml"/>
    <w:qFormat/>
    <w:rsid w:val="00703463"/>
    <w:pPr>
      <w:spacing w:after="0" w:line="240" w:lineRule="auto"/>
      <w:jc w:val="center"/>
    </w:pPr>
    <w:rPr>
      <w:rFonts w:ascii="Times New Roman" w:eastAsia="Times New Roman" w:hAnsi="Times New Roman"/>
      <w:b/>
      <w:sz w:val="28"/>
      <w:szCs w:val="20"/>
      <w:lang w:eastAsia="hu-HU"/>
    </w:rPr>
  </w:style>
  <w:style w:type="character" w:styleId="Oldalszm">
    <w:name w:val="page number"/>
    <w:basedOn w:val="Bekezdsalapbettpusa"/>
    <w:rsid w:val="006017E2"/>
  </w:style>
  <w:style w:type="paragraph" w:customStyle="1" w:styleId="Default">
    <w:name w:val="Default"/>
    <w:rsid w:val="007422F8"/>
    <w:pPr>
      <w:autoSpaceDE w:val="0"/>
      <w:autoSpaceDN w:val="0"/>
      <w:adjustRightInd w:val="0"/>
    </w:pPr>
    <w:rPr>
      <w:rFonts w:ascii="Times New Roman" w:eastAsia="Times New Roman" w:hAnsi="Times New Roman"/>
      <w:color w:val="000000"/>
      <w:sz w:val="24"/>
      <w:szCs w:val="24"/>
    </w:rPr>
  </w:style>
  <w:style w:type="paragraph" w:styleId="Szvegtrzs">
    <w:name w:val="Body Text"/>
    <w:basedOn w:val="Default"/>
    <w:next w:val="Default"/>
    <w:rsid w:val="007422F8"/>
    <w:rPr>
      <w:color w:val="auto"/>
    </w:rPr>
  </w:style>
  <w:style w:type="paragraph" w:styleId="Szvegtrzs2">
    <w:name w:val="Body Text 2"/>
    <w:basedOn w:val="Default"/>
    <w:next w:val="Default"/>
    <w:rsid w:val="007422F8"/>
    <w:rPr>
      <w:color w:val="auto"/>
    </w:rPr>
  </w:style>
  <w:style w:type="paragraph" w:styleId="Szvegtrzs3">
    <w:name w:val="Body Text 3"/>
    <w:basedOn w:val="Default"/>
    <w:next w:val="Default"/>
    <w:rsid w:val="007422F8"/>
    <w:rPr>
      <w:color w:val="auto"/>
    </w:rPr>
  </w:style>
  <w:style w:type="paragraph" w:styleId="Szvegtrzsbehzssal2">
    <w:name w:val="Body Text Indent 2"/>
    <w:basedOn w:val="Norml"/>
    <w:rsid w:val="007422F8"/>
    <w:pPr>
      <w:spacing w:after="120" w:line="480" w:lineRule="auto"/>
      <w:ind w:left="283"/>
    </w:pPr>
    <w:rPr>
      <w:rFonts w:ascii="Times New Roman" w:eastAsia="Times New Roman" w:hAnsi="Times New Roman"/>
      <w:sz w:val="24"/>
      <w:szCs w:val="24"/>
      <w:lang w:eastAsia="hu-HU"/>
    </w:rPr>
  </w:style>
  <w:style w:type="paragraph" w:styleId="Szvegtrzsbehzssal">
    <w:name w:val="Body Text Indent"/>
    <w:basedOn w:val="Norml"/>
    <w:rsid w:val="007422F8"/>
    <w:pPr>
      <w:spacing w:after="120" w:line="240" w:lineRule="auto"/>
      <w:ind w:left="283"/>
    </w:pPr>
    <w:rPr>
      <w:rFonts w:ascii="Times New Roman" w:eastAsia="Times New Roman" w:hAnsi="Times New Roman"/>
      <w:sz w:val="24"/>
      <w:szCs w:val="24"/>
      <w:lang w:eastAsia="hu-HU"/>
    </w:rPr>
  </w:style>
  <w:style w:type="character" w:customStyle="1" w:styleId="Szvegtrzs0">
    <w:name w:val="Szövegtörzs_"/>
    <w:link w:val="Szvegtrzs30"/>
    <w:locked/>
    <w:rsid w:val="007422F8"/>
    <w:rPr>
      <w:sz w:val="23"/>
      <w:szCs w:val="23"/>
      <w:lang w:bidi="ar-SA"/>
    </w:rPr>
  </w:style>
  <w:style w:type="paragraph" w:customStyle="1" w:styleId="Szvegtrzs30">
    <w:name w:val="Szövegtörzs3"/>
    <w:basedOn w:val="Norml"/>
    <w:link w:val="Szvegtrzs0"/>
    <w:rsid w:val="007422F8"/>
    <w:pPr>
      <w:widowControl w:val="0"/>
      <w:shd w:val="clear" w:color="auto" w:fill="FFFFFF"/>
      <w:spacing w:before="6720" w:after="0" w:line="240" w:lineRule="atLeast"/>
      <w:ind w:hanging="400"/>
      <w:jc w:val="center"/>
    </w:pPr>
    <w:rPr>
      <w:rFonts w:ascii="Times New Roman" w:eastAsia="Times New Roman" w:hAnsi="Times New Roman"/>
      <w:sz w:val="23"/>
      <w:szCs w:val="23"/>
      <w:lang w:eastAsia="hu-HU"/>
    </w:rPr>
  </w:style>
  <w:style w:type="character" w:customStyle="1" w:styleId="Szvegtrzs1">
    <w:name w:val="Szövegtörzs1"/>
    <w:rsid w:val="007422F8"/>
    <w:rPr>
      <w:rFonts w:ascii="Times New Roman" w:hAnsi="Times New Roman" w:cs="Times New Roman"/>
      <w:color w:val="000000"/>
      <w:spacing w:val="0"/>
      <w:w w:val="100"/>
      <w:position w:val="0"/>
      <w:sz w:val="23"/>
      <w:szCs w:val="23"/>
      <w:u w:val="single"/>
      <w:lang w:val="hu-HU" w:eastAsia="hu-HU" w:bidi="ar-SA"/>
    </w:rPr>
  </w:style>
  <w:style w:type="character" w:customStyle="1" w:styleId="Szvegtrzs31">
    <w:name w:val="Szövegtörzs (3)_"/>
    <w:link w:val="Szvegtrzs310"/>
    <w:locked/>
    <w:rsid w:val="007422F8"/>
    <w:rPr>
      <w:i/>
      <w:iCs/>
      <w:sz w:val="23"/>
      <w:szCs w:val="23"/>
      <w:lang w:bidi="ar-SA"/>
    </w:rPr>
  </w:style>
  <w:style w:type="character" w:customStyle="1" w:styleId="Szvegtrzs32">
    <w:name w:val="Szövegtörzs (3)"/>
    <w:rsid w:val="007422F8"/>
    <w:rPr>
      <w:i/>
      <w:iCs/>
      <w:color w:val="000000"/>
      <w:spacing w:val="0"/>
      <w:w w:val="100"/>
      <w:position w:val="0"/>
      <w:sz w:val="23"/>
      <w:szCs w:val="23"/>
      <w:u w:val="single"/>
      <w:lang w:val="hu-HU" w:eastAsia="hu-HU" w:bidi="ar-SA"/>
    </w:rPr>
  </w:style>
  <w:style w:type="paragraph" w:customStyle="1" w:styleId="Szvegtrzs5">
    <w:name w:val="Szövegtörzs5"/>
    <w:basedOn w:val="Norml"/>
    <w:rsid w:val="007422F8"/>
    <w:pPr>
      <w:widowControl w:val="0"/>
      <w:shd w:val="clear" w:color="auto" w:fill="FFFFFF"/>
      <w:spacing w:before="720" w:after="240" w:line="274" w:lineRule="exact"/>
      <w:ind w:hanging="400"/>
      <w:jc w:val="both"/>
    </w:pPr>
    <w:rPr>
      <w:rFonts w:ascii="Times New Roman" w:eastAsia="Courier New" w:hAnsi="Times New Roman"/>
      <w:color w:val="000000"/>
      <w:sz w:val="23"/>
      <w:szCs w:val="23"/>
      <w:lang w:eastAsia="hu-HU"/>
    </w:rPr>
  </w:style>
  <w:style w:type="paragraph" w:customStyle="1" w:styleId="Szvegtrzs310">
    <w:name w:val="Szövegtörzs (3)1"/>
    <w:basedOn w:val="Norml"/>
    <w:link w:val="Szvegtrzs31"/>
    <w:rsid w:val="007422F8"/>
    <w:pPr>
      <w:widowControl w:val="0"/>
      <w:shd w:val="clear" w:color="auto" w:fill="FFFFFF"/>
      <w:spacing w:after="240" w:line="274" w:lineRule="exact"/>
      <w:ind w:hanging="360"/>
    </w:pPr>
    <w:rPr>
      <w:rFonts w:ascii="Times New Roman" w:eastAsia="Times New Roman" w:hAnsi="Times New Roman"/>
      <w:i/>
      <w:iCs/>
      <w:sz w:val="23"/>
      <w:szCs w:val="23"/>
      <w:lang w:eastAsia="hu-HU"/>
    </w:rPr>
  </w:style>
  <w:style w:type="character" w:customStyle="1" w:styleId="SzvegtrzsDlt">
    <w:name w:val="Szövegtörzs + Dőlt"/>
    <w:rsid w:val="007422F8"/>
    <w:rPr>
      <w:rFonts w:ascii="Times New Roman" w:hAnsi="Times New Roman" w:cs="Times New Roman"/>
      <w:i/>
      <w:iCs/>
      <w:color w:val="000000"/>
      <w:spacing w:val="0"/>
      <w:w w:val="100"/>
      <w:position w:val="0"/>
      <w:sz w:val="23"/>
      <w:szCs w:val="23"/>
      <w:u w:val="none"/>
      <w:lang w:val="hu-HU" w:eastAsia="hu-HU" w:bidi="ar-SA"/>
    </w:rPr>
  </w:style>
  <w:style w:type="character" w:customStyle="1" w:styleId="Szvegtrzs4">
    <w:name w:val="Szövegtörzs (4)_"/>
    <w:link w:val="Szvegtrzs40"/>
    <w:locked/>
    <w:rsid w:val="007422F8"/>
    <w:rPr>
      <w:b/>
      <w:bCs/>
      <w:sz w:val="23"/>
      <w:szCs w:val="23"/>
      <w:lang w:bidi="ar-SA"/>
    </w:rPr>
  </w:style>
  <w:style w:type="paragraph" w:customStyle="1" w:styleId="Szvegtrzs40">
    <w:name w:val="Szövegtörzs (4)"/>
    <w:basedOn w:val="Norml"/>
    <w:link w:val="Szvegtrzs4"/>
    <w:rsid w:val="007422F8"/>
    <w:pPr>
      <w:widowControl w:val="0"/>
      <w:shd w:val="clear" w:color="auto" w:fill="FFFFFF"/>
      <w:spacing w:before="600" w:after="0" w:line="410" w:lineRule="exact"/>
      <w:jc w:val="both"/>
    </w:pPr>
    <w:rPr>
      <w:rFonts w:ascii="Times New Roman" w:eastAsia="Times New Roman" w:hAnsi="Times New Roman"/>
      <w:b/>
      <w:bCs/>
      <w:sz w:val="23"/>
      <w:szCs w:val="23"/>
      <w:lang w:eastAsia="hu-HU"/>
    </w:rPr>
  </w:style>
  <w:style w:type="character" w:customStyle="1" w:styleId="SzvegtrzsFlkvr">
    <w:name w:val="Szövegtörzs + Félkövér"/>
    <w:rsid w:val="007422F8"/>
    <w:rPr>
      <w:rFonts w:ascii="Times New Roman" w:hAnsi="Times New Roman" w:cs="Times New Roman"/>
      <w:b/>
      <w:bCs/>
      <w:color w:val="000000"/>
      <w:spacing w:val="0"/>
      <w:w w:val="100"/>
      <w:position w:val="0"/>
      <w:sz w:val="23"/>
      <w:szCs w:val="23"/>
      <w:u w:val="none"/>
      <w:lang w:val="hu-HU" w:eastAsia="hu-HU" w:bidi="ar-SA"/>
    </w:rPr>
  </w:style>
  <w:style w:type="character" w:customStyle="1" w:styleId="Cmsor20">
    <w:name w:val="Címsor #2_"/>
    <w:link w:val="Cmsor21"/>
    <w:locked/>
    <w:rsid w:val="007422F8"/>
    <w:rPr>
      <w:b/>
      <w:bCs/>
      <w:sz w:val="23"/>
      <w:szCs w:val="23"/>
      <w:lang w:bidi="ar-SA"/>
    </w:rPr>
  </w:style>
  <w:style w:type="paragraph" w:customStyle="1" w:styleId="Cmsor21">
    <w:name w:val="Címsor #2"/>
    <w:basedOn w:val="Norml"/>
    <w:link w:val="Cmsor20"/>
    <w:rsid w:val="007422F8"/>
    <w:pPr>
      <w:widowControl w:val="0"/>
      <w:shd w:val="clear" w:color="auto" w:fill="FFFFFF"/>
      <w:spacing w:before="600" w:after="0" w:line="414" w:lineRule="exact"/>
      <w:outlineLvl w:val="1"/>
    </w:pPr>
    <w:rPr>
      <w:rFonts w:ascii="Times New Roman" w:eastAsia="Times New Roman" w:hAnsi="Times New Roman"/>
      <w:b/>
      <w:bCs/>
      <w:sz w:val="23"/>
      <w:szCs w:val="23"/>
      <w:lang w:eastAsia="hu-HU"/>
    </w:rPr>
  </w:style>
  <w:style w:type="paragraph" w:customStyle="1" w:styleId="Norml1">
    <w:name w:val="Normál1"/>
    <w:rsid w:val="004D4D8B"/>
    <w:pPr>
      <w:suppressAutoHyphens/>
    </w:pPr>
    <w:rPr>
      <w:rFonts w:ascii="Times New Roman" w:eastAsia="Times New Roman" w:hAnsi="Times New Roman"/>
      <w:color w:val="000000"/>
      <w:sz w:val="24"/>
      <w:szCs w:val="24"/>
    </w:rPr>
  </w:style>
  <w:style w:type="paragraph" w:customStyle="1" w:styleId="Cmsor11">
    <w:name w:val="Címsor 11"/>
    <w:next w:val="Norml1"/>
    <w:rsid w:val="004F2B70"/>
    <w:pPr>
      <w:keepNext/>
      <w:tabs>
        <w:tab w:val="left" w:pos="432"/>
      </w:tabs>
      <w:suppressAutoHyphens/>
      <w:ind w:left="432" w:hanging="432"/>
      <w:jc w:val="both"/>
      <w:outlineLvl w:val="0"/>
    </w:pPr>
    <w:rPr>
      <w:rFonts w:ascii="Times New Roman" w:eastAsia="Times New Roman" w:hAnsi="Times New Roman"/>
      <w:color w:val="000000"/>
      <w:sz w:val="28"/>
      <w:szCs w:val="28"/>
    </w:rPr>
  </w:style>
  <w:style w:type="paragraph" w:customStyle="1" w:styleId="FreeForm">
    <w:name w:val="Free Form"/>
    <w:rsid w:val="004F2B70"/>
    <w:rPr>
      <w:rFonts w:ascii="Times New Roman" w:eastAsia="Arial Unicode MS" w:hAnsi="Arial Unicode MS"/>
      <w:color w:val="000000"/>
    </w:rPr>
  </w:style>
  <w:style w:type="character" w:customStyle="1" w:styleId="Cmsor2Char">
    <w:name w:val="Címsor 2 Char"/>
    <w:link w:val="Cmsor2"/>
    <w:uiPriority w:val="9"/>
    <w:semiHidden/>
    <w:rsid w:val="00FA76B8"/>
    <w:rPr>
      <w:rFonts w:ascii="Calibri Light" w:eastAsia="Times New Roman" w:hAnsi="Calibri Light" w:cs="Times New Roman"/>
      <w:b/>
      <w:bCs/>
      <w:i/>
      <w:iCs/>
      <w:sz w:val="28"/>
      <w:szCs w:val="28"/>
      <w:lang w:eastAsia="en-US"/>
    </w:rPr>
  </w:style>
  <w:style w:type="paragraph" w:styleId="Listaszerbekezds">
    <w:name w:val="List Paragraph"/>
    <w:basedOn w:val="Norml"/>
    <w:uiPriority w:val="34"/>
    <w:qFormat/>
    <w:rsid w:val="009072F6"/>
    <w:pPr>
      <w:spacing w:after="160" w:line="259" w:lineRule="auto"/>
      <w:ind w:left="720"/>
      <w:contextualSpacing/>
    </w:pPr>
  </w:style>
  <w:style w:type="character" w:styleId="Kiemels2">
    <w:name w:val="Strong"/>
    <w:uiPriority w:val="22"/>
    <w:qFormat/>
    <w:rsid w:val="00011EF7"/>
    <w:rPr>
      <w:b/>
      <w:bCs/>
    </w:rPr>
  </w:style>
  <w:style w:type="character" w:customStyle="1" w:styleId="st">
    <w:name w:val="st"/>
    <w:basedOn w:val="Bekezdsalapbettpusa"/>
    <w:rsid w:val="00696256"/>
  </w:style>
  <w:style w:type="paragraph" w:customStyle="1" w:styleId="lead">
    <w:name w:val="lead"/>
    <w:basedOn w:val="Norml"/>
    <w:rsid w:val="00CE0AC7"/>
    <w:pPr>
      <w:spacing w:before="100" w:beforeAutospacing="1" w:after="100" w:afterAutospacing="1" w:line="240" w:lineRule="auto"/>
    </w:pPr>
    <w:rPr>
      <w:rFonts w:ascii="Times New Roman" w:eastAsia="Times New Roman" w:hAnsi="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981371">
      <w:bodyDiv w:val="1"/>
      <w:marLeft w:val="0"/>
      <w:marRight w:val="0"/>
      <w:marTop w:val="0"/>
      <w:marBottom w:val="0"/>
      <w:divBdr>
        <w:top w:val="none" w:sz="0" w:space="0" w:color="auto"/>
        <w:left w:val="none" w:sz="0" w:space="0" w:color="auto"/>
        <w:bottom w:val="none" w:sz="0" w:space="0" w:color="auto"/>
        <w:right w:val="none" w:sz="0" w:space="0" w:color="auto"/>
      </w:divBdr>
    </w:div>
    <w:div w:id="149450263">
      <w:bodyDiv w:val="1"/>
      <w:marLeft w:val="0"/>
      <w:marRight w:val="0"/>
      <w:marTop w:val="0"/>
      <w:marBottom w:val="0"/>
      <w:divBdr>
        <w:top w:val="none" w:sz="0" w:space="0" w:color="auto"/>
        <w:left w:val="none" w:sz="0" w:space="0" w:color="auto"/>
        <w:bottom w:val="none" w:sz="0" w:space="0" w:color="auto"/>
        <w:right w:val="none" w:sz="0" w:space="0" w:color="auto"/>
      </w:divBdr>
    </w:div>
    <w:div w:id="215898937">
      <w:bodyDiv w:val="1"/>
      <w:marLeft w:val="0"/>
      <w:marRight w:val="0"/>
      <w:marTop w:val="0"/>
      <w:marBottom w:val="0"/>
      <w:divBdr>
        <w:top w:val="none" w:sz="0" w:space="0" w:color="auto"/>
        <w:left w:val="none" w:sz="0" w:space="0" w:color="auto"/>
        <w:bottom w:val="none" w:sz="0" w:space="0" w:color="auto"/>
        <w:right w:val="none" w:sz="0" w:space="0" w:color="auto"/>
      </w:divBdr>
    </w:div>
    <w:div w:id="301740284">
      <w:bodyDiv w:val="1"/>
      <w:marLeft w:val="0"/>
      <w:marRight w:val="0"/>
      <w:marTop w:val="0"/>
      <w:marBottom w:val="0"/>
      <w:divBdr>
        <w:top w:val="none" w:sz="0" w:space="0" w:color="auto"/>
        <w:left w:val="none" w:sz="0" w:space="0" w:color="auto"/>
        <w:bottom w:val="none" w:sz="0" w:space="0" w:color="auto"/>
        <w:right w:val="none" w:sz="0" w:space="0" w:color="auto"/>
      </w:divBdr>
    </w:div>
    <w:div w:id="360522143">
      <w:bodyDiv w:val="1"/>
      <w:marLeft w:val="0"/>
      <w:marRight w:val="0"/>
      <w:marTop w:val="0"/>
      <w:marBottom w:val="0"/>
      <w:divBdr>
        <w:top w:val="none" w:sz="0" w:space="0" w:color="auto"/>
        <w:left w:val="none" w:sz="0" w:space="0" w:color="auto"/>
        <w:bottom w:val="none" w:sz="0" w:space="0" w:color="auto"/>
        <w:right w:val="none" w:sz="0" w:space="0" w:color="auto"/>
      </w:divBdr>
    </w:div>
    <w:div w:id="404574366">
      <w:bodyDiv w:val="1"/>
      <w:marLeft w:val="0"/>
      <w:marRight w:val="0"/>
      <w:marTop w:val="0"/>
      <w:marBottom w:val="0"/>
      <w:divBdr>
        <w:top w:val="none" w:sz="0" w:space="0" w:color="auto"/>
        <w:left w:val="none" w:sz="0" w:space="0" w:color="auto"/>
        <w:bottom w:val="none" w:sz="0" w:space="0" w:color="auto"/>
        <w:right w:val="none" w:sz="0" w:space="0" w:color="auto"/>
      </w:divBdr>
    </w:div>
    <w:div w:id="731348133">
      <w:bodyDiv w:val="1"/>
      <w:marLeft w:val="0"/>
      <w:marRight w:val="0"/>
      <w:marTop w:val="0"/>
      <w:marBottom w:val="0"/>
      <w:divBdr>
        <w:top w:val="none" w:sz="0" w:space="0" w:color="auto"/>
        <w:left w:val="none" w:sz="0" w:space="0" w:color="auto"/>
        <w:bottom w:val="none" w:sz="0" w:space="0" w:color="auto"/>
        <w:right w:val="none" w:sz="0" w:space="0" w:color="auto"/>
      </w:divBdr>
    </w:div>
    <w:div w:id="969628941">
      <w:bodyDiv w:val="1"/>
      <w:marLeft w:val="0"/>
      <w:marRight w:val="0"/>
      <w:marTop w:val="0"/>
      <w:marBottom w:val="0"/>
      <w:divBdr>
        <w:top w:val="none" w:sz="0" w:space="0" w:color="auto"/>
        <w:left w:val="none" w:sz="0" w:space="0" w:color="auto"/>
        <w:bottom w:val="none" w:sz="0" w:space="0" w:color="auto"/>
        <w:right w:val="none" w:sz="0" w:space="0" w:color="auto"/>
      </w:divBdr>
    </w:div>
    <w:div w:id="1127624980">
      <w:bodyDiv w:val="1"/>
      <w:marLeft w:val="0"/>
      <w:marRight w:val="0"/>
      <w:marTop w:val="0"/>
      <w:marBottom w:val="0"/>
      <w:divBdr>
        <w:top w:val="none" w:sz="0" w:space="0" w:color="auto"/>
        <w:left w:val="none" w:sz="0" w:space="0" w:color="auto"/>
        <w:bottom w:val="none" w:sz="0" w:space="0" w:color="auto"/>
        <w:right w:val="none" w:sz="0" w:space="0" w:color="auto"/>
      </w:divBdr>
    </w:div>
    <w:div w:id="1160460932">
      <w:bodyDiv w:val="1"/>
      <w:marLeft w:val="0"/>
      <w:marRight w:val="0"/>
      <w:marTop w:val="0"/>
      <w:marBottom w:val="0"/>
      <w:divBdr>
        <w:top w:val="none" w:sz="0" w:space="0" w:color="auto"/>
        <w:left w:val="none" w:sz="0" w:space="0" w:color="auto"/>
        <w:bottom w:val="none" w:sz="0" w:space="0" w:color="auto"/>
        <w:right w:val="none" w:sz="0" w:space="0" w:color="auto"/>
      </w:divBdr>
    </w:div>
    <w:div w:id="1197691871">
      <w:bodyDiv w:val="1"/>
      <w:marLeft w:val="0"/>
      <w:marRight w:val="0"/>
      <w:marTop w:val="0"/>
      <w:marBottom w:val="0"/>
      <w:divBdr>
        <w:top w:val="none" w:sz="0" w:space="0" w:color="auto"/>
        <w:left w:val="none" w:sz="0" w:space="0" w:color="auto"/>
        <w:bottom w:val="none" w:sz="0" w:space="0" w:color="auto"/>
        <w:right w:val="none" w:sz="0" w:space="0" w:color="auto"/>
      </w:divBdr>
    </w:div>
    <w:div w:id="1218586101">
      <w:bodyDiv w:val="1"/>
      <w:marLeft w:val="0"/>
      <w:marRight w:val="0"/>
      <w:marTop w:val="0"/>
      <w:marBottom w:val="0"/>
      <w:divBdr>
        <w:top w:val="none" w:sz="0" w:space="0" w:color="auto"/>
        <w:left w:val="none" w:sz="0" w:space="0" w:color="auto"/>
        <w:bottom w:val="none" w:sz="0" w:space="0" w:color="auto"/>
        <w:right w:val="none" w:sz="0" w:space="0" w:color="auto"/>
      </w:divBdr>
    </w:div>
    <w:div w:id="1283921893">
      <w:bodyDiv w:val="1"/>
      <w:marLeft w:val="0"/>
      <w:marRight w:val="0"/>
      <w:marTop w:val="0"/>
      <w:marBottom w:val="0"/>
      <w:divBdr>
        <w:top w:val="none" w:sz="0" w:space="0" w:color="auto"/>
        <w:left w:val="none" w:sz="0" w:space="0" w:color="auto"/>
        <w:bottom w:val="none" w:sz="0" w:space="0" w:color="auto"/>
        <w:right w:val="none" w:sz="0" w:space="0" w:color="auto"/>
      </w:divBdr>
    </w:div>
    <w:div w:id="1369526551">
      <w:bodyDiv w:val="1"/>
      <w:marLeft w:val="0"/>
      <w:marRight w:val="0"/>
      <w:marTop w:val="0"/>
      <w:marBottom w:val="0"/>
      <w:divBdr>
        <w:top w:val="none" w:sz="0" w:space="0" w:color="auto"/>
        <w:left w:val="none" w:sz="0" w:space="0" w:color="auto"/>
        <w:bottom w:val="none" w:sz="0" w:space="0" w:color="auto"/>
        <w:right w:val="none" w:sz="0" w:space="0" w:color="auto"/>
      </w:divBdr>
    </w:div>
    <w:div w:id="1580597807">
      <w:bodyDiv w:val="1"/>
      <w:marLeft w:val="0"/>
      <w:marRight w:val="0"/>
      <w:marTop w:val="0"/>
      <w:marBottom w:val="0"/>
      <w:divBdr>
        <w:top w:val="none" w:sz="0" w:space="0" w:color="auto"/>
        <w:left w:val="none" w:sz="0" w:space="0" w:color="auto"/>
        <w:bottom w:val="none" w:sz="0" w:space="0" w:color="auto"/>
        <w:right w:val="none" w:sz="0" w:space="0" w:color="auto"/>
      </w:divBdr>
    </w:div>
    <w:div w:id="1595095340">
      <w:bodyDiv w:val="1"/>
      <w:marLeft w:val="0"/>
      <w:marRight w:val="0"/>
      <w:marTop w:val="0"/>
      <w:marBottom w:val="0"/>
      <w:divBdr>
        <w:top w:val="none" w:sz="0" w:space="0" w:color="auto"/>
        <w:left w:val="none" w:sz="0" w:space="0" w:color="auto"/>
        <w:bottom w:val="none" w:sz="0" w:space="0" w:color="auto"/>
        <w:right w:val="none" w:sz="0" w:space="0" w:color="auto"/>
      </w:divBdr>
    </w:div>
    <w:div w:id="1917746506">
      <w:bodyDiv w:val="1"/>
      <w:marLeft w:val="0"/>
      <w:marRight w:val="0"/>
      <w:marTop w:val="0"/>
      <w:marBottom w:val="0"/>
      <w:divBdr>
        <w:top w:val="none" w:sz="0" w:space="0" w:color="auto"/>
        <w:left w:val="none" w:sz="0" w:space="0" w:color="auto"/>
        <w:bottom w:val="none" w:sz="0" w:space="0" w:color="auto"/>
        <w:right w:val="none" w:sz="0" w:space="0" w:color="auto"/>
      </w:divBdr>
    </w:div>
    <w:div w:id="206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nkormanyzat.heviz.h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munkalap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munkalap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a:t>Befizetett idegenforgalmi adó havi  megoszlása</a:t>
            </a:r>
          </a:p>
          <a:p>
            <a:pPr>
              <a:defRPr sz="1400" b="0" i="0" u="none" strike="noStrike" kern="1200" spc="0" baseline="0">
                <a:solidFill>
                  <a:schemeClr val="tx1">
                    <a:lumMod val="65000"/>
                    <a:lumOff val="35000"/>
                  </a:schemeClr>
                </a:solidFill>
                <a:latin typeface="+mn-lt"/>
                <a:ea typeface="+mn-ea"/>
                <a:cs typeface="+mn-cs"/>
              </a:defRPr>
            </a:pPr>
            <a:r>
              <a:rPr lang="hu-HU"/>
              <a:t>2012-2016. években</a:t>
            </a:r>
          </a:p>
        </c:rich>
      </c:tx>
      <c:overlay val="0"/>
      <c:spPr>
        <a:noFill/>
        <a:ln>
          <a:noFill/>
        </a:ln>
        <a:effectLst/>
      </c:spPr>
    </c:title>
    <c:autoTitleDeleted val="0"/>
    <c:plotArea>
      <c:layout/>
      <c:barChart>
        <c:barDir val="col"/>
        <c:grouping val="clustered"/>
        <c:varyColors val="0"/>
        <c:ser>
          <c:idx val="0"/>
          <c:order val="0"/>
          <c:tx>
            <c:strRef>
              <c:f>befizetések!$A$5</c:f>
              <c:strCache>
                <c:ptCount val="1"/>
                <c:pt idx="0">
                  <c:v>2012</c:v>
                </c:pt>
              </c:strCache>
            </c:strRef>
          </c:tx>
          <c:spPr>
            <a:solidFill>
              <a:schemeClr val="accent1"/>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befizetések!$B$5:$M$5</c:f>
              <c:numCache>
                <c:formatCode>#,##0</c:formatCode>
                <c:ptCount val="12"/>
                <c:pt idx="0">
                  <c:v>22174</c:v>
                </c:pt>
                <c:pt idx="1">
                  <c:v>27463</c:v>
                </c:pt>
                <c:pt idx="2">
                  <c:v>25396</c:v>
                </c:pt>
                <c:pt idx="3">
                  <c:v>32631</c:v>
                </c:pt>
                <c:pt idx="4">
                  <c:v>32940</c:v>
                </c:pt>
                <c:pt idx="5">
                  <c:v>40371</c:v>
                </c:pt>
                <c:pt idx="6">
                  <c:v>41958</c:v>
                </c:pt>
                <c:pt idx="7">
                  <c:v>45766</c:v>
                </c:pt>
                <c:pt idx="8">
                  <c:v>53588</c:v>
                </c:pt>
                <c:pt idx="9">
                  <c:v>50700</c:v>
                </c:pt>
                <c:pt idx="10">
                  <c:v>44622</c:v>
                </c:pt>
                <c:pt idx="11">
                  <c:v>35252</c:v>
                </c:pt>
              </c:numCache>
            </c:numRef>
          </c:val>
        </c:ser>
        <c:ser>
          <c:idx val="1"/>
          <c:order val="1"/>
          <c:tx>
            <c:strRef>
              <c:f>befizetések!$A$6</c:f>
              <c:strCache>
                <c:ptCount val="1"/>
                <c:pt idx="0">
                  <c:v>2013</c:v>
                </c:pt>
              </c:strCache>
            </c:strRef>
          </c:tx>
          <c:spPr>
            <a:solidFill>
              <a:schemeClr val="accent2"/>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befizetések!$B$6:$M$6</c:f>
              <c:numCache>
                <c:formatCode>#,##0</c:formatCode>
                <c:ptCount val="12"/>
                <c:pt idx="0">
                  <c:v>23573</c:v>
                </c:pt>
                <c:pt idx="1">
                  <c:v>27581</c:v>
                </c:pt>
                <c:pt idx="2">
                  <c:v>27205</c:v>
                </c:pt>
                <c:pt idx="3">
                  <c:v>36481</c:v>
                </c:pt>
                <c:pt idx="4">
                  <c:v>32883</c:v>
                </c:pt>
                <c:pt idx="5">
                  <c:v>47163</c:v>
                </c:pt>
                <c:pt idx="6">
                  <c:v>45777</c:v>
                </c:pt>
                <c:pt idx="7">
                  <c:v>48604</c:v>
                </c:pt>
                <c:pt idx="8">
                  <c:v>56230</c:v>
                </c:pt>
                <c:pt idx="9">
                  <c:v>52220</c:v>
                </c:pt>
                <c:pt idx="10">
                  <c:v>53150</c:v>
                </c:pt>
                <c:pt idx="11">
                  <c:v>36654</c:v>
                </c:pt>
              </c:numCache>
            </c:numRef>
          </c:val>
        </c:ser>
        <c:ser>
          <c:idx val="2"/>
          <c:order val="2"/>
          <c:tx>
            <c:strRef>
              <c:f>befizetések!$A$7</c:f>
              <c:strCache>
                <c:ptCount val="1"/>
                <c:pt idx="0">
                  <c:v>2014</c:v>
                </c:pt>
              </c:strCache>
            </c:strRef>
          </c:tx>
          <c:spPr>
            <a:solidFill>
              <a:schemeClr val="accent3"/>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befizetések!$B$7:$M$7</c:f>
              <c:numCache>
                <c:formatCode>#,##0</c:formatCode>
                <c:ptCount val="12"/>
                <c:pt idx="0">
                  <c:v>25085</c:v>
                </c:pt>
                <c:pt idx="1">
                  <c:v>31056</c:v>
                </c:pt>
                <c:pt idx="2">
                  <c:v>26602</c:v>
                </c:pt>
                <c:pt idx="3">
                  <c:v>30147</c:v>
                </c:pt>
                <c:pt idx="4">
                  <c:v>40694</c:v>
                </c:pt>
                <c:pt idx="5">
                  <c:v>44214</c:v>
                </c:pt>
                <c:pt idx="6">
                  <c:v>43841</c:v>
                </c:pt>
                <c:pt idx="7">
                  <c:v>51712</c:v>
                </c:pt>
                <c:pt idx="8">
                  <c:v>59748</c:v>
                </c:pt>
                <c:pt idx="9">
                  <c:v>48493</c:v>
                </c:pt>
                <c:pt idx="10">
                  <c:v>42443</c:v>
                </c:pt>
                <c:pt idx="11">
                  <c:v>38251</c:v>
                </c:pt>
              </c:numCache>
            </c:numRef>
          </c:val>
        </c:ser>
        <c:ser>
          <c:idx val="3"/>
          <c:order val="3"/>
          <c:tx>
            <c:strRef>
              <c:f>befizetések!$A$8</c:f>
              <c:strCache>
                <c:ptCount val="1"/>
                <c:pt idx="0">
                  <c:v>2015</c:v>
                </c:pt>
              </c:strCache>
            </c:strRef>
          </c:tx>
          <c:spPr>
            <a:solidFill>
              <a:schemeClr val="accent4"/>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befizetések!$B$8:$M$8</c:f>
              <c:numCache>
                <c:formatCode>#,##0</c:formatCode>
                <c:ptCount val="12"/>
                <c:pt idx="0">
                  <c:v>23226</c:v>
                </c:pt>
                <c:pt idx="1">
                  <c:v>24996</c:v>
                </c:pt>
                <c:pt idx="2">
                  <c:v>24358</c:v>
                </c:pt>
                <c:pt idx="3">
                  <c:v>31098</c:v>
                </c:pt>
                <c:pt idx="4">
                  <c:v>33605</c:v>
                </c:pt>
                <c:pt idx="5">
                  <c:v>44395</c:v>
                </c:pt>
                <c:pt idx="6">
                  <c:v>45689</c:v>
                </c:pt>
                <c:pt idx="7">
                  <c:v>52203</c:v>
                </c:pt>
                <c:pt idx="8">
                  <c:v>60456</c:v>
                </c:pt>
                <c:pt idx="9">
                  <c:v>47592</c:v>
                </c:pt>
                <c:pt idx="10">
                  <c:v>43181</c:v>
                </c:pt>
                <c:pt idx="11">
                  <c:v>33465</c:v>
                </c:pt>
              </c:numCache>
            </c:numRef>
          </c:val>
        </c:ser>
        <c:ser>
          <c:idx val="4"/>
          <c:order val="4"/>
          <c:tx>
            <c:strRef>
              <c:f>befizetések!$A$9</c:f>
              <c:strCache>
                <c:ptCount val="1"/>
                <c:pt idx="0">
                  <c:v>2016</c:v>
                </c:pt>
              </c:strCache>
            </c:strRef>
          </c:tx>
          <c:spPr>
            <a:solidFill>
              <a:schemeClr val="accent5"/>
            </a:solidFill>
            <a:ln>
              <a:noFill/>
            </a:ln>
            <a:effectLst/>
          </c:spPr>
          <c:invertIfNegative val="0"/>
          <c:cat>
            <c:strRef>
              <c:f>befizetések!$B$4:$M$4</c:f>
              <c:strCache>
                <c:ptCount val="12"/>
                <c:pt idx="0">
                  <c:v>január</c:v>
                </c:pt>
                <c:pt idx="1">
                  <c:v>február</c:v>
                </c:pt>
                <c:pt idx="2">
                  <c:v>március</c:v>
                </c:pt>
                <c:pt idx="3">
                  <c:v>április</c:v>
                </c:pt>
                <c:pt idx="4">
                  <c:v>május</c:v>
                </c:pt>
                <c:pt idx="5">
                  <c:v>június</c:v>
                </c:pt>
                <c:pt idx="6">
                  <c:v>július</c:v>
                </c:pt>
                <c:pt idx="7">
                  <c:v>augusztus</c:v>
                </c:pt>
                <c:pt idx="8">
                  <c:v>szeptember</c:v>
                </c:pt>
                <c:pt idx="9">
                  <c:v>október</c:v>
                </c:pt>
                <c:pt idx="10">
                  <c:v>november</c:v>
                </c:pt>
                <c:pt idx="11">
                  <c:v>december</c:v>
                </c:pt>
              </c:strCache>
            </c:strRef>
          </c:cat>
          <c:val>
            <c:numRef>
              <c:f>befizetések!$B$9:$M$9</c:f>
              <c:numCache>
                <c:formatCode>#,##0</c:formatCode>
                <c:ptCount val="12"/>
                <c:pt idx="0">
                  <c:v>25026</c:v>
                </c:pt>
                <c:pt idx="1">
                  <c:v>30122</c:v>
                </c:pt>
                <c:pt idx="2">
                  <c:v>31607</c:v>
                </c:pt>
                <c:pt idx="3">
                  <c:v>37965</c:v>
                </c:pt>
                <c:pt idx="4">
                  <c:v>39302</c:v>
                </c:pt>
                <c:pt idx="5">
                  <c:v>50088</c:v>
                </c:pt>
                <c:pt idx="6">
                  <c:v>48758</c:v>
                </c:pt>
                <c:pt idx="7">
                  <c:v>62488</c:v>
                </c:pt>
                <c:pt idx="8">
                  <c:v>66673</c:v>
                </c:pt>
                <c:pt idx="9">
                  <c:v>58298</c:v>
                </c:pt>
                <c:pt idx="10">
                  <c:v>48464</c:v>
                </c:pt>
                <c:pt idx="11">
                  <c:v>39586</c:v>
                </c:pt>
              </c:numCache>
            </c:numRef>
          </c:val>
        </c:ser>
        <c:dLbls>
          <c:showLegendKey val="0"/>
          <c:showVal val="0"/>
          <c:showCatName val="0"/>
          <c:showSerName val="0"/>
          <c:showPercent val="0"/>
          <c:showBubbleSize val="0"/>
        </c:dLbls>
        <c:gapWidth val="219"/>
        <c:overlap val="-27"/>
        <c:axId val="336416352"/>
        <c:axId val="336413608"/>
      </c:barChart>
      <c:catAx>
        <c:axId val="336416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36413608"/>
        <c:crosses val="autoZero"/>
        <c:auto val="1"/>
        <c:lblAlgn val="ctr"/>
        <c:lblOffset val="100"/>
        <c:noMultiLvlLbl val="0"/>
      </c:catAx>
      <c:valAx>
        <c:axId val="336413608"/>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crossAx val="336416352"/>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996" b="0" i="0" u="none" strike="noStrike" baseline="0">
                <a:solidFill>
                  <a:srgbClr val="000000"/>
                </a:solidFill>
                <a:latin typeface="Calibri"/>
                <a:ea typeface="Calibri"/>
                <a:cs typeface="Calibri"/>
              </a:defRPr>
            </a:pPr>
            <a:r>
              <a:rPr lang="hu-HU" sz="1398" b="0" i="0" u="none" strike="noStrike" baseline="0">
                <a:solidFill>
                  <a:srgbClr val="333333"/>
                </a:solidFill>
                <a:latin typeface="Calibri"/>
              </a:rPr>
              <a:t>Idegenforgalmi adó befizetések alapján számított vendégéjszakák száma </a:t>
            </a:r>
          </a:p>
          <a:p>
            <a:pPr>
              <a:defRPr sz="996" b="0" i="0" u="none" strike="noStrike" baseline="0">
                <a:solidFill>
                  <a:srgbClr val="000000"/>
                </a:solidFill>
                <a:latin typeface="Calibri"/>
                <a:ea typeface="Calibri"/>
                <a:cs typeface="Calibri"/>
              </a:defRPr>
            </a:pPr>
            <a:r>
              <a:rPr lang="hu-HU" sz="1398" b="0" i="0" u="none" strike="noStrike" baseline="0">
                <a:solidFill>
                  <a:srgbClr val="333333"/>
                </a:solidFill>
                <a:latin typeface="Calibri"/>
              </a:rPr>
              <a:t>2012-2016.  években</a:t>
            </a:r>
          </a:p>
        </c:rich>
      </c:tx>
      <c:overlay val="0"/>
      <c:spPr>
        <a:noFill/>
        <a:ln w="25359">
          <a:noFill/>
        </a:ln>
      </c:spPr>
    </c:title>
    <c:autoTitleDeleted val="0"/>
    <c:plotArea>
      <c:layout/>
      <c:barChart>
        <c:barDir val="col"/>
        <c:grouping val="clustered"/>
        <c:varyColors val="0"/>
        <c:ser>
          <c:idx val="0"/>
          <c:order val="0"/>
          <c:spPr>
            <a:solidFill>
              <a:srgbClr val="5B9BD5"/>
            </a:solidFill>
            <a:ln w="25359">
              <a:noFill/>
            </a:ln>
          </c:spPr>
          <c:invertIfNegative val="0"/>
          <c:cat>
            <c:numRef>
              <c:f>Munka1!$A$48:$A$52</c:f>
              <c:numCache>
                <c:formatCode>General</c:formatCode>
                <c:ptCount val="5"/>
                <c:pt idx="0">
                  <c:v>2012</c:v>
                </c:pt>
                <c:pt idx="1">
                  <c:v>2013</c:v>
                </c:pt>
                <c:pt idx="2">
                  <c:v>2014</c:v>
                </c:pt>
                <c:pt idx="3">
                  <c:v>2015</c:v>
                </c:pt>
                <c:pt idx="4">
                  <c:v>2016</c:v>
                </c:pt>
              </c:numCache>
            </c:numRef>
          </c:cat>
          <c:val>
            <c:numRef>
              <c:f>Munka1!$B$48:$B$52</c:f>
              <c:numCache>
                <c:formatCode>_-* #\ ##0\ _F_t_-;\-* #\ ##0\ _F_t_-;_-* "-"??\ _F_t_-;_-@_-</c:formatCode>
                <c:ptCount val="5"/>
                <c:pt idx="0">
                  <c:v>1081571.4285714286</c:v>
                </c:pt>
                <c:pt idx="1">
                  <c:v>1086740</c:v>
                </c:pt>
                <c:pt idx="2">
                  <c:v>1071768</c:v>
                </c:pt>
                <c:pt idx="3">
                  <c:v>1031698</c:v>
                </c:pt>
                <c:pt idx="4">
                  <c:v>1076754</c:v>
                </c:pt>
              </c:numCache>
            </c:numRef>
          </c:val>
        </c:ser>
        <c:dLbls>
          <c:showLegendKey val="0"/>
          <c:showVal val="0"/>
          <c:showCatName val="0"/>
          <c:showSerName val="0"/>
          <c:showPercent val="0"/>
          <c:showBubbleSize val="0"/>
        </c:dLbls>
        <c:gapWidth val="219"/>
        <c:overlap val="-27"/>
        <c:axId val="336417920"/>
        <c:axId val="336414000"/>
      </c:barChart>
      <c:catAx>
        <c:axId val="336417920"/>
        <c:scaling>
          <c:orientation val="minMax"/>
        </c:scaling>
        <c:delete val="0"/>
        <c:axPos val="b"/>
        <c:numFmt formatCode="General" sourceLinked="1"/>
        <c:majorTickMark val="none"/>
        <c:minorTickMark val="none"/>
        <c:tickLblPos val="nextTo"/>
        <c:spPr>
          <a:noFill/>
          <a:ln w="9509" cap="flat" cmpd="sng" algn="ctr">
            <a:solidFill>
              <a:schemeClr val="tx1">
                <a:lumMod val="15000"/>
                <a:lumOff val="85000"/>
              </a:schemeClr>
            </a:solidFill>
            <a:round/>
          </a:ln>
          <a:effectLst/>
        </c:spPr>
        <c:txPr>
          <a:bodyPr rot="0" vert="horz"/>
          <a:lstStyle/>
          <a:p>
            <a:pPr>
              <a:defRPr sz="899" b="0" i="0" u="none" strike="noStrike" baseline="0">
                <a:solidFill>
                  <a:srgbClr val="333333"/>
                </a:solidFill>
                <a:latin typeface="Calibri"/>
                <a:ea typeface="Calibri"/>
                <a:cs typeface="Calibri"/>
              </a:defRPr>
            </a:pPr>
            <a:endParaRPr lang="hu-HU"/>
          </a:p>
        </c:txPr>
        <c:crossAx val="336414000"/>
        <c:crosses val="autoZero"/>
        <c:auto val="1"/>
        <c:lblAlgn val="ctr"/>
        <c:lblOffset val="100"/>
        <c:noMultiLvlLbl val="0"/>
      </c:catAx>
      <c:valAx>
        <c:axId val="336414000"/>
        <c:scaling>
          <c:orientation val="minMax"/>
        </c:scaling>
        <c:delete val="0"/>
        <c:axPos val="l"/>
        <c:majorGridlines>
          <c:spPr>
            <a:ln w="9509" cap="flat" cmpd="sng" algn="ctr">
              <a:solidFill>
                <a:schemeClr val="tx1">
                  <a:lumMod val="15000"/>
                  <a:lumOff val="85000"/>
                </a:schemeClr>
              </a:solidFill>
              <a:round/>
            </a:ln>
            <a:effectLst/>
          </c:spPr>
        </c:majorGridlines>
        <c:numFmt formatCode="_-* #\ ##0\ _F_t_-;\-* #\ ##0\ _F_t_-;_-* &quot;-&quot;??\ _F_t_-;_-@_-" sourceLinked="1"/>
        <c:majorTickMark val="none"/>
        <c:minorTickMark val="none"/>
        <c:tickLblPos val="nextTo"/>
        <c:spPr>
          <a:ln w="6340">
            <a:noFill/>
          </a:ln>
        </c:spPr>
        <c:txPr>
          <a:bodyPr rot="0" vert="horz"/>
          <a:lstStyle/>
          <a:p>
            <a:pPr>
              <a:defRPr sz="899" b="0" i="0" u="none" strike="noStrike" baseline="0">
                <a:solidFill>
                  <a:srgbClr val="333333"/>
                </a:solidFill>
                <a:latin typeface="Calibri"/>
                <a:ea typeface="Calibri"/>
                <a:cs typeface="Calibri"/>
              </a:defRPr>
            </a:pPr>
            <a:endParaRPr lang="hu-HU"/>
          </a:p>
        </c:txPr>
        <c:crossAx val="336417920"/>
        <c:crosses val="autoZero"/>
        <c:crossBetween val="between"/>
      </c:valAx>
      <c:spPr>
        <a:noFill/>
        <a:ln w="25359">
          <a:noFill/>
        </a:ln>
      </c:spPr>
    </c:plotArea>
    <c:plotVisOnly val="1"/>
    <c:dispBlanksAs val="gap"/>
    <c:showDLblsOverMax val="0"/>
  </c:chart>
  <c:spPr>
    <a:solidFill>
      <a:schemeClr val="bg1"/>
    </a:solidFill>
    <a:ln w="9509" cap="flat" cmpd="sng" algn="ctr">
      <a:solidFill>
        <a:schemeClr val="tx1">
          <a:lumMod val="15000"/>
          <a:lumOff val="85000"/>
        </a:schemeClr>
      </a:solidFill>
      <a:round/>
    </a:ln>
    <a:effectLst/>
  </c:spPr>
  <c:txPr>
    <a:bodyPr/>
    <a:lstStyle/>
    <a:p>
      <a:pPr>
        <a:defRPr sz="998" b="0" i="0" u="none" strike="noStrike" baseline="0">
          <a:solidFill>
            <a:srgbClr val="000000"/>
          </a:solidFill>
          <a:latin typeface="Calibri"/>
          <a:ea typeface="Calibri"/>
          <a:cs typeface="Calibri"/>
        </a:defRPr>
      </a:pPr>
      <a:endParaRPr lang="hu-H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hu-H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hu-HU" sz="1200"/>
              <a:t>A 2016. évi helyi adóhátralék megoszlása felszámolás alatt lévő, illetve már nem működő gazdasági társaságok és</a:t>
            </a:r>
          </a:p>
          <a:p>
            <a:pPr>
              <a:defRPr sz="1400" b="0" i="0" u="none" strike="noStrike" kern="1200" spc="0" baseline="0">
                <a:solidFill>
                  <a:schemeClr val="tx1">
                    <a:lumMod val="65000"/>
                    <a:lumOff val="35000"/>
                  </a:schemeClr>
                </a:solidFill>
                <a:latin typeface="+mn-lt"/>
                <a:ea typeface="+mn-ea"/>
                <a:cs typeface="+mn-cs"/>
              </a:defRPr>
            </a:pPr>
            <a:r>
              <a:rPr lang="hu-HU" sz="1200"/>
              <a:t>működő</a:t>
            </a:r>
            <a:r>
              <a:rPr lang="hu-HU" sz="1200" baseline="0"/>
              <a:t> vállalkozások között</a:t>
            </a:r>
          </a:p>
        </c:rich>
      </c:tx>
      <c:layout>
        <c:manualLayout>
          <c:xMode val="edge"/>
          <c:yMode val="edge"/>
          <c:x val="0.11432053625837904"/>
          <c:y val="2.7777777777777776E-2"/>
        </c:manualLayout>
      </c:layout>
      <c:overlay val="0"/>
      <c:spPr>
        <a:noFill/>
        <a:ln w="25400">
          <a:noFill/>
        </a:ln>
      </c:spPr>
    </c:title>
    <c:autoTitleDeleted val="0"/>
    <c:view3D>
      <c:rotX val="30"/>
      <c:rotY val="57"/>
      <c:rAngAx val="0"/>
      <c:perspective val="0"/>
    </c:view3D>
    <c:floor>
      <c:thickness val="0"/>
    </c:floor>
    <c:sideWall>
      <c:thickness val="0"/>
    </c:sideWall>
    <c:backWall>
      <c:thickness val="0"/>
    </c:backWall>
    <c:plotArea>
      <c:layout/>
      <c:pie3DChart>
        <c:varyColors val="1"/>
        <c:ser>
          <c:idx val="0"/>
          <c:order val="0"/>
          <c:explosion val="43"/>
          <c:dPt>
            <c:idx val="0"/>
            <c:bubble3D val="0"/>
            <c:explosion val="0"/>
          </c:dPt>
          <c:dPt>
            <c:idx val="1"/>
            <c:bubble3D val="0"/>
            <c:explosion val="0"/>
          </c:dPt>
          <c:dLbls>
            <c:dLbl>
              <c:idx val="0"/>
              <c:tx>
                <c:rich>
                  <a:bodyPr/>
                  <a:lstStyle/>
                  <a:p>
                    <a:r>
                      <a:rPr lang="en-US"/>
                      <a:t>44%</a:t>
                    </a:r>
                  </a:p>
                </c:rich>
              </c:tx>
              <c:dLblPos val="bestFit"/>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56%</a:t>
                    </a:r>
                  </a:p>
                  <a:p>
                    <a:endParaRPr lang="en-US"/>
                  </a:p>
                </c:rich>
              </c:tx>
              <c:dLblPos val="bestFit"/>
              <c:showLegendKey val="0"/>
              <c:showVal val="1"/>
              <c:showCatName val="0"/>
              <c:showSerName val="0"/>
              <c:showPercent val="0"/>
              <c:showBubbleSize val="0"/>
              <c:extLst>
                <c:ext xmlns:c15="http://schemas.microsoft.com/office/drawing/2012/chart" uri="{CE6537A1-D6FC-4f65-9D91-7224C49458BB}"/>
              </c:extLst>
            </c:dLbl>
            <c:spPr>
              <a:noFill/>
              <a:ln>
                <a:noFill/>
              </a:ln>
              <a:effectLst/>
            </c:spPr>
            <c:dLblPos val="bestFit"/>
            <c:showLegendKey val="0"/>
            <c:showVal val="1"/>
            <c:showCatName val="0"/>
            <c:showSerName val="0"/>
            <c:showPercent val="0"/>
            <c:showBubbleSize val="0"/>
            <c:showLeaderLines val="1"/>
            <c:extLst>
              <c:ext xmlns:c15="http://schemas.microsoft.com/office/drawing/2012/chart" uri="{CE6537A1-D6FC-4f65-9D91-7224C49458BB}"/>
            </c:extLst>
          </c:dLbls>
          <c:cat>
            <c:strRef>
              <c:f>'[Microsoft Word programbeli  diagram]Munka1'!$A$3:$A$4</c:f>
              <c:strCache>
                <c:ptCount val="2"/>
                <c:pt idx="0">
                  <c:v>Felszámolás alatt lévő, illetve már nem működő gazdasági társaságok</c:v>
                </c:pt>
                <c:pt idx="1">
                  <c:v>Működő vállalkozások</c:v>
                </c:pt>
              </c:strCache>
            </c:strRef>
          </c:cat>
          <c:val>
            <c:numRef>
              <c:f>'[Microsoft Word programbeli  diagram]Munka1'!$C$3:$C$4</c:f>
              <c:numCache>
                <c:formatCode>_-* #\ ##0\ _F_t_-;\-* #\ ##0\ _F_t_-;_-* "-"??\ _F_t_-;_-@_-</c:formatCode>
                <c:ptCount val="2"/>
                <c:pt idx="0">
                  <c:v>43</c:v>
                </c:pt>
                <c:pt idx="1">
                  <c:v>57</c:v>
                </c:pt>
              </c:numCache>
            </c:numRef>
          </c:val>
        </c:ser>
        <c:dLbls>
          <c:dLblPos val="bestFit"/>
          <c:showLegendKey val="0"/>
          <c:showVal val="1"/>
          <c:showCatName val="0"/>
          <c:showSerName val="0"/>
          <c:showPercent val="0"/>
          <c:showBubbleSize val="0"/>
          <c:showLeaderLines val="1"/>
        </c:dLbls>
      </c:pie3DChart>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hu-H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hu-HU"/>
    </a:p>
  </c:txPr>
  <c:externalData r:id="rId1">
    <c:autoUpdate val="0"/>
  </c:externalData>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009FD-7D9D-44F5-922B-B57216E77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4435</Words>
  <Characters>30609</Characters>
  <Application>Microsoft Office Word</Application>
  <DocSecurity>0</DocSecurity>
  <Lines>255</Lines>
  <Paragraphs>69</Paragraphs>
  <ScaleCrop>false</ScaleCrop>
  <HeadingPairs>
    <vt:vector size="2" baseType="variant">
      <vt:variant>
        <vt:lpstr>Cím</vt:lpstr>
      </vt:variant>
      <vt:variant>
        <vt:i4>1</vt:i4>
      </vt:variant>
    </vt:vector>
  </HeadingPairs>
  <TitlesOfParts>
    <vt:vector size="1" baseType="lpstr">
      <vt:lpstr>Iktatószám: PMK/144/2011</vt:lpstr>
    </vt:vector>
  </TitlesOfParts>
  <Company/>
  <LinksUpToDate>false</LinksUpToDate>
  <CharactersWithSpaces>34975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 PMK/144/2011</dc:title>
  <dc:subject/>
  <dc:creator>T-Cont Kft</dc:creator>
  <cp:keywords/>
  <dc:description/>
  <cp:lastModifiedBy>Dr. Tüske Róbert</cp:lastModifiedBy>
  <cp:revision>5</cp:revision>
  <cp:lastPrinted>2017-03-13T14:31:00Z</cp:lastPrinted>
  <dcterms:created xsi:type="dcterms:W3CDTF">2017-03-20T19:43:00Z</dcterms:created>
  <dcterms:modified xsi:type="dcterms:W3CDTF">2017-03-20T20:04:00Z</dcterms:modified>
</cp:coreProperties>
</file>