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2A4" w:rsidRPr="00805C59" w:rsidRDefault="00BD4BD3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5C59">
        <w:rPr>
          <w:rFonts w:ascii="Arial" w:hAnsi="Arial" w:cs="Arial"/>
          <w:sz w:val="24"/>
          <w:szCs w:val="24"/>
        </w:rPr>
        <w:t xml:space="preserve">Iktatószám: </w:t>
      </w:r>
      <w:r w:rsidR="008111B2" w:rsidRPr="00805C59">
        <w:rPr>
          <w:rFonts w:ascii="Arial" w:hAnsi="Arial" w:cs="Arial"/>
          <w:sz w:val="24"/>
          <w:szCs w:val="24"/>
        </w:rPr>
        <w:t>H</w:t>
      </w:r>
      <w:r w:rsidR="001078F9" w:rsidRPr="00805C59">
        <w:rPr>
          <w:rFonts w:ascii="Arial" w:hAnsi="Arial" w:cs="Arial"/>
          <w:sz w:val="24"/>
          <w:szCs w:val="24"/>
        </w:rPr>
        <w:t>IV</w:t>
      </w:r>
      <w:r w:rsidR="008111B2" w:rsidRPr="00805C59">
        <w:rPr>
          <w:rFonts w:ascii="Arial" w:hAnsi="Arial" w:cs="Arial"/>
          <w:sz w:val="24"/>
          <w:szCs w:val="24"/>
        </w:rPr>
        <w:t>/</w:t>
      </w:r>
      <w:r w:rsidR="00B91ADF">
        <w:rPr>
          <w:rFonts w:ascii="Arial" w:hAnsi="Arial" w:cs="Arial"/>
          <w:sz w:val="24"/>
          <w:szCs w:val="24"/>
        </w:rPr>
        <w:t>4088-1</w:t>
      </w:r>
      <w:r w:rsidR="0079094F">
        <w:rPr>
          <w:rFonts w:ascii="Arial" w:hAnsi="Arial" w:cs="Arial"/>
          <w:sz w:val="24"/>
          <w:szCs w:val="24"/>
        </w:rPr>
        <w:t>/202</w:t>
      </w:r>
      <w:r w:rsidR="00D46377">
        <w:rPr>
          <w:rFonts w:ascii="Arial" w:hAnsi="Arial" w:cs="Arial"/>
          <w:sz w:val="24"/>
          <w:szCs w:val="24"/>
        </w:rPr>
        <w:t>4</w:t>
      </w:r>
      <w:r w:rsidR="00FA33D8" w:rsidRPr="00805C59">
        <w:rPr>
          <w:rFonts w:ascii="Arial" w:hAnsi="Arial" w:cs="Arial"/>
          <w:sz w:val="24"/>
          <w:szCs w:val="24"/>
        </w:rPr>
        <w:t>.</w:t>
      </w:r>
    </w:p>
    <w:p w:rsidR="00E012A4" w:rsidRDefault="00E012A4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12A4" w:rsidRDefault="00361BE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361BEF" w:rsidRDefault="00361BEF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61BEF" w:rsidRDefault="00361BEF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4737" w:rsidRPr="00E012A4" w:rsidRDefault="00F74737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1F2" w:rsidRPr="002D4BC8" w:rsidRDefault="00A101F2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2D4BC8" w:rsidRDefault="00A101F2" w:rsidP="00B506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01F2" w:rsidRPr="002D4BC8" w:rsidRDefault="00A628A2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="00AC481D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A101F2" w:rsidRPr="00B12CDF" w:rsidRDefault="00D46377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2024. március 2</w:t>
      </w:r>
      <w:r w:rsidR="008C1200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-</w:t>
      </w:r>
      <w:r w:rsidR="008C1200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i</w:t>
      </w:r>
      <w:r w:rsidR="001C11DC">
        <w:rPr>
          <w:rFonts w:ascii="Arial" w:hAnsi="Arial" w:cs="Arial"/>
          <w:b/>
          <w:sz w:val="24"/>
          <w:szCs w:val="24"/>
        </w:rPr>
        <w:t xml:space="preserve"> </w:t>
      </w:r>
      <w:r w:rsidR="008C1200">
        <w:rPr>
          <w:rFonts w:ascii="Arial" w:hAnsi="Arial" w:cs="Arial"/>
          <w:b/>
          <w:sz w:val="24"/>
          <w:szCs w:val="24"/>
        </w:rPr>
        <w:t>n</w:t>
      </w:r>
      <w:r w:rsidR="00554343" w:rsidRPr="0042251B">
        <w:rPr>
          <w:rFonts w:ascii="Arial" w:hAnsi="Arial" w:cs="Arial"/>
          <w:b/>
          <w:sz w:val="24"/>
          <w:szCs w:val="24"/>
        </w:rPr>
        <w:t>yilvános</w:t>
      </w:r>
      <w:r w:rsidR="00AC0513">
        <w:rPr>
          <w:rFonts w:ascii="Arial" w:hAnsi="Arial" w:cs="Arial"/>
          <w:b/>
          <w:sz w:val="24"/>
          <w:szCs w:val="24"/>
        </w:rPr>
        <w:t xml:space="preserve"> </w:t>
      </w:r>
      <w:r w:rsidR="00A101F2" w:rsidRPr="00B12CDF">
        <w:rPr>
          <w:rFonts w:ascii="Arial" w:hAnsi="Arial" w:cs="Arial"/>
          <w:b/>
          <w:sz w:val="24"/>
          <w:szCs w:val="24"/>
        </w:rPr>
        <w:t>ülésére</w:t>
      </w:r>
    </w:p>
    <w:p w:rsidR="00A101F2" w:rsidRPr="002D4BC8" w:rsidRDefault="00A101F2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Default="00A101F2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27CE7" w:rsidRDefault="00227CE7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27CE7" w:rsidRPr="002D4BC8" w:rsidRDefault="00227CE7" w:rsidP="00BD4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27CE7" w:rsidRPr="00ED3DFE" w:rsidRDefault="00A101F2" w:rsidP="00867227">
      <w:pPr>
        <w:spacing w:after="0" w:line="300" w:lineRule="exact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D3DFE">
        <w:rPr>
          <w:rFonts w:ascii="Arial" w:hAnsi="Arial" w:cs="Arial"/>
          <w:b/>
          <w:sz w:val="24"/>
          <w:szCs w:val="24"/>
        </w:rPr>
        <w:t xml:space="preserve">Tárgy: </w:t>
      </w:r>
      <w:r w:rsidR="001D34E7" w:rsidRPr="00ED3DFE">
        <w:rPr>
          <w:rFonts w:ascii="Arial" w:hAnsi="Arial" w:cs="Arial"/>
          <w:b/>
          <w:sz w:val="24"/>
          <w:szCs w:val="24"/>
        </w:rPr>
        <w:tab/>
      </w:r>
      <w:r w:rsidR="008135AC">
        <w:rPr>
          <w:rFonts w:ascii="Arial" w:hAnsi="Arial" w:cs="Arial"/>
          <w:sz w:val="24"/>
          <w:szCs w:val="24"/>
        </w:rPr>
        <w:t xml:space="preserve">Beszámoló a </w:t>
      </w:r>
      <w:r w:rsidR="00971838">
        <w:rPr>
          <w:rFonts w:ascii="Arial" w:hAnsi="Arial" w:cs="Arial"/>
          <w:sz w:val="24"/>
          <w:szCs w:val="24"/>
        </w:rPr>
        <w:t>20</w:t>
      </w:r>
      <w:r w:rsidR="005349E2">
        <w:rPr>
          <w:rFonts w:ascii="Arial" w:hAnsi="Arial" w:cs="Arial"/>
          <w:sz w:val="24"/>
          <w:szCs w:val="24"/>
        </w:rPr>
        <w:t>2</w:t>
      </w:r>
      <w:r w:rsidR="00D46377">
        <w:rPr>
          <w:rFonts w:ascii="Arial" w:hAnsi="Arial" w:cs="Arial"/>
          <w:sz w:val="24"/>
          <w:szCs w:val="24"/>
        </w:rPr>
        <w:t>3</w:t>
      </w:r>
      <w:r w:rsidR="008135AC">
        <w:rPr>
          <w:rFonts w:ascii="Arial" w:hAnsi="Arial" w:cs="Arial"/>
          <w:sz w:val="24"/>
          <w:szCs w:val="24"/>
        </w:rPr>
        <w:t>. évi adóigazgatási tevékenység</w:t>
      </w:r>
      <w:r w:rsidR="00697BEB">
        <w:rPr>
          <w:rFonts w:ascii="Arial" w:hAnsi="Arial" w:cs="Arial"/>
          <w:sz w:val="24"/>
          <w:szCs w:val="24"/>
        </w:rPr>
        <w:t xml:space="preserve">ről </w:t>
      </w:r>
    </w:p>
    <w:p w:rsidR="00A101F2" w:rsidRDefault="00A101F2" w:rsidP="00867227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</w:p>
    <w:p w:rsidR="00A101F2" w:rsidRPr="002D4BC8" w:rsidRDefault="00A101F2" w:rsidP="00867227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 w:rsidR="00227CE7">
        <w:rPr>
          <w:rFonts w:ascii="Arial" w:hAnsi="Arial" w:cs="Arial"/>
          <w:sz w:val="24"/>
          <w:szCs w:val="24"/>
        </w:rPr>
        <w:tab/>
      </w:r>
      <w:r w:rsidR="003D5C9B">
        <w:rPr>
          <w:rFonts w:ascii="Arial" w:hAnsi="Arial" w:cs="Arial"/>
          <w:sz w:val="24"/>
          <w:szCs w:val="24"/>
        </w:rPr>
        <w:t>d</w:t>
      </w:r>
      <w:r w:rsidR="002F7754">
        <w:rPr>
          <w:rFonts w:ascii="Arial" w:hAnsi="Arial" w:cs="Arial"/>
          <w:sz w:val="24"/>
          <w:szCs w:val="24"/>
        </w:rPr>
        <w:t>r. Tüske Róbert jegyző</w:t>
      </w:r>
    </w:p>
    <w:p w:rsidR="00BD4BD3" w:rsidRPr="002D4BC8" w:rsidRDefault="00BD4BD3" w:rsidP="00867227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</w:p>
    <w:p w:rsidR="00B51EE9" w:rsidRDefault="00A101F2" w:rsidP="00867227">
      <w:pPr>
        <w:autoSpaceDE w:val="0"/>
        <w:autoSpaceDN w:val="0"/>
        <w:adjustRightInd w:val="0"/>
        <w:spacing w:after="0" w:line="300" w:lineRule="exact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 w:rsidR="00BD4BD3">
        <w:rPr>
          <w:rFonts w:ascii="Arial" w:hAnsi="Arial" w:cs="Arial"/>
          <w:sz w:val="24"/>
          <w:szCs w:val="24"/>
        </w:rPr>
        <w:tab/>
      </w:r>
      <w:proofErr w:type="gramEnd"/>
      <w:r w:rsidR="00980F8A">
        <w:rPr>
          <w:rFonts w:ascii="Arial" w:hAnsi="Arial" w:cs="Arial"/>
          <w:sz w:val="24"/>
          <w:szCs w:val="24"/>
        </w:rPr>
        <w:t>Bertalanné dr. Gallé Vera</w:t>
      </w:r>
      <w:r w:rsidR="00C91785">
        <w:rPr>
          <w:rFonts w:ascii="Arial" w:hAnsi="Arial" w:cs="Arial"/>
          <w:sz w:val="24"/>
          <w:szCs w:val="24"/>
        </w:rPr>
        <w:t xml:space="preserve"> </w:t>
      </w:r>
      <w:r w:rsidR="00A66B99">
        <w:rPr>
          <w:rFonts w:ascii="Arial" w:hAnsi="Arial" w:cs="Arial"/>
          <w:sz w:val="24"/>
          <w:szCs w:val="24"/>
        </w:rPr>
        <w:t xml:space="preserve">hatósági </w:t>
      </w:r>
      <w:r w:rsidR="00C91785">
        <w:rPr>
          <w:rFonts w:ascii="Arial" w:hAnsi="Arial" w:cs="Arial"/>
          <w:sz w:val="24"/>
          <w:szCs w:val="24"/>
        </w:rPr>
        <w:t>osztályvezető</w:t>
      </w:r>
    </w:p>
    <w:p w:rsidR="00A66B99" w:rsidRDefault="00A66B99" w:rsidP="00867227">
      <w:pPr>
        <w:tabs>
          <w:tab w:val="left" w:pos="2145"/>
        </w:tabs>
        <w:autoSpaceDE w:val="0"/>
        <w:autoSpaceDN w:val="0"/>
        <w:adjustRightInd w:val="0"/>
        <w:spacing w:after="0" w:line="300" w:lineRule="exac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Pángerné Toplak Éva idegenforgalmi adóügyintéző</w:t>
      </w:r>
    </w:p>
    <w:p w:rsidR="00A66B99" w:rsidRPr="00416625" w:rsidRDefault="00A66B99" w:rsidP="00867227">
      <w:pPr>
        <w:autoSpaceDE w:val="0"/>
        <w:autoSpaceDN w:val="0"/>
        <w:adjustRightInd w:val="0"/>
        <w:spacing w:after="0" w:line="300" w:lineRule="exact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Németh Hajnalka </w:t>
      </w:r>
      <w:r w:rsidR="001B1145">
        <w:rPr>
          <w:rFonts w:ascii="Arial" w:hAnsi="Arial" w:cs="Arial"/>
          <w:sz w:val="24"/>
          <w:szCs w:val="24"/>
        </w:rPr>
        <w:t>iparűzési adó ügyintéző</w:t>
      </w:r>
    </w:p>
    <w:p w:rsidR="00BD4BD3" w:rsidRPr="00F24C05" w:rsidRDefault="001C11DC" w:rsidP="001C11DC">
      <w:pPr>
        <w:tabs>
          <w:tab w:val="left" w:pos="2220"/>
        </w:tabs>
        <w:autoSpaceDE w:val="0"/>
        <w:autoSpaceDN w:val="0"/>
        <w:adjustRightInd w:val="0"/>
        <w:spacing w:after="0" w:line="300" w:lineRule="exac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Strausz Nikolett </w:t>
      </w:r>
      <w:r w:rsidR="00D46377">
        <w:rPr>
          <w:rFonts w:ascii="Arial" w:hAnsi="Arial" w:cs="Arial"/>
          <w:sz w:val="24"/>
          <w:szCs w:val="24"/>
        </w:rPr>
        <w:t xml:space="preserve">adóügyi </w:t>
      </w:r>
      <w:r>
        <w:rPr>
          <w:rFonts w:ascii="Arial" w:hAnsi="Arial" w:cs="Arial"/>
          <w:sz w:val="24"/>
          <w:szCs w:val="24"/>
        </w:rPr>
        <w:t>ügyintéző</w:t>
      </w:r>
    </w:p>
    <w:p w:rsidR="00A101F2" w:rsidRPr="00F24C05" w:rsidRDefault="008415CA" w:rsidP="00867227">
      <w:pPr>
        <w:autoSpaceDE w:val="0"/>
        <w:autoSpaceDN w:val="0"/>
        <w:adjustRightInd w:val="0"/>
        <w:spacing w:after="0" w:line="300" w:lineRule="exact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sz w:val="24"/>
          <w:szCs w:val="24"/>
        </w:rPr>
        <w:tab/>
      </w:r>
    </w:p>
    <w:p w:rsidR="004D4D8B" w:rsidRPr="00F24C05" w:rsidRDefault="00A101F2" w:rsidP="00867227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b/>
          <w:sz w:val="24"/>
          <w:szCs w:val="24"/>
        </w:rPr>
        <w:t>Megtárgyalta:</w:t>
      </w:r>
      <w:r w:rsidRPr="00F24C05">
        <w:rPr>
          <w:rFonts w:ascii="Arial" w:hAnsi="Arial" w:cs="Arial"/>
          <w:sz w:val="24"/>
          <w:szCs w:val="24"/>
        </w:rPr>
        <w:t xml:space="preserve"> </w:t>
      </w:r>
      <w:r w:rsidR="00520498" w:rsidRPr="00F24C05">
        <w:rPr>
          <w:rFonts w:ascii="Arial" w:hAnsi="Arial" w:cs="Arial"/>
          <w:sz w:val="24"/>
          <w:szCs w:val="24"/>
        </w:rPr>
        <w:tab/>
      </w:r>
      <w:r w:rsidR="00B51EE9" w:rsidRPr="00F24C05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AD759D" w:rsidRPr="00F24C05" w:rsidRDefault="00AD759D" w:rsidP="00867227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sz w:val="24"/>
          <w:szCs w:val="24"/>
        </w:rPr>
        <w:tab/>
      </w:r>
      <w:r w:rsidRPr="00F24C05">
        <w:rPr>
          <w:rFonts w:ascii="Arial" w:hAnsi="Arial" w:cs="Arial"/>
          <w:sz w:val="24"/>
          <w:szCs w:val="24"/>
        </w:rPr>
        <w:tab/>
      </w:r>
    </w:p>
    <w:p w:rsidR="0020008B" w:rsidRPr="00F24C05" w:rsidRDefault="0020008B" w:rsidP="00867227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4"/>
          <w:szCs w:val="24"/>
        </w:rPr>
      </w:pPr>
    </w:p>
    <w:p w:rsidR="00A101F2" w:rsidRPr="00F24C05" w:rsidRDefault="00A101F2" w:rsidP="0020008B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b/>
          <w:sz w:val="24"/>
          <w:szCs w:val="24"/>
        </w:rPr>
        <w:t>Törvényességi szempontból ellenőrizte:</w:t>
      </w:r>
      <w:r w:rsidR="00227CE7" w:rsidRPr="00F24C05">
        <w:rPr>
          <w:rFonts w:ascii="Arial" w:hAnsi="Arial" w:cs="Arial"/>
          <w:b/>
          <w:sz w:val="24"/>
          <w:szCs w:val="24"/>
        </w:rPr>
        <w:t xml:space="preserve"> </w:t>
      </w:r>
      <w:r w:rsidR="003D5C9B" w:rsidRPr="00F24C05">
        <w:rPr>
          <w:rFonts w:ascii="Arial" w:hAnsi="Arial" w:cs="Arial"/>
          <w:sz w:val="24"/>
          <w:szCs w:val="24"/>
        </w:rPr>
        <w:t>d</w:t>
      </w:r>
      <w:r w:rsidR="00227CE7" w:rsidRPr="00F24C05">
        <w:rPr>
          <w:rFonts w:ascii="Arial" w:hAnsi="Arial" w:cs="Arial"/>
          <w:sz w:val="24"/>
          <w:szCs w:val="24"/>
        </w:rPr>
        <w:t>r. Tüske Róbert jegyző</w:t>
      </w:r>
    </w:p>
    <w:p w:rsidR="00A101F2" w:rsidRPr="00F24C05" w:rsidRDefault="00A101F2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01F2" w:rsidRPr="00F24C05" w:rsidRDefault="00A101F2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4BD3" w:rsidRPr="00F24C05" w:rsidRDefault="00BD4BD3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01F2" w:rsidRPr="00F24C05" w:rsidRDefault="00A101F2" w:rsidP="00BD4B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24C05">
        <w:rPr>
          <w:rFonts w:ascii="Arial" w:hAnsi="Arial" w:cs="Arial"/>
          <w:b/>
          <w:sz w:val="24"/>
          <w:szCs w:val="24"/>
        </w:rPr>
        <w:tab/>
      </w:r>
      <w:r w:rsidRPr="00F24C05">
        <w:rPr>
          <w:rFonts w:ascii="Arial" w:hAnsi="Arial" w:cs="Arial"/>
          <w:b/>
          <w:sz w:val="24"/>
          <w:szCs w:val="24"/>
        </w:rPr>
        <w:tab/>
      </w:r>
    </w:p>
    <w:p w:rsidR="000174EF" w:rsidRPr="00F24C05" w:rsidRDefault="00361BEF" w:rsidP="00BB7DB2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sz w:val="24"/>
          <w:szCs w:val="24"/>
        </w:rPr>
        <w:tab/>
      </w:r>
      <w:r w:rsidR="003D5C9B" w:rsidRPr="00F24C05">
        <w:rPr>
          <w:rFonts w:ascii="Arial" w:hAnsi="Arial" w:cs="Arial"/>
          <w:sz w:val="24"/>
          <w:szCs w:val="24"/>
        </w:rPr>
        <w:t>d</w:t>
      </w:r>
      <w:r w:rsidR="00BB7DB2" w:rsidRPr="00F24C05">
        <w:rPr>
          <w:rFonts w:ascii="Arial" w:hAnsi="Arial" w:cs="Arial"/>
          <w:sz w:val="24"/>
          <w:szCs w:val="24"/>
        </w:rPr>
        <w:t>r. Tüske Róbert</w:t>
      </w:r>
    </w:p>
    <w:p w:rsidR="00E90B4A" w:rsidRPr="00F24C05" w:rsidRDefault="00BB7DB2" w:rsidP="00BB7DB2">
      <w:pPr>
        <w:tabs>
          <w:tab w:val="left" w:pos="730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sz w:val="24"/>
          <w:szCs w:val="24"/>
        </w:rPr>
        <w:tab/>
        <w:t xml:space="preserve"> </w:t>
      </w:r>
      <w:r w:rsidR="00D17D48" w:rsidRPr="00F24C05">
        <w:rPr>
          <w:rFonts w:ascii="Arial" w:hAnsi="Arial" w:cs="Arial"/>
          <w:sz w:val="24"/>
          <w:szCs w:val="24"/>
        </w:rPr>
        <w:t xml:space="preserve"> </w:t>
      </w:r>
      <w:r w:rsidRPr="00F24C05">
        <w:rPr>
          <w:rFonts w:ascii="Arial" w:hAnsi="Arial" w:cs="Arial"/>
          <w:sz w:val="24"/>
          <w:szCs w:val="24"/>
        </w:rPr>
        <w:t>jegyző</w:t>
      </w:r>
    </w:p>
    <w:p w:rsidR="00B12CDF" w:rsidRDefault="00B12CDF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44E5" w:rsidRDefault="00F944E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44E5" w:rsidRDefault="00F944E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44E5" w:rsidRDefault="00F944E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44E5" w:rsidRDefault="00F944E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44E5" w:rsidRDefault="00F944E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44E5" w:rsidRDefault="00F944E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44E5" w:rsidRDefault="00F944E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44E5" w:rsidRDefault="00F944E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44E5" w:rsidRDefault="00F944E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44E5" w:rsidRDefault="00F944E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44E5" w:rsidRPr="00F24C05" w:rsidRDefault="00F944E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74EF" w:rsidRPr="00F24C05" w:rsidRDefault="00AC481D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4C05">
        <w:rPr>
          <w:rFonts w:ascii="Arial" w:hAnsi="Arial" w:cs="Arial"/>
          <w:b/>
          <w:sz w:val="24"/>
          <w:szCs w:val="24"/>
        </w:rPr>
        <w:t>1</w:t>
      </w:r>
      <w:r w:rsidR="00E90B4A" w:rsidRPr="00F24C05">
        <w:rPr>
          <w:rFonts w:ascii="Arial" w:hAnsi="Arial" w:cs="Arial"/>
          <w:b/>
          <w:sz w:val="24"/>
          <w:szCs w:val="24"/>
        </w:rPr>
        <w:t>.</w:t>
      </w:r>
    </w:p>
    <w:p w:rsidR="00E90B4A" w:rsidRPr="00F24C05" w:rsidRDefault="00E90B4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90B4A" w:rsidRPr="00F24C05" w:rsidRDefault="00E90B4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4C05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6E395B" w:rsidRPr="00524660" w:rsidRDefault="006E395B" w:rsidP="006E395B">
      <w:pPr>
        <w:spacing w:after="0" w:line="240" w:lineRule="auto"/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6E395B" w:rsidRPr="00524660" w:rsidRDefault="006E395B" w:rsidP="006E395B">
      <w:pPr>
        <w:spacing w:after="0" w:line="240" w:lineRule="auto"/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6E395B" w:rsidRPr="003D2BFD" w:rsidRDefault="006E395B" w:rsidP="006E395B">
      <w:pPr>
        <w:spacing w:after="0" w:line="240" w:lineRule="auto"/>
        <w:jc w:val="both"/>
        <w:rPr>
          <w:rFonts w:ascii="Arial" w:hAnsi="Arial" w:cs="Arial"/>
          <w:b/>
        </w:rPr>
      </w:pPr>
      <w:r w:rsidRPr="003D2BFD">
        <w:rPr>
          <w:rFonts w:ascii="Arial" w:hAnsi="Arial" w:cs="Arial"/>
          <w:b/>
        </w:rPr>
        <w:t>Tisztelt Képviselő-testület!</w:t>
      </w:r>
    </w:p>
    <w:p w:rsidR="005A4B5C" w:rsidRPr="003D2BFD" w:rsidRDefault="005A4B5C" w:rsidP="006E395B">
      <w:pPr>
        <w:spacing w:after="0" w:line="240" w:lineRule="auto"/>
        <w:jc w:val="both"/>
        <w:rPr>
          <w:rFonts w:ascii="Arial" w:hAnsi="Arial" w:cs="Arial"/>
          <w:b/>
        </w:rPr>
      </w:pPr>
    </w:p>
    <w:p w:rsidR="00040599" w:rsidRPr="003D2BFD" w:rsidRDefault="00040599" w:rsidP="00040599">
      <w:pPr>
        <w:spacing w:after="0" w:line="240" w:lineRule="auto"/>
        <w:jc w:val="both"/>
        <w:rPr>
          <w:rFonts w:ascii="Arial" w:hAnsi="Arial" w:cs="Arial"/>
          <w:b/>
        </w:rPr>
      </w:pPr>
    </w:p>
    <w:p w:rsidR="00040599" w:rsidRPr="003D2BFD" w:rsidRDefault="00040599" w:rsidP="0006724C">
      <w:pPr>
        <w:contextualSpacing/>
        <w:jc w:val="both"/>
        <w:rPr>
          <w:rFonts w:ascii="Arial" w:hAnsi="Arial" w:cs="Arial"/>
          <w:szCs w:val="24"/>
        </w:rPr>
      </w:pPr>
      <w:r w:rsidRPr="003D2BFD">
        <w:rPr>
          <w:rFonts w:ascii="Arial" w:hAnsi="Arial" w:cs="Arial"/>
        </w:rPr>
        <w:t xml:space="preserve">A helyi önkormányzatok és szerveik, a köztársasági megbízottak, valamint egyes centrális alárendeltségű szervek feladat- és hatásköreiről szóló 1991. évi XX. törvény 138. § (3) bekezdésének </w:t>
      </w:r>
      <w:r w:rsidRPr="003D2BFD">
        <w:rPr>
          <w:rFonts w:ascii="Arial" w:hAnsi="Arial" w:cs="Arial"/>
          <w:i/>
        </w:rPr>
        <w:t>g)</w:t>
      </w:r>
      <w:r w:rsidRPr="003D2BFD">
        <w:rPr>
          <w:rFonts w:ascii="Arial" w:hAnsi="Arial" w:cs="Arial"/>
        </w:rPr>
        <w:t xml:space="preserve"> pontja szerint a Képviselő-testület a jegyző beszámoltatása útján ellenőrzi az adóztatást, a </w:t>
      </w:r>
      <w:r w:rsidRPr="003D2BFD">
        <w:rPr>
          <w:rFonts w:ascii="Arial" w:hAnsi="Arial" w:cs="Arial"/>
          <w:i/>
        </w:rPr>
        <w:t>h)</w:t>
      </w:r>
      <w:r w:rsidRPr="003D2BFD">
        <w:rPr>
          <w:rFonts w:ascii="Arial" w:hAnsi="Arial" w:cs="Arial"/>
        </w:rPr>
        <w:t xml:space="preserve"> pontja alapján tájékoztatja a lakosságot a helyi adókból származó bevételek összegéről. </w:t>
      </w:r>
      <w:r w:rsidRPr="003D2BFD">
        <w:rPr>
          <w:rFonts w:ascii="Arial" w:hAnsi="Arial" w:cs="Arial"/>
          <w:szCs w:val="24"/>
        </w:rPr>
        <w:t xml:space="preserve">A jogszabályi előírásoknak eleget téve </w:t>
      </w:r>
      <w:r w:rsidR="008C37C3" w:rsidRPr="003D2BFD">
        <w:rPr>
          <w:rFonts w:ascii="Arial" w:hAnsi="Arial" w:cs="Arial"/>
          <w:szCs w:val="24"/>
        </w:rPr>
        <w:t>minden év</w:t>
      </w:r>
      <w:r w:rsidR="006B1AF1" w:rsidRPr="003D2BFD">
        <w:rPr>
          <w:rFonts w:ascii="Arial" w:hAnsi="Arial" w:cs="Arial"/>
          <w:szCs w:val="24"/>
        </w:rPr>
        <w:t>ben</w:t>
      </w:r>
      <w:r w:rsidR="008C37C3" w:rsidRPr="003D2BFD">
        <w:rPr>
          <w:rFonts w:ascii="Arial" w:hAnsi="Arial" w:cs="Arial"/>
          <w:szCs w:val="24"/>
        </w:rPr>
        <w:t xml:space="preserve"> tájékoztatjuk a </w:t>
      </w:r>
      <w:r w:rsidRPr="003D2BFD">
        <w:rPr>
          <w:rFonts w:ascii="Arial" w:hAnsi="Arial" w:cs="Arial"/>
          <w:szCs w:val="24"/>
        </w:rPr>
        <w:t xml:space="preserve">Tisztelt Képviselő-testületet </w:t>
      </w:r>
      <w:r w:rsidR="008C37C3" w:rsidRPr="003D2BFD">
        <w:rPr>
          <w:rFonts w:ascii="Arial" w:hAnsi="Arial" w:cs="Arial"/>
          <w:szCs w:val="24"/>
        </w:rPr>
        <w:t xml:space="preserve">az előző </w:t>
      </w:r>
      <w:r w:rsidRPr="003D2BFD">
        <w:rPr>
          <w:rFonts w:ascii="Arial" w:hAnsi="Arial" w:cs="Arial"/>
          <w:szCs w:val="24"/>
        </w:rPr>
        <w:t>évi adóztatási tevékenységről</w:t>
      </w:r>
      <w:r w:rsidR="008E0D56" w:rsidRPr="003D2BFD">
        <w:rPr>
          <w:rFonts w:ascii="Arial" w:hAnsi="Arial" w:cs="Arial"/>
          <w:szCs w:val="24"/>
        </w:rPr>
        <w:t xml:space="preserve"> és az adóhatóság munkájáról.</w:t>
      </w:r>
    </w:p>
    <w:p w:rsidR="003D2BFD" w:rsidRPr="00980F8A" w:rsidRDefault="003D2BFD" w:rsidP="0006724C">
      <w:pPr>
        <w:contextualSpacing/>
        <w:jc w:val="both"/>
        <w:rPr>
          <w:rFonts w:ascii="Arial" w:hAnsi="Arial" w:cs="Arial"/>
          <w:color w:val="FF0000"/>
          <w:szCs w:val="24"/>
        </w:rPr>
      </w:pPr>
    </w:p>
    <w:p w:rsidR="00040599" w:rsidRPr="003D2BFD" w:rsidRDefault="00040599" w:rsidP="0006724C">
      <w:pPr>
        <w:contextualSpacing/>
        <w:jc w:val="both"/>
        <w:rPr>
          <w:rFonts w:ascii="Arial" w:hAnsi="Arial" w:cs="Arial"/>
        </w:rPr>
      </w:pPr>
      <w:r w:rsidRPr="003D2BFD">
        <w:rPr>
          <w:rFonts w:ascii="Arial" w:hAnsi="Arial" w:cs="Arial"/>
        </w:rPr>
        <w:t>Az adóztatás keretét az Alaptörvény</w:t>
      </w:r>
      <w:r w:rsidR="00483E9E" w:rsidRPr="003D2BFD">
        <w:rPr>
          <w:rFonts w:ascii="Arial" w:hAnsi="Arial" w:cs="Arial"/>
        </w:rPr>
        <w:t>,</w:t>
      </w:r>
      <w:r w:rsidRPr="003D2BFD">
        <w:rPr>
          <w:rFonts w:ascii="Arial" w:hAnsi="Arial" w:cs="Arial"/>
        </w:rPr>
        <w:t xml:space="preserve"> illetve annak felhatalmazása alapján a helyi adókról szóló 1990. évi C. törvény (a továbbiakban: </w:t>
      </w:r>
      <w:proofErr w:type="spellStart"/>
      <w:r w:rsidRPr="003D2BFD">
        <w:rPr>
          <w:rFonts w:ascii="Arial" w:hAnsi="Arial" w:cs="Arial"/>
        </w:rPr>
        <w:t>Htv</w:t>
      </w:r>
      <w:proofErr w:type="spellEnd"/>
      <w:r w:rsidRPr="003D2BFD">
        <w:rPr>
          <w:rFonts w:ascii="Arial" w:hAnsi="Arial" w:cs="Arial"/>
        </w:rPr>
        <w:t xml:space="preserve">.), míg a tényleges adókötelezettséget a </w:t>
      </w:r>
      <w:proofErr w:type="spellStart"/>
      <w:r w:rsidRPr="003D2BFD">
        <w:rPr>
          <w:rFonts w:ascii="Arial" w:hAnsi="Arial" w:cs="Arial"/>
        </w:rPr>
        <w:t>Htv</w:t>
      </w:r>
      <w:proofErr w:type="spellEnd"/>
      <w:r w:rsidRPr="003D2BFD">
        <w:rPr>
          <w:rFonts w:ascii="Arial" w:hAnsi="Arial" w:cs="Arial"/>
        </w:rPr>
        <w:t>. felhatalmazása alapján megalkotott helyi rendeletek határozzák meg.</w:t>
      </w:r>
      <w:r w:rsidR="00B46BC7" w:rsidRPr="003D2BFD">
        <w:rPr>
          <w:rFonts w:ascii="Arial" w:hAnsi="Arial" w:cs="Arial"/>
        </w:rPr>
        <w:t xml:space="preserve"> Az önkormányzat a vállalkozások és magánszemélyek teherviselő képességét mérlegelve, az adó mértékét a helyi sajátosságokhoz az önkormányzat gazdálkodási k</w:t>
      </w:r>
      <w:r w:rsidR="00B0566D" w:rsidRPr="003D2BFD">
        <w:rPr>
          <w:rFonts w:ascii="Arial" w:hAnsi="Arial" w:cs="Arial"/>
        </w:rPr>
        <w:t>öve</w:t>
      </w:r>
      <w:r w:rsidR="00B46BC7" w:rsidRPr="003D2BFD">
        <w:rPr>
          <w:rFonts w:ascii="Arial" w:hAnsi="Arial" w:cs="Arial"/>
        </w:rPr>
        <w:t>telmé</w:t>
      </w:r>
      <w:r w:rsidR="00B0566D" w:rsidRPr="003D2BFD">
        <w:rPr>
          <w:rFonts w:ascii="Arial" w:hAnsi="Arial" w:cs="Arial"/>
        </w:rPr>
        <w:t>n</w:t>
      </w:r>
      <w:r w:rsidR="00B46BC7" w:rsidRPr="003D2BFD">
        <w:rPr>
          <w:rFonts w:ascii="Arial" w:hAnsi="Arial" w:cs="Arial"/>
        </w:rPr>
        <w:t>yeihez és az adóalanyok teherviselő képességéhez viszonyítva állapítja meg.</w:t>
      </w:r>
    </w:p>
    <w:p w:rsidR="008C37C3" w:rsidRPr="00980F8A" w:rsidRDefault="008C37C3" w:rsidP="0006724C">
      <w:pPr>
        <w:contextualSpacing/>
        <w:jc w:val="both"/>
        <w:rPr>
          <w:rFonts w:ascii="Arial" w:hAnsi="Arial" w:cs="Arial"/>
          <w:color w:val="FF0000"/>
        </w:rPr>
      </w:pPr>
    </w:p>
    <w:p w:rsidR="00EA1CE6" w:rsidRPr="003D2BFD" w:rsidRDefault="00D46377" w:rsidP="0006724C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Önkormányzata Képviselőt testületének a</w:t>
      </w:r>
      <w:r w:rsidR="007874CC" w:rsidRPr="003D2BFD">
        <w:rPr>
          <w:rFonts w:ascii="Arial" w:hAnsi="Arial" w:cs="Arial"/>
        </w:rPr>
        <w:t xml:space="preserve"> </w:t>
      </w:r>
      <w:r w:rsidR="00040599" w:rsidRPr="003D2BFD">
        <w:rPr>
          <w:rFonts w:ascii="Arial" w:hAnsi="Arial" w:cs="Arial"/>
        </w:rPr>
        <w:t xml:space="preserve">helyi adókról </w:t>
      </w:r>
      <w:r w:rsidRPr="003D2BFD">
        <w:rPr>
          <w:rFonts w:ascii="Arial" w:hAnsi="Arial" w:cs="Arial"/>
        </w:rPr>
        <w:t>szóló 4</w:t>
      </w:r>
      <w:r w:rsidR="00F30012" w:rsidRPr="003D2BFD">
        <w:rPr>
          <w:rFonts w:ascii="Arial" w:hAnsi="Arial" w:cs="Arial"/>
        </w:rPr>
        <w:t>/2010. (II.10.)</w:t>
      </w:r>
      <w:r>
        <w:rPr>
          <w:rFonts w:ascii="Arial" w:hAnsi="Arial" w:cs="Arial"/>
        </w:rPr>
        <w:t xml:space="preserve"> önkormányzati rendelete</w:t>
      </w:r>
      <w:r w:rsidR="00F30012" w:rsidRPr="003D2BFD">
        <w:rPr>
          <w:rFonts w:ascii="Arial" w:hAnsi="Arial" w:cs="Arial"/>
        </w:rPr>
        <w:t xml:space="preserve"> (a továbbiakban: Ör.)</w:t>
      </w:r>
      <w:r w:rsidR="007874CC" w:rsidRPr="003D2BFD">
        <w:rPr>
          <w:rFonts w:ascii="Arial" w:hAnsi="Arial" w:cs="Arial"/>
        </w:rPr>
        <w:t xml:space="preserve"> </w:t>
      </w:r>
      <w:r w:rsidR="00BD373F" w:rsidRPr="003D2BFD">
        <w:rPr>
          <w:rFonts w:ascii="Arial" w:hAnsi="Arial" w:cs="Arial"/>
        </w:rPr>
        <w:t>három fő adóra épül</w:t>
      </w:r>
      <w:r w:rsidR="00905D0E">
        <w:rPr>
          <w:rFonts w:ascii="Arial" w:hAnsi="Arial" w:cs="Arial"/>
        </w:rPr>
        <w:t>:</w:t>
      </w:r>
    </w:p>
    <w:p w:rsidR="00AA7145" w:rsidRPr="003D2BFD" w:rsidRDefault="00801661" w:rsidP="0006724C">
      <w:pPr>
        <w:pStyle w:val="Listaszerbekezds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</w:rPr>
      </w:pPr>
      <w:r w:rsidRPr="003D2BFD">
        <w:rPr>
          <w:rFonts w:ascii="Arial" w:hAnsi="Arial" w:cs="Arial"/>
        </w:rPr>
        <w:t>helyi iparű</w:t>
      </w:r>
      <w:r w:rsidR="00AA7145" w:rsidRPr="003D2BFD">
        <w:rPr>
          <w:rFonts w:ascii="Arial" w:hAnsi="Arial" w:cs="Arial"/>
        </w:rPr>
        <w:t>zési adó,</w:t>
      </w:r>
    </w:p>
    <w:p w:rsidR="00040599" w:rsidRPr="003D2BFD" w:rsidRDefault="00AA7145" w:rsidP="0006724C">
      <w:pPr>
        <w:pStyle w:val="Listaszerbekezds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</w:rPr>
      </w:pPr>
      <w:r w:rsidRPr="003D2BFD">
        <w:rPr>
          <w:rFonts w:ascii="Arial" w:hAnsi="Arial" w:cs="Arial"/>
        </w:rPr>
        <w:t>idegenforgalmi adó,</w:t>
      </w:r>
    </w:p>
    <w:p w:rsidR="00D34209" w:rsidRDefault="00040599" w:rsidP="00F944E5">
      <w:pPr>
        <w:pStyle w:val="Listaszerbekezds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</w:rPr>
      </w:pPr>
      <w:r w:rsidRPr="003D2BFD">
        <w:rPr>
          <w:rFonts w:ascii="Arial" w:hAnsi="Arial" w:cs="Arial"/>
        </w:rPr>
        <w:t>építményadó (</w:t>
      </w:r>
      <w:r w:rsidR="009F7765" w:rsidRPr="003D2BFD">
        <w:rPr>
          <w:rFonts w:ascii="Arial" w:hAnsi="Arial" w:cs="Arial"/>
        </w:rPr>
        <w:t>hasznos alapterület alapú</w:t>
      </w:r>
      <w:r w:rsidR="004C40FF" w:rsidRPr="003D2BFD">
        <w:rPr>
          <w:rFonts w:ascii="Arial" w:hAnsi="Arial" w:cs="Arial"/>
        </w:rPr>
        <w:t>)</w:t>
      </w:r>
      <w:r w:rsidR="00FF5DE7" w:rsidRPr="003D2BFD">
        <w:rPr>
          <w:rFonts w:ascii="Arial" w:hAnsi="Arial" w:cs="Arial"/>
        </w:rPr>
        <w:t>.</w:t>
      </w:r>
    </w:p>
    <w:p w:rsidR="00982A19" w:rsidRDefault="00D46377" w:rsidP="00982A19">
      <w:pPr>
        <w:jc w:val="both"/>
        <w:rPr>
          <w:rStyle w:val="markedcontent"/>
          <w:rFonts w:ascii="Arial" w:hAnsi="Arial" w:cs="Arial"/>
        </w:rPr>
      </w:pPr>
      <w:r>
        <w:rPr>
          <w:rFonts w:ascii="Arial" w:hAnsi="Arial" w:cs="Arial"/>
        </w:rPr>
        <w:t xml:space="preserve">2022. évben </w:t>
      </w:r>
      <w:r w:rsidR="00982A19">
        <w:rPr>
          <w:rFonts w:ascii="Arial" w:hAnsi="Arial" w:cs="Arial"/>
        </w:rPr>
        <w:t xml:space="preserve">még </w:t>
      </w:r>
      <w:r>
        <w:rPr>
          <w:rFonts w:ascii="Arial" w:hAnsi="Arial" w:cs="Arial"/>
        </w:rPr>
        <w:t>a veszélyhelyzet miatt kiadott speciális szabályok határozták meg az önkormányzatok adópolitikáját. Ezen szabályok értelmében</w:t>
      </w:r>
      <w:r w:rsidR="00982A19">
        <w:rPr>
          <w:rFonts w:ascii="Arial" w:hAnsi="Arial" w:cs="Arial"/>
        </w:rPr>
        <w:t xml:space="preserve"> egyrészt</w:t>
      </w:r>
      <w:r>
        <w:rPr>
          <w:rFonts w:ascii="Arial" w:hAnsi="Arial" w:cs="Arial"/>
        </w:rPr>
        <w:t xml:space="preserve"> a 2022. évben </w:t>
      </w:r>
      <w:r w:rsidRPr="00D46377">
        <w:rPr>
          <w:rStyle w:val="markedcontent"/>
          <w:rFonts w:ascii="Arial" w:hAnsi="Arial" w:cs="Arial"/>
        </w:rPr>
        <w:t xml:space="preserve">végződő adóévben a helyi adó és a települési adó mértéke nem lehetett magasabb, mint az ugyanazon helyi adónak, települési adónak a 2020. december 2. napján hatályos és alkalmazandó önkormányzati adórendeletben </w:t>
      </w:r>
      <w:r w:rsidR="00982A19" w:rsidRPr="00D46377">
        <w:rPr>
          <w:rStyle w:val="markedcontent"/>
          <w:rFonts w:ascii="Arial" w:hAnsi="Arial" w:cs="Arial"/>
        </w:rPr>
        <w:t>megállapított adómértéke</w:t>
      </w:r>
      <w:r w:rsidRPr="00D46377">
        <w:rPr>
          <w:rStyle w:val="markedcontent"/>
          <w:rFonts w:ascii="Arial" w:hAnsi="Arial" w:cs="Arial"/>
        </w:rPr>
        <w:t>;</w:t>
      </w:r>
      <w:r w:rsidR="00982A19">
        <w:rPr>
          <w:rStyle w:val="markedcontent"/>
          <w:rFonts w:ascii="Arial" w:hAnsi="Arial" w:cs="Arial"/>
        </w:rPr>
        <w:t xml:space="preserve"> másrészt </w:t>
      </w:r>
      <w:r w:rsidR="00982A19" w:rsidRPr="00982A19">
        <w:rPr>
          <w:rStyle w:val="markedcontent"/>
          <w:rFonts w:ascii="Arial" w:hAnsi="Arial" w:cs="Arial"/>
        </w:rPr>
        <w:t>az önkormányzatnak a 2020. december 2. napján hatályos adórendelete szerinti adómentességet, adókedvezményt a 2022. évben végződő adóévben is biztosítania kellett,</w:t>
      </w:r>
      <w:r w:rsidR="00982A19">
        <w:rPr>
          <w:rStyle w:val="markedcontent"/>
          <w:rFonts w:ascii="Arial" w:hAnsi="Arial" w:cs="Arial"/>
        </w:rPr>
        <w:t xml:space="preserve"> illetve harmadrészt </w:t>
      </w:r>
      <w:r w:rsidR="00982A19" w:rsidRPr="00F944E5">
        <w:rPr>
          <w:rStyle w:val="markedcontent"/>
          <w:rFonts w:ascii="Arial" w:hAnsi="Arial" w:cs="Arial"/>
        </w:rPr>
        <w:t>a települési önkormányzat a 2022. évre új helyi adót, új települési adót nem</w:t>
      </w:r>
      <w:r w:rsidR="00982A19">
        <w:rPr>
          <w:rStyle w:val="markedcontent"/>
          <w:rFonts w:ascii="Arial" w:hAnsi="Arial" w:cs="Arial"/>
        </w:rPr>
        <w:t xml:space="preserve"> volt</w:t>
      </w:r>
      <w:r w:rsidR="00982A19" w:rsidRPr="00F944E5">
        <w:rPr>
          <w:rStyle w:val="markedcontent"/>
          <w:rFonts w:ascii="Arial" w:hAnsi="Arial" w:cs="Arial"/>
        </w:rPr>
        <w:t xml:space="preserve"> jogosult bevezetni.</w:t>
      </w:r>
      <w:r w:rsidR="00982A19">
        <w:rPr>
          <w:rStyle w:val="markedcontent"/>
          <w:rFonts w:ascii="Arial" w:hAnsi="Arial" w:cs="Arial"/>
        </w:rPr>
        <w:t xml:space="preserve"> </w:t>
      </w:r>
    </w:p>
    <w:p w:rsidR="00D46377" w:rsidRPr="00D46377" w:rsidRDefault="00982A19" w:rsidP="00D46377">
      <w:pPr>
        <w:jc w:val="both"/>
        <w:rPr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2023. évre a fenti adómoratóriumi szabályok érvényüket vesztették, így az önkormányzatok lehetőséget kaptak arra, hogy 2022. év végén felülvizsgálják </w:t>
      </w:r>
      <w:r w:rsidR="00AF42BB">
        <w:rPr>
          <w:rStyle w:val="markedcontent"/>
          <w:rFonts w:ascii="Arial" w:hAnsi="Arial" w:cs="Arial"/>
        </w:rPr>
        <w:t>helyi adórendeleteiket</w:t>
      </w:r>
      <w:r>
        <w:rPr>
          <w:rStyle w:val="markedcontent"/>
          <w:rFonts w:ascii="Arial" w:hAnsi="Arial" w:cs="Arial"/>
        </w:rPr>
        <w:t xml:space="preserve">. Hévíz Város Önkormányzata Képviselő-testülete 2022. novemberi rendes, nyilvános képviselő-testületi ülésén elfogadta a helyi adókról szóló 4/2010. (II. 10.) önkormányzati rendelet módosításáról szóló 32/2022. (XI. 24.) önkormányzati rendeletet, melyben a képviselő-testület döntött az építményadó </w:t>
      </w:r>
      <w:r w:rsidR="00AF42BB">
        <w:rPr>
          <w:rStyle w:val="markedcontent"/>
          <w:rFonts w:ascii="Arial" w:hAnsi="Arial" w:cs="Arial"/>
        </w:rPr>
        <w:t xml:space="preserve">és idegenforgalmi adó </w:t>
      </w:r>
      <w:r>
        <w:rPr>
          <w:rStyle w:val="markedcontent"/>
          <w:rFonts w:ascii="Arial" w:hAnsi="Arial" w:cs="Arial"/>
        </w:rPr>
        <w:t>mértékének emeléséről,</w:t>
      </w:r>
      <w:r w:rsidR="00AF42BB">
        <w:rPr>
          <w:rStyle w:val="markedcontent"/>
          <w:rFonts w:ascii="Arial" w:hAnsi="Arial" w:cs="Arial"/>
        </w:rPr>
        <w:t xml:space="preserve"> valamint</w:t>
      </w:r>
      <w:r>
        <w:rPr>
          <w:rStyle w:val="markedcontent"/>
          <w:rFonts w:ascii="Arial" w:hAnsi="Arial" w:cs="Arial"/>
        </w:rPr>
        <w:t xml:space="preserve"> az építményadóban alkalmazott 100%-os adókedvezmény pontosításáról</w:t>
      </w:r>
      <w:r w:rsidR="00AF42BB">
        <w:rPr>
          <w:rStyle w:val="markedcontent"/>
          <w:rFonts w:ascii="Arial" w:hAnsi="Arial" w:cs="Arial"/>
        </w:rPr>
        <w:t xml:space="preserve"> 2023. január 1-ei hatállyal. </w:t>
      </w:r>
    </w:p>
    <w:p w:rsidR="00224B96" w:rsidRPr="00510825" w:rsidRDefault="00040599" w:rsidP="00B0443A">
      <w:pPr>
        <w:contextualSpacing/>
        <w:jc w:val="both"/>
        <w:rPr>
          <w:rFonts w:ascii="Arial" w:hAnsi="Arial" w:cs="Arial"/>
          <w:strike/>
          <w:color w:val="FF0000"/>
        </w:rPr>
      </w:pPr>
      <w:r w:rsidRPr="003D2BFD">
        <w:rPr>
          <w:rFonts w:ascii="Arial" w:hAnsi="Arial" w:cs="Arial"/>
        </w:rPr>
        <w:t>Hévíz Város Önkormányzatának feladatellátását a saját bevételek –</w:t>
      </w:r>
      <w:r w:rsidR="00BD373F" w:rsidRPr="003D2BFD">
        <w:rPr>
          <w:rFonts w:ascii="Arial" w:hAnsi="Arial" w:cs="Arial"/>
        </w:rPr>
        <w:t xml:space="preserve"> </w:t>
      </w:r>
      <w:r w:rsidRPr="003D2BFD">
        <w:rPr>
          <w:rFonts w:ascii="Arial" w:hAnsi="Arial" w:cs="Arial"/>
        </w:rPr>
        <w:t xml:space="preserve">a helyi adókból származó bevételek – </w:t>
      </w:r>
      <w:r w:rsidR="00C71974" w:rsidRPr="003D2BFD">
        <w:rPr>
          <w:rFonts w:ascii="Arial" w:hAnsi="Arial" w:cs="Arial"/>
        </w:rPr>
        <w:t>az állami támogatások</w:t>
      </w:r>
      <w:r w:rsidRPr="003D2BFD">
        <w:rPr>
          <w:rFonts w:ascii="Arial" w:hAnsi="Arial" w:cs="Arial"/>
        </w:rPr>
        <w:t xml:space="preserve"> biztosították</w:t>
      </w:r>
      <w:r w:rsidR="005219BC" w:rsidRPr="003D2BFD">
        <w:rPr>
          <w:rFonts w:ascii="Arial" w:hAnsi="Arial" w:cs="Arial"/>
        </w:rPr>
        <w:t xml:space="preserve">. Az önkormányzati adóhatóság által beszedett központi adók és bírságok eltérő mértékben a költségvetési törvényben megállapított arányban illetik meg az </w:t>
      </w:r>
      <w:r w:rsidR="005219BC" w:rsidRPr="00AF42BB">
        <w:rPr>
          <w:rFonts w:ascii="Arial" w:hAnsi="Arial" w:cs="Arial"/>
        </w:rPr>
        <w:t>önkormányzatot</w:t>
      </w:r>
      <w:r w:rsidR="00BD373F" w:rsidRPr="00AF42BB">
        <w:rPr>
          <w:rFonts w:ascii="Arial" w:hAnsi="Arial" w:cs="Arial"/>
        </w:rPr>
        <w:t>.</w:t>
      </w:r>
    </w:p>
    <w:p w:rsidR="00AF42BB" w:rsidRDefault="00AF42BB" w:rsidP="00B0443A">
      <w:pPr>
        <w:contextualSpacing/>
        <w:jc w:val="both"/>
        <w:rPr>
          <w:rStyle w:val="markedcontent"/>
          <w:rFonts w:ascii="Arial" w:hAnsi="Arial" w:cs="Arial"/>
        </w:rPr>
      </w:pPr>
    </w:p>
    <w:p w:rsidR="009775AC" w:rsidRPr="00B0443A" w:rsidRDefault="009775AC" w:rsidP="00B0443A">
      <w:pPr>
        <w:contextualSpacing/>
        <w:jc w:val="both"/>
        <w:rPr>
          <w:rStyle w:val="markedcontent"/>
          <w:rFonts w:ascii="Arial" w:hAnsi="Arial" w:cs="Arial"/>
        </w:rPr>
      </w:pPr>
    </w:p>
    <w:p w:rsidR="00040599" w:rsidRPr="00B0443A" w:rsidRDefault="00B60B7D" w:rsidP="0006724C">
      <w:pPr>
        <w:pStyle w:val="Listaszerbekezds"/>
        <w:numPr>
          <w:ilvl w:val="0"/>
          <w:numId w:val="3"/>
        </w:numPr>
        <w:tabs>
          <w:tab w:val="center" w:pos="4422"/>
          <w:tab w:val="left" w:pos="6045"/>
        </w:tabs>
        <w:spacing w:after="200" w:line="276" w:lineRule="auto"/>
        <w:rPr>
          <w:rFonts w:ascii="Arial" w:hAnsi="Arial" w:cs="Arial"/>
          <w:b/>
        </w:rPr>
      </w:pPr>
      <w:r w:rsidRPr="00B0443A">
        <w:rPr>
          <w:rFonts w:ascii="Arial" w:hAnsi="Arial" w:cs="Arial"/>
          <w:b/>
        </w:rPr>
        <w:t>Adóbevételek alakulása 20</w:t>
      </w:r>
      <w:r w:rsidR="00C5627D" w:rsidRPr="00B0443A">
        <w:rPr>
          <w:rFonts w:ascii="Arial" w:hAnsi="Arial" w:cs="Arial"/>
          <w:b/>
        </w:rPr>
        <w:t>2</w:t>
      </w:r>
      <w:r w:rsidR="00070E2B">
        <w:rPr>
          <w:rFonts w:ascii="Arial" w:hAnsi="Arial" w:cs="Arial"/>
          <w:b/>
        </w:rPr>
        <w:t>3</w:t>
      </w:r>
      <w:r w:rsidR="00040599" w:rsidRPr="00B0443A">
        <w:rPr>
          <w:rFonts w:ascii="Arial" w:hAnsi="Arial" w:cs="Arial"/>
          <w:b/>
        </w:rPr>
        <w:t>. évben</w:t>
      </w:r>
    </w:p>
    <w:p w:rsidR="00F944E5" w:rsidRPr="00B0443A" w:rsidRDefault="00F944E5" w:rsidP="00F944E5">
      <w:pPr>
        <w:pStyle w:val="Listaszerbekezds"/>
        <w:tabs>
          <w:tab w:val="center" w:pos="4422"/>
          <w:tab w:val="left" w:pos="6045"/>
        </w:tabs>
        <w:spacing w:after="200" w:line="276" w:lineRule="auto"/>
        <w:ind w:left="1035"/>
        <w:rPr>
          <w:rFonts w:ascii="Arial" w:hAnsi="Arial" w:cs="Arial"/>
          <w:b/>
        </w:rPr>
      </w:pPr>
    </w:p>
    <w:p w:rsidR="00F944E5" w:rsidRDefault="00F944E5" w:rsidP="00F944E5">
      <w:pPr>
        <w:contextualSpacing/>
        <w:jc w:val="both"/>
        <w:rPr>
          <w:rFonts w:ascii="Arial" w:hAnsi="Arial" w:cs="Arial"/>
        </w:rPr>
      </w:pPr>
      <w:bookmarkStart w:id="0" w:name="_Hlk95989263"/>
      <w:r w:rsidRPr="00B0443A">
        <w:rPr>
          <w:rFonts w:ascii="Arial" w:hAnsi="Arial" w:cs="Arial"/>
          <w:b/>
        </w:rPr>
        <w:t>Az önkormányzat adószámláira 202</w:t>
      </w:r>
      <w:r w:rsidR="00070E2B">
        <w:rPr>
          <w:rFonts w:ascii="Arial" w:hAnsi="Arial" w:cs="Arial"/>
          <w:b/>
        </w:rPr>
        <w:t>3</w:t>
      </w:r>
      <w:r w:rsidRPr="00B0443A">
        <w:rPr>
          <w:rFonts w:ascii="Arial" w:hAnsi="Arial" w:cs="Arial"/>
          <w:b/>
        </w:rPr>
        <w:t xml:space="preserve">. december 31. napjáig ténylegesen </w:t>
      </w:r>
      <w:r w:rsidR="00070E2B" w:rsidRPr="00070E2B">
        <w:rPr>
          <w:rFonts w:ascii="Arial" w:hAnsi="Arial" w:cs="Arial"/>
          <w:b/>
        </w:rPr>
        <w:t>1 700 851</w:t>
      </w:r>
      <w:r w:rsidR="00070E2B">
        <w:rPr>
          <w:rFonts w:ascii="Arial" w:hAnsi="Arial" w:cs="Arial"/>
          <w:b/>
        </w:rPr>
        <w:t> </w:t>
      </w:r>
      <w:r w:rsidR="00070E2B" w:rsidRPr="00070E2B">
        <w:rPr>
          <w:rFonts w:ascii="Arial" w:hAnsi="Arial" w:cs="Arial"/>
          <w:b/>
        </w:rPr>
        <w:t>255</w:t>
      </w:r>
      <w:r w:rsidR="00070E2B">
        <w:rPr>
          <w:rFonts w:ascii="Arial" w:hAnsi="Arial" w:cs="Arial"/>
          <w:b/>
        </w:rPr>
        <w:t xml:space="preserve"> </w:t>
      </w:r>
      <w:r w:rsidRPr="00B0443A">
        <w:rPr>
          <w:rFonts w:ascii="Arial" w:hAnsi="Arial" w:cs="Arial"/>
          <w:b/>
        </w:rPr>
        <w:t>forint folyt be saját bevételként, ugyanez az adat 202</w:t>
      </w:r>
      <w:r w:rsidR="00070E2B">
        <w:rPr>
          <w:rFonts w:ascii="Arial" w:hAnsi="Arial" w:cs="Arial"/>
          <w:b/>
        </w:rPr>
        <w:t>2</w:t>
      </w:r>
      <w:r w:rsidRPr="00B0443A">
        <w:rPr>
          <w:rFonts w:ascii="Arial" w:hAnsi="Arial" w:cs="Arial"/>
          <w:b/>
        </w:rPr>
        <w:t xml:space="preserve">. évben </w:t>
      </w:r>
      <w:r w:rsidR="00070E2B">
        <w:rPr>
          <w:rFonts w:ascii="Arial" w:hAnsi="Arial" w:cs="Arial"/>
          <w:b/>
          <w:bCs/>
          <w:lang w:eastAsia="hu-HU"/>
        </w:rPr>
        <w:t xml:space="preserve">1 140 809 263 </w:t>
      </w:r>
      <w:r w:rsidRPr="00B0443A">
        <w:rPr>
          <w:rFonts w:ascii="Arial" w:hAnsi="Arial" w:cs="Arial"/>
          <w:b/>
        </w:rPr>
        <w:t xml:space="preserve">forint volt. </w:t>
      </w:r>
      <w:r w:rsidRPr="00B0443A">
        <w:rPr>
          <w:rFonts w:ascii="Arial" w:hAnsi="Arial" w:cs="Arial"/>
        </w:rPr>
        <w:t>202</w:t>
      </w:r>
      <w:r w:rsidR="00070E2B">
        <w:rPr>
          <w:rFonts w:ascii="Arial" w:hAnsi="Arial" w:cs="Arial"/>
        </w:rPr>
        <w:t>2</w:t>
      </w:r>
      <w:r w:rsidRPr="00B0443A">
        <w:rPr>
          <w:rFonts w:ascii="Arial" w:hAnsi="Arial" w:cs="Arial"/>
        </w:rPr>
        <w:t xml:space="preserve">. évhez képest </w:t>
      </w:r>
      <w:r w:rsidR="00070E2B" w:rsidRPr="00070E2B">
        <w:rPr>
          <w:rFonts w:ascii="Arial" w:hAnsi="Arial" w:cs="Arial"/>
        </w:rPr>
        <w:t>560 041 992</w:t>
      </w:r>
      <w:r w:rsidR="00070E2B">
        <w:rPr>
          <w:rFonts w:ascii="Arial" w:hAnsi="Arial" w:cs="Arial"/>
        </w:rPr>
        <w:t xml:space="preserve"> </w:t>
      </w:r>
      <w:r w:rsidRPr="00B0443A">
        <w:rPr>
          <w:rFonts w:ascii="Arial" w:hAnsi="Arial" w:cs="Arial"/>
          <w:b/>
          <w:u w:val="single"/>
        </w:rPr>
        <w:t>forint adótöbblet</w:t>
      </w:r>
      <w:r>
        <w:rPr>
          <w:rFonts w:ascii="Arial" w:hAnsi="Arial" w:cs="Arial"/>
        </w:rPr>
        <w:t xml:space="preserve"> mutatható ki.</w:t>
      </w:r>
    </w:p>
    <w:p w:rsidR="001529EF" w:rsidRDefault="001529EF" w:rsidP="00F944E5">
      <w:pPr>
        <w:contextualSpacing/>
        <w:jc w:val="both"/>
        <w:rPr>
          <w:rFonts w:ascii="Arial" w:hAnsi="Arial" w:cs="Arial"/>
        </w:rPr>
      </w:pPr>
    </w:p>
    <w:p w:rsidR="00F944E5" w:rsidRPr="002E20CB" w:rsidRDefault="001529EF" w:rsidP="00F944E5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működési </w:t>
      </w:r>
      <w:r w:rsidRPr="003635C0">
        <w:rPr>
          <w:rFonts w:ascii="Arial" w:hAnsi="Arial" w:cs="Arial"/>
        </w:rPr>
        <w:t xml:space="preserve">bevételeinek </w:t>
      </w:r>
      <w:r>
        <w:rPr>
          <w:rFonts w:ascii="Arial" w:hAnsi="Arial" w:cs="Arial"/>
        </w:rPr>
        <w:t>56,59 %-át a közhatalmi bevételek biztosítják, ezen belül a helyi adók 98,22</w:t>
      </w:r>
      <w:r w:rsidRPr="003635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%-ot (építményadó, idegenforgalmi adó, iparűzési adó); bírságok, pótlékok és egyéb sajátos bevételek 1,78</w:t>
      </w:r>
      <w:r w:rsidRPr="003635C0">
        <w:rPr>
          <w:rFonts w:ascii="Arial" w:hAnsi="Arial" w:cs="Arial"/>
        </w:rPr>
        <w:t xml:space="preserve"> %</w:t>
      </w:r>
      <w:r>
        <w:rPr>
          <w:rFonts w:ascii="Arial" w:hAnsi="Arial" w:cs="Arial"/>
        </w:rPr>
        <w:t>-ot tesznek ki.</w:t>
      </w:r>
    </w:p>
    <w:p w:rsidR="00F944E5" w:rsidRDefault="00F944E5" w:rsidP="00F944E5">
      <w:pPr>
        <w:contextualSpacing/>
        <w:rPr>
          <w:rFonts w:ascii="Arial" w:hAnsi="Arial" w:cs="Arial"/>
        </w:rPr>
      </w:pPr>
    </w:p>
    <w:tbl>
      <w:tblPr>
        <w:tblW w:w="9587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5"/>
        <w:gridCol w:w="1519"/>
        <w:gridCol w:w="1796"/>
        <w:gridCol w:w="1796"/>
        <w:gridCol w:w="1381"/>
      </w:tblGrid>
      <w:tr w:rsidR="00F944E5" w:rsidTr="00655E7F">
        <w:trPr>
          <w:trHeight w:val="307"/>
        </w:trPr>
        <w:tc>
          <w:tcPr>
            <w:tcW w:w="3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A</w:t>
            </w: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dóbevételek (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202</w:t>
            </w:r>
            <w:r w:rsidR="001529E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3</w:t>
            </w: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Eredeti előirányz</w:t>
            </w:r>
            <w:r w:rsidRPr="001572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at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Teljesült 202</w:t>
            </w:r>
            <w:r w:rsidR="008E15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3</w:t>
            </w: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.12.31.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Teljesülés %-a</w:t>
            </w:r>
          </w:p>
        </w:tc>
      </w:tr>
      <w:tr w:rsidR="00F944E5" w:rsidTr="00655E7F">
        <w:trPr>
          <w:trHeight w:val="307"/>
        </w:trPr>
        <w:tc>
          <w:tcPr>
            <w:tcW w:w="3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C95C59" w:rsidRDefault="00F944E5" w:rsidP="004932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C95C5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Építményadó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C95C59" w:rsidRDefault="008E158C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280</w:t>
            </w:r>
            <w:r w:rsidR="00F944E5" w:rsidRPr="00C95C59">
              <w:rPr>
                <w:rFonts w:ascii="Arial" w:hAnsi="Arial" w:cs="Arial"/>
                <w:sz w:val="20"/>
                <w:szCs w:val="20"/>
                <w:lang w:eastAsia="hu-HU"/>
              </w:rPr>
              <w:t> 000 000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C95C59" w:rsidRDefault="008E158C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334 467 000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B654BC" w:rsidRDefault="008E158C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375 </w:t>
            </w:r>
            <w:r w:rsidR="001529EF">
              <w:rPr>
                <w:rFonts w:ascii="Arial" w:hAnsi="Arial" w:cs="Arial"/>
                <w:sz w:val="20"/>
                <w:szCs w:val="20"/>
                <w:lang w:eastAsia="hu-HU"/>
              </w:rPr>
              <w:t>537 879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B654BC" w:rsidRDefault="00070E2B" w:rsidP="00070E2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112,28</w:t>
            </w:r>
            <w:r w:rsidR="00F944E5" w:rsidRPr="00C95C59">
              <w:rPr>
                <w:rFonts w:ascii="Arial" w:hAnsi="Arial" w:cs="Arial"/>
                <w:sz w:val="20"/>
                <w:szCs w:val="20"/>
                <w:lang w:eastAsia="hu-HU"/>
              </w:rPr>
              <w:t xml:space="preserve"> %</w:t>
            </w:r>
          </w:p>
        </w:tc>
      </w:tr>
      <w:tr w:rsidR="00F944E5" w:rsidTr="00655E7F">
        <w:trPr>
          <w:trHeight w:val="253"/>
        </w:trPr>
        <w:tc>
          <w:tcPr>
            <w:tcW w:w="3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Idegenforgalmi adó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070E2B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562 374 000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070E2B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579 374</w:t>
            </w:r>
            <w:r w:rsidR="00F944E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000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070E2B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559 967 438</w:t>
            </w:r>
            <w:r w:rsidR="00F944E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070E2B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96,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hu-HU"/>
              </w:rPr>
              <w:t>65</w:t>
            </w:r>
            <w:r w:rsidR="00F944E5">
              <w:rPr>
                <w:rFonts w:ascii="Arial" w:hAnsi="Arial" w:cs="Arial"/>
                <w:sz w:val="20"/>
                <w:szCs w:val="20"/>
                <w:lang w:eastAsia="hu-HU"/>
              </w:rPr>
              <w:t xml:space="preserve"> </w:t>
            </w:r>
            <w:r w:rsidR="00F944E5" w:rsidRPr="0015722B">
              <w:rPr>
                <w:rFonts w:ascii="Arial" w:hAnsi="Arial" w:cs="Arial"/>
                <w:sz w:val="20"/>
                <w:szCs w:val="20"/>
                <w:lang w:eastAsia="hu-HU"/>
              </w:rPr>
              <w:t xml:space="preserve"> %</w:t>
            </w:r>
            <w:proofErr w:type="gramEnd"/>
          </w:p>
        </w:tc>
      </w:tr>
      <w:tr w:rsidR="00F944E5" w:rsidTr="00655E7F">
        <w:trPr>
          <w:trHeight w:val="307"/>
        </w:trPr>
        <w:tc>
          <w:tcPr>
            <w:tcW w:w="3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50354A" w:rsidRDefault="00F944E5" w:rsidP="004932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50354A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Iparűzési adó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50354A" w:rsidRDefault="00070E2B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300 000</w:t>
            </w:r>
            <w:r w:rsidR="00F944E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000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50354A" w:rsidRDefault="00070E2B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300 000 000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50354A" w:rsidRDefault="00070E2B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752 444 497</w:t>
            </w:r>
            <w:r w:rsidR="00F944E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50354A" w:rsidRDefault="00070E2B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250,81</w:t>
            </w:r>
            <w:r w:rsidR="00F944E5">
              <w:rPr>
                <w:rFonts w:ascii="Arial" w:hAnsi="Arial" w:cs="Arial"/>
                <w:sz w:val="20"/>
                <w:szCs w:val="20"/>
                <w:lang w:eastAsia="hu-HU"/>
              </w:rPr>
              <w:t xml:space="preserve"> </w:t>
            </w:r>
            <w:r w:rsidR="00F944E5" w:rsidRPr="0050354A">
              <w:rPr>
                <w:rFonts w:ascii="Arial" w:hAnsi="Arial" w:cs="Arial"/>
                <w:sz w:val="20"/>
                <w:szCs w:val="20"/>
                <w:lang w:eastAsia="hu-HU"/>
              </w:rPr>
              <w:t>%</w:t>
            </w:r>
          </w:p>
        </w:tc>
      </w:tr>
      <w:tr w:rsidR="00F944E5" w:rsidTr="00655E7F">
        <w:trPr>
          <w:trHeight w:val="307"/>
        </w:trPr>
        <w:tc>
          <w:tcPr>
            <w:tcW w:w="3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Késedelmi pótlék</w:t>
            </w:r>
          </w:p>
        </w:tc>
        <w:tc>
          <w:tcPr>
            <w:tcW w:w="151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1</w:t>
            </w: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4 500 000</w:t>
            </w:r>
          </w:p>
        </w:tc>
        <w:tc>
          <w:tcPr>
            <w:tcW w:w="179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1</w:t>
            </w: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4 500 000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070E2B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11 548 828</w:t>
            </w:r>
            <w:r w:rsidR="00F944E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8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070E2B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88,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hu-HU"/>
              </w:rPr>
              <w:t>95</w:t>
            </w:r>
            <w:r w:rsidR="00F944E5">
              <w:rPr>
                <w:rFonts w:ascii="Arial" w:hAnsi="Arial" w:cs="Arial"/>
                <w:sz w:val="20"/>
                <w:szCs w:val="20"/>
                <w:lang w:eastAsia="hu-HU"/>
              </w:rPr>
              <w:t xml:space="preserve"> </w:t>
            </w:r>
            <w:r w:rsidR="00F944E5" w:rsidRPr="0015722B">
              <w:rPr>
                <w:rFonts w:ascii="Arial" w:hAnsi="Arial" w:cs="Arial"/>
                <w:sz w:val="20"/>
                <w:szCs w:val="20"/>
                <w:lang w:eastAsia="hu-HU"/>
              </w:rPr>
              <w:t xml:space="preserve"> %</w:t>
            </w:r>
            <w:proofErr w:type="gramEnd"/>
          </w:p>
        </w:tc>
      </w:tr>
      <w:tr w:rsidR="00F944E5" w:rsidTr="00655E7F">
        <w:trPr>
          <w:trHeight w:val="217"/>
        </w:trPr>
        <w:tc>
          <w:tcPr>
            <w:tcW w:w="3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Bírság</w:t>
            </w:r>
          </w:p>
        </w:tc>
        <w:tc>
          <w:tcPr>
            <w:tcW w:w="151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4E5" w:rsidRPr="0015722B" w:rsidRDefault="00F944E5" w:rsidP="004932EE">
            <w:pPr>
              <w:rPr>
                <w:rFonts w:ascii="Arial" w:eastAsiaTheme="minorHAnsi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9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4E5" w:rsidRPr="0015722B" w:rsidRDefault="00F944E5" w:rsidP="004932EE">
            <w:pPr>
              <w:rPr>
                <w:rFonts w:ascii="Arial" w:eastAsiaTheme="minorHAnsi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070E2B" w:rsidP="004932E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1 349 013</w:t>
            </w:r>
            <w:r w:rsidR="00F944E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4E5" w:rsidRPr="0015722B" w:rsidRDefault="00F944E5" w:rsidP="004932EE">
            <w:pPr>
              <w:rPr>
                <w:rFonts w:ascii="Arial" w:eastAsiaTheme="minorHAnsi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F944E5" w:rsidTr="00655E7F">
        <w:trPr>
          <w:trHeight w:val="576"/>
        </w:trPr>
        <w:tc>
          <w:tcPr>
            <w:tcW w:w="3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Önkormányzati </w:t>
            </w:r>
            <w:r w:rsidR="001529E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helyi </w:t>
            </w: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adóbevételek összesen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1529EF" w:rsidP="004932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1 156 874 000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1529EF" w:rsidP="004932E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1 228 341 000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C42C39" w:rsidP="004932E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70E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1 700 851 255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44E5" w:rsidRPr="0015722B" w:rsidRDefault="00F944E5" w:rsidP="004932E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Pr="001572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="00070E2B" w:rsidRPr="00070E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138,47 </w:t>
            </w:r>
            <w:r w:rsidRPr="001572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%</w:t>
            </w:r>
          </w:p>
        </w:tc>
      </w:tr>
    </w:tbl>
    <w:p w:rsidR="00F944E5" w:rsidRDefault="00F944E5" w:rsidP="00F944E5">
      <w:pPr>
        <w:spacing w:after="0"/>
        <w:ind w:firstLine="708"/>
        <w:jc w:val="both"/>
        <w:rPr>
          <w:rFonts w:ascii="Arial" w:hAnsi="Arial" w:cs="Arial"/>
          <w:b/>
        </w:rPr>
      </w:pPr>
    </w:p>
    <w:p w:rsidR="009775AC" w:rsidRDefault="009775AC" w:rsidP="00F944E5">
      <w:pPr>
        <w:spacing w:after="0"/>
        <w:ind w:firstLine="708"/>
        <w:jc w:val="both"/>
        <w:rPr>
          <w:rFonts w:ascii="Arial" w:hAnsi="Arial" w:cs="Arial"/>
          <w:b/>
        </w:rPr>
      </w:pPr>
    </w:p>
    <w:p w:rsidR="00F944E5" w:rsidRDefault="00F944E5" w:rsidP="00F944E5">
      <w:pPr>
        <w:spacing w:after="0"/>
        <w:ind w:firstLine="708"/>
        <w:jc w:val="both"/>
        <w:rPr>
          <w:rFonts w:ascii="Arial" w:hAnsi="Arial" w:cs="Arial"/>
          <w:b/>
        </w:rPr>
      </w:pPr>
      <w:r w:rsidRPr="00C82323">
        <w:rPr>
          <w:rFonts w:ascii="Arial" w:hAnsi="Arial" w:cs="Arial"/>
          <w:b/>
        </w:rPr>
        <w:t xml:space="preserve">Az adóbevételeink az elmúlt </w:t>
      </w:r>
      <w:r>
        <w:rPr>
          <w:rFonts w:ascii="Arial" w:hAnsi="Arial" w:cs="Arial"/>
          <w:b/>
        </w:rPr>
        <w:t>4</w:t>
      </w:r>
      <w:r w:rsidRPr="00C82323">
        <w:rPr>
          <w:rFonts w:ascii="Arial" w:hAnsi="Arial" w:cs="Arial"/>
          <w:b/>
        </w:rPr>
        <w:t xml:space="preserve"> évben az alábbiak szerint alakultak:</w:t>
      </w:r>
    </w:p>
    <w:p w:rsidR="009775AC" w:rsidRDefault="009775AC" w:rsidP="00F944E5">
      <w:pPr>
        <w:spacing w:after="0"/>
        <w:ind w:firstLine="708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19"/>
        <w:tblW w:w="96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3"/>
        <w:gridCol w:w="1756"/>
        <w:gridCol w:w="2072"/>
        <w:gridCol w:w="1663"/>
        <w:gridCol w:w="1663"/>
      </w:tblGrid>
      <w:tr w:rsidR="00C42C39" w:rsidTr="00C42C39">
        <w:trPr>
          <w:trHeight w:val="266"/>
        </w:trPr>
        <w:tc>
          <w:tcPr>
            <w:tcW w:w="2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Pr="009775AC" w:rsidRDefault="00C42C39" w:rsidP="004932EE">
            <w:pPr>
              <w:spacing w:after="0"/>
              <w:rPr>
                <w:rFonts w:ascii="Arial" w:hAnsi="Arial" w:cs="Arial"/>
                <w:b/>
                <w:lang w:eastAsia="hu-HU"/>
              </w:rPr>
            </w:pPr>
            <w:r w:rsidRPr="009775AC">
              <w:rPr>
                <w:rFonts w:ascii="Arial" w:hAnsi="Arial" w:cs="Arial"/>
                <w:b/>
                <w:lang w:eastAsia="hu-HU"/>
              </w:rPr>
              <w:t xml:space="preserve">Önkormányzati </w:t>
            </w:r>
          </w:p>
          <w:p w:rsidR="00C42C39" w:rsidRDefault="00C42C39" w:rsidP="004932EE">
            <w:pPr>
              <w:spacing w:after="0"/>
              <w:rPr>
                <w:rFonts w:ascii="Arial" w:hAnsi="Arial" w:cs="Arial"/>
                <w:lang w:eastAsia="hu-HU"/>
              </w:rPr>
            </w:pPr>
            <w:r w:rsidRPr="009775AC">
              <w:rPr>
                <w:rFonts w:ascii="Arial" w:hAnsi="Arial" w:cs="Arial"/>
                <w:b/>
                <w:lang w:eastAsia="hu-HU"/>
              </w:rPr>
              <w:t>adóbevételek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2C39" w:rsidRDefault="00C42C39" w:rsidP="004932EE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</w:p>
          <w:p w:rsidR="00C42C39" w:rsidRDefault="00C42C39" w:rsidP="004932EE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2020.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4932EE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2021.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4932EE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</w:p>
          <w:p w:rsidR="00C42C39" w:rsidRDefault="00C42C39" w:rsidP="004932EE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2022.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4932EE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</w:p>
          <w:p w:rsidR="00C42C39" w:rsidRDefault="00C42C39" w:rsidP="004932EE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2023.</w:t>
            </w:r>
          </w:p>
        </w:tc>
      </w:tr>
      <w:tr w:rsidR="00C42C39" w:rsidTr="00C42C39">
        <w:trPr>
          <w:trHeight w:val="266"/>
        </w:trPr>
        <w:tc>
          <w:tcPr>
            <w:tcW w:w="2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Pr="00890B45" w:rsidRDefault="00C42C39" w:rsidP="004932EE">
            <w:pPr>
              <w:spacing w:after="0"/>
              <w:rPr>
                <w:rFonts w:ascii="Arial" w:hAnsi="Arial" w:cs="Arial"/>
                <w:lang w:eastAsia="hu-HU"/>
              </w:rPr>
            </w:pPr>
            <w:r w:rsidRPr="00890B45">
              <w:rPr>
                <w:rFonts w:ascii="Arial" w:hAnsi="Arial" w:cs="Arial"/>
                <w:lang w:eastAsia="hu-HU"/>
              </w:rPr>
              <w:t>építményadó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Pr="00890B45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 w:rsidRPr="00890B45">
              <w:rPr>
                <w:rFonts w:ascii="Arial" w:hAnsi="Arial" w:cs="Arial"/>
                <w:lang w:eastAsia="hu-HU"/>
              </w:rPr>
              <w:t>233 684 543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Pr="00890B45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 w:rsidRPr="00890B45">
              <w:rPr>
                <w:rFonts w:ascii="Arial" w:hAnsi="Arial" w:cs="Arial"/>
                <w:lang w:eastAsia="hu-HU"/>
              </w:rPr>
              <w:t>256 746 620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Pr="00890B45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 w:rsidRPr="00C95C59">
              <w:rPr>
                <w:rFonts w:ascii="Arial" w:hAnsi="Arial" w:cs="Arial"/>
                <w:lang w:eastAsia="hu-HU"/>
              </w:rPr>
              <w:t>271 104 028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Pr="00C95C5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 w:rsidRPr="00C42C39">
              <w:rPr>
                <w:rFonts w:ascii="Arial" w:hAnsi="Arial" w:cs="Arial"/>
                <w:lang w:eastAsia="hu-HU"/>
              </w:rPr>
              <w:t>375 537 879</w:t>
            </w:r>
          </w:p>
        </w:tc>
      </w:tr>
      <w:tr w:rsidR="00C42C39" w:rsidTr="00C42C39">
        <w:trPr>
          <w:trHeight w:val="266"/>
        </w:trPr>
        <w:tc>
          <w:tcPr>
            <w:tcW w:w="2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4932EE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idegenforgalmi adó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130 401 790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268 122 509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498 991 005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 w:rsidRPr="00C42C39">
              <w:rPr>
                <w:rFonts w:ascii="Arial" w:hAnsi="Arial" w:cs="Arial"/>
                <w:lang w:eastAsia="hu-HU"/>
              </w:rPr>
              <w:t>559 967 438</w:t>
            </w:r>
          </w:p>
        </w:tc>
      </w:tr>
      <w:tr w:rsidR="00C42C39" w:rsidTr="00C42C39">
        <w:trPr>
          <w:trHeight w:val="266"/>
        </w:trPr>
        <w:tc>
          <w:tcPr>
            <w:tcW w:w="2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4932EE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iparűzési adó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457 356 951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121 485 834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367 772 111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 w:rsidRPr="00C42C39">
              <w:rPr>
                <w:rFonts w:ascii="Arial" w:hAnsi="Arial" w:cs="Arial"/>
                <w:lang w:eastAsia="hu-HU"/>
              </w:rPr>
              <w:t>752 444</w:t>
            </w:r>
            <w:r>
              <w:rPr>
                <w:rFonts w:ascii="Arial" w:hAnsi="Arial" w:cs="Arial"/>
                <w:lang w:eastAsia="hu-HU"/>
              </w:rPr>
              <w:t> </w:t>
            </w:r>
            <w:r w:rsidRPr="00C42C39">
              <w:rPr>
                <w:rFonts w:ascii="Arial" w:hAnsi="Arial" w:cs="Arial"/>
                <w:lang w:eastAsia="hu-HU"/>
              </w:rPr>
              <w:t>497</w:t>
            </w:r>
          </w:p>
        </w:tc>
      </w:tr>
      <w:tr w:rsidR="00C42C39" w:rsidTr="00C42C39">
        <w:trPr>
          <w:trHeight w:val="266"/>
        </w:trPr>
        <w:tc>
          <w:tcPr>
            <w:tcW w:w="2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4932EE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 xml:space="preserve">gépjárműadó </w:t>
            </w:r>
          </w:p>
          <w:p w:rsidR="00C42C39" w:rsidRDefault="00C42C39" w:rsidP="004932EE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(önk. maradó)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</w:p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</w:p>
        </w:tc>
      </w:tr>
      <w:tr w:rsidR="00C42C39" w:rsidTr="00C42C39">
        <w:trPr>
          <w:trHeight w:val="279"/>
        </w:trPr>
        <w:tc>
          <w:tcPr>
            <w:tcW w:w="2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4932EE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pótlék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3 746 896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2 291 377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</w:p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2 813 443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</w:p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 w:rsidRPr="00C42C39">
              <w:rPr>
                <w:rFonts w:ascii="Arial" w:hAnsi="Arial" w:cs="Arial"/>
                <w:lang w:eastAsia="hu-HU"/>
              </w:rPr>
              <w:t>11 548 828</w:t>
            </w:r>
          </w:p>
        </w:tc>
      </w:tr>
      <w:tr w:rsidR="00C42C39" w:rsidTr="00C42C39">
        <w:trPr>
          <w:trHeight w:val="266"/>
        </w:trPr>
        <w:tc>
          <w:tcPr>
            <w:tcW w:w="2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4932EE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bírság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2 846 858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1 048 202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128 676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lang w:eastAsia="hu-HU"/>
              </w:rPr>
            </w:pPr>
            <w:r w:rsidRPr="00C42C39">
              <w:rPr>
                <w:rFonts w:ascii="Arial" w:hAnsi="Arial" w:cs="Arial"/>
                <w:lang w:eastAsia="hu-HU"/>
              </w:rPr>
              <w:t>1 349 013</w:t>
            </w:r>
          </w:p>
        </w:tc>
      </w:tr>
      <w:tr w:rsidR="00C42C39" w:rsidTr="00C42C39">
        <w:trPr>
          <w:trHeight w:val="488"/>
        </w:trPr>
        <w:tc>
          <w:tcPr>
            <w:tcW w:w="2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2C39" w:rsidRDefault="00C42C39" w:rsidP="004932EE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összesen: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hu-HU"/>
              </w:rPr>
              <w:t>828 037 038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2C39" w:rsidRDefault="00C42C39" w:rsidP="009775AC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649 698 142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2C39" w:rsidRDefault="00C42C39" w:rsidP="009775AC">
            <w:pPr>
              <w:tabs>
                <w:tab w:val="left" w:pos="1305"/>
              </w:tabs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</w:p>
          <w:p w:rsidR="00C42C39" w:rsidRDefault="00C42C39" w:rsidP="009775AC">
            <w:pPr>
              <w:tabs>
                <w:tab w:val="left" w:pos="1305"/>
              </w:tabs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1 140 809 263</w:t>
            </w:r>
          </w:p>
          <w:p w:rsidR="00C42C39" w:rsidRDefault="00C42C39" w:rsidP="009775AC">
            <w:pPr>
              <w:tabs>
                <w:tab w:val="left" w:pos="1305"/>
              </w:tabs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42C39" w:rsidRDefault="00C42C39" w:rsidP="009775AC">
            <w:pPr>
              <w:tabs>
                <w:tab w:val="left" w:pos="1305"/>
              </w:tabs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</w:p>
          <w:p w:rsidR="00C42C39" w:rsidRDefault="00C42C39" w:rsidP="009775AC">
            <w:pPr>
              <w:tabs>
                <w:tab w:val="left" w:pos="1305"/>
              </w:tabs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C42C39">
              <w:rPr>
                <w:rFonts w:ascii="Arial" w:hAnsi="Arial" w:cs="Arial"/>
                <w:b/>
                <w:bCs/>
                <w:lang w:eastAsia="hu-HU"/>
              </w:rPr>
              <w:t>1 700 851 255</w:t>
            </w:r>
          </w:p>
        </w:tc>
      </w:tr>
    </w:tbl>
    <w:p w:rsidR="00F944E5" w:rsidRDefault="00F944E5" w:rsidP="00F944E5">
      <w:pPr>
        <w:spacing w:after="0"/>
        <w:ind w:firstLine="708"/>
        <w:jc w:val="both"/>
        <w:rPr>
          <w:rFonts w:ascii="Arial" w:hAnsi="Arial" w:cs="Arial"/>
          <w:b/>
        </w:rPr>
      </w:pPr>
    </w:p>
    <w:p w:rsidR="00F944E5" w:rsidRDefault="00F944E5" w:rsidP="00F944E5">
      <w:pPr>
        <w:spacing w:after="0"/>
        <w:ind w:firstLine="708"/>
        <w:jc w:val="both"/>
        <w:rPr>
          <w:rFonts w:ascii="Arial" w:hAnsi="Arial" w:cs="Arial"/>
          <w:b/>
        </w:rPr>
      </w:pPr>
    </w:p>
    <w:bookmarkEnd w:id="0"/>
    <w:p w:rsidR="00F944E5" w:rsidRDefault="00F944E5" w:rsidP="00F944E5">
      <w:pPr>
        <w:spacing w:afterLines="200" w:after="480"/>
        <w:contextualSpacing/>
        <w:jc w:val="both"/>
        <w:rPr>
          <w:rFonts w:ascii="Arial" w:hAnsi="Arial" w:cs="Arial"/>
        </w:rPr>
      </w:pPr>
      <w:r w:rsidRPr="008B0D1E">
        <w:rPr>
          <w:rFonts w:ascii="Arial" w:hAnsi="Arial" w:cs="Arial"/>
        </w:rPr>
        <w:t>Az önkormányzatnál maradó adóbevételek beérkezés</w:t>
      </w:r>
      <w:r>
        <w:rPr>
          <w:rFonts w:ascii="Arial" w:hAnsi="Arial" w:cs="Arial"/>
        </w:rPr>
        <w:t>é</w:t>
      </w:r>
      <w:r w:rsidRPr="008B0D1E">
        <w:rPr>
          <w:rFonts w:ascii="Arial" w:hAnsi="Arial" w:cs="Arial"/>
        </w:rPr>
        <w:t xml:space="preserve">nek zöme az első és harmadik negyedévhez köthető, hiszen a március 15-ei és szeptember 15-ei befizetési határidők ekkor járnak le. </w:t>
      </w:r>
    </w:p>
    <w:p w:rsidR="005263EC" w:rsidRDefault="005263EC" w:rsidP="00F944E5">
      <w:pPr>
        <w:spacing w:afterLines="200" w:after="480"/>
        <w:contextualSpacing/>
        <w:jc w:val="both"/>
        <w:rPr>
          <w:rFonts w:ascii="Arial" w:hAnsi="Arial" w:cs="Arial"/>
        </w:rPr>
      </w:pPr>
    </w:p>
    <w:p w:rsidR="005263EC" w:rsidRDefault="005263EC" w:rsidP="00F944E5">
      <w:pPr>
        <w:spacing w:afterLines="200" w:after="480"/>
        <w:contextualSpacing/>
        <w:jc w:val="both"/>
        <w:rPr>
          <w:rFonts w:ascii="Arial" w:hAnsi="Arial" w:cs="Arial"/>
        </w:rPr>
      </w:pPr>
    </w:p>
    <w:p w:rsidR="005263EC" w:rsidRDefault="005263EC" w:rsidP="00F944E5">
      <w:pPr>
        <w:spacing w:afterLines="200" w:after="480"/>
        <w:contextualSpacing/>
        <w:jc w:val="both"/>
        <w:rPr>
          <w:rFonts w:ascii="Arial" w:hAnsi="Arial" w:cs="Arial"/>
        </w:rPr>
      </w:pPr>
    </w:p>
    <w:p w:rsidR="005263EC" w:rsidRDefault="005263EC" w:rsidP="00F944E5">
      <w:pPr>
        <w:spacing w:afterLines="200" w:after="48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E88AB17" wp14:editId="1C1879BC">
            <wp:extent cx="5486400" cy="3000375"/>
            <wp:effectExtent l="0" t="0" r="0" b="9525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944E5" w:rsidRDefault="00F944E5" w:rsidP="00F944E5">
      <w:pPr>
        <w:spacing w:after="0"/>
        <w:jc w:val="both"/>
        <w:rPr>
          <w:rFonts w:ascii="Arial" w:hAnsi="Arial" w:cs="Arial"/>
        </w:rPr>
      </w:pPr>
    </w:p>
    <w:p w:rsidR="0050354A" w:rsidRPr="003D2BFD" w:rsidRDefault="0050354A" w:rsidP="007A7585">
      <w:pPr>
        <w:spacing w:after="0"/>
        <w:jc w:val="both"/>
        <w:rPr>
          <w:rFonts w:ascii="Arial" w:hAnsi="Arial" w:cs="Arial"/>
          <w:b/>
        </w:rPr>
      </w:pPr>
    </w:p>
    <w:p w:rsidR="00756B05" w:rsidRPr="003D2BFD" w:rsidRDefault="00756B05" w:rsidP="00756B05">
      <w:pPr>
        <w:pStyle w:val="Listaszerbekezds"/>
        <w:numPr>
          <w:ilvl w:val="0"/>
          <w:numId w:val="3"/>
        </w:numPr>
        <w:spacing w:after="0"/>
        <w:jc w:val="both"/>
        <w:rPr>
          <w:rFonts w:ascii="Arial" w:hAnsi="Arial" w:cs="Arial"/>
          <w:b/>
        </w:rPr>
      </w:pPr>
      <w:r w:rsidRPr="003D2BFD">
        <w:rPr>
          <w:rFonts w:ascii="Arial" w:hAnsi="Arial" w:cs="Arial"/>
          <w:b/>
        </w:rPr>
        <w:t>Adóigazgatási feladatok</w:t>
      </w:r>
    </w:p>
    <w:p w:rsidR="00756B05" w:rsidRDefault="00756B05" w:rsidP="00756B05">
      <w:pPr>
        <w:pStyle w:val="Listaszerbekezds"/>
        <w:spacing w:after="0"/>
        <w:ind w:left="1035"/>
        <w:jc w:val="both"/>
        <w:rPr>
          <w:rFonts w:ascii="Arial" w:hAnsi="Arial" w:cs="Arial"/>
          <w:b/>
        </w:rPr>
      </w:pPr>
    </w:p>
    <w:p w:rsidR="00F74737" w:rsidRPr="003D2BFD" w:rsidRDefault="00F74737" w:rsidP="00756B05">
      <w:pPr>
        <w:pStyle w:val="Listaszerbekezds"/>
        <w:spacing w:after="0"/>
        <w:ind w:left="1035"/>
        <w:jc w:val="both"/>
        <w:rPr>
          <w:rFonts w:ascii="Arial" w:hAnsi="Arial" w:cs="Arial"/>
          <w:b/>
        </w:rPr>
      </w:pPr>
    </w:p>
    <w:p w:rsidR="007907A0" w:rsidRPr="00E64ADA" w:rsidRDefault="007907A0" w:rsidP="0006724C">
      <w:pPr>
        <w:pStyle w:val="Listaszerbekezds"/>
        <w:spacing w:after="200" w:line="276" w:lineRule="auto"/>
        <w:ind w:left="0"/>
        <w:jc w:val="both"/>
        <w:rPr>
          <w:rFonts w:ascii="Arial" w:hAnsi="Arial" w:cs="Arial"/>
        </w:rPr>
      </w:pPr>
      <w:r w:rsidRPr="003D2BFD">
        <w:rPr>
          <w:rFonts w:ascii="Arial" w:hAnsi="Arial" w:cs="Arial"/>
        </w:rPr>
        <w:t xml:space="preserve">A feladat végrehajtása </w:t>
      </w:r>
      <w:r w:rsidR="00046614">
        <w:rPr>
          <w:rFonts w:ascii="Arial" w:hAnsi="Arial" w:cs="Arial"/>
        </w:rPr>
        <w:t>(</w:t>
      </w:r>
      <w:r w:rsidR="00046614" w:rsidRPr="00A04EA6">
        <w:rPr>
          <w:rFonts w:ascii="Arial" w:hAnsi="Arial" w:cs="Arial"/>
        </w:rPr>
        <w:t>építményadó, helyi iparűzési adó, idegenforgalmi adó ügyek</w:t>
      </w:r>
      <w:r w:rsidR="00046614">
        <w:rPr>
          <w:rFonts w:ascii="Arial" w:hAnsi="Arial" w:cs="Arial"/>
        </w:rPr>
        <w:t xml:space="preserve">, </w:t>
      </w:r>
      <w:r w:rsidR="00046614" w:rsidRPr="00A04EA6">
        <w:rPr>
          <w:rFonts w:ascii="Arial" w:hAnsi="Arial" w:cs="Arial"/>
        </w:rPr>
        <w:t>adókötelezettség ellenőrzése</w:t>
      </w:r>
      <w:r w:rsidR="00046614">
        <w:rPr>
          <w:rFonts w:ascii="Arial" w:hAnsi="Arial" w:cs="Arial"/>
        </w:rPr>
        <w:t xml:space="preserve">, </w:t>
      </w:r>
      <w:r w:rsidR="00046614" w:rsidRPr="00A04EA6">
        <w:rPr>
          <w:rFonts w:ascii="Arial" w:hAnsi="Arial" w:cs="Arial"/>
        </w:rPr>
        <w:t>az adók módjára behajtandó köztartozások kezelése, a kimutatott köztartozások behajtása, adó- és értékbizonyítvány kiállítása, továbbá adóigazolás kiadása</w:t>
      </w:r>
      <w:r w:rsidR="00046614">
        <w:rPr>
          <w:rFonts w:ascii="Arial" w:hAnsi="Arial" w:cs="Arial"/>
        </w:rPr>
        <w:t xml:space="preserve">, </w:t>
      </w:r>
      <w:r w:rsidR="00046614" w:rsidRPr="00046614">
        <w:rPr>
          <w:rFonts w:ascii="Arial" w:hAnsi="Arial" w:cs="Arial"/>
        </w:rPr>
        <w:t>önkormányzati adóhatóság adószámláinak kezelé</w:t>
      </w:r>
      <w:r w:rsidR="00046614">
        <w:rPr>
          <w:rFonts w:ascii="Arial" w:hAnsi="Arial" w:cs="Arial"/>
        </w:rPr>
        <w:t xml:space="preserve">se) </w:t>
      </w:r>
      <w:r w:rsidRPr="003D2BFD">
        <w:rPr>
          <w:rFonts w:ascii="Arial" w:hAnsi="Arial" w:cs="Arial"/>
        </w:rPr>
        <w:t>a Hatósági Osztály szervezeti rendszerében történik</w:t>
      </w:r>
      <w:r w:rsidR="003D2BFD">
        <w:rPr>
          <w:rFonts w:ascii="Arial" w:hAnsi="Arial" w:cs="Arial"/>
        </w:rPr>
        <w:t>. 202</w:t>
      </w:r>
      <w:r w:rsidR="009775AC">
        <w:rPr>
          <w:rFonts w:ascii="Arial" w:hAnsi="Arial" w:cs="Arial"/>
        </w:rPr>
        <w:t>3</w:t>
      </w:r>
      <w:r w:rsidR="003D2BFD">
        <w:rPr>
          <w:rFonts w:ascii="Arial" w:hAnsi="Arial" w:cs="Arial"/>
        </w:rPr>
        <w:t xml:space="preserve">. évben 3 fő teljes munkakörben, illetve 1 fő osztott munkakörben </w:t>
      </w:r>
      <w:r w:rsidR="003D2BFD" w:rsidRPr="009F6017">
        <w:rPr>
          <w:rFonts w:ascii="Arial" w:hAnsi="Arial" w:cs="Arial"/>
        </w:rPr>
        <w:t>látt</w:t>
      </w:r>
      <w:r w:rsidR="00A145D5" w:rsidRPr="009F6017">
        <w:rPr>
          <w:rFonts w:ascii="Arial" w:hAnsi="Arial" w:cs="Arial"/>
        </w:rPr>
        <w:t>a el a</w:t>
      </w:r>
      <w:r w:rsidR="004163BF" w:rsidRPr="009F6017">
        <w:rPr>
          <w:rFonts w:ascii="Arial" w:hAnsi="Arial" w:cs="Arial"/>
        </w:rPr>
        <w:t>z adóigazgatási</w:t>
      </w:r>
      <w:r w:rsidR="00A145D5" w:rsidRPr="009F6017">
        <w:rPr>
          <w:rFonts w:ascii="Arial" w:hAnsi="Arial" w:cs="Arial"/>
        </w:rPr>
        <w:t xml:space="preserve"> feladatokat</w:t>
      </w:r>
      <w:r w:rsidR="009F6017">
        <w:rPr>
          <w:rFonts w:ascii="Arial" w:hAnsi="Arial" w:cs="Arial"/>
        </w:rPr>
        <w:t xml:space="preserve">, illetve </w:t>
      </w:r>
      <w:r w:rsidR="009F6017" w:rsidRPr="009F6017">
        <w:rPr>
          <w:rFonts w:ascii="Arial" w:hAnsi="Arial" w:cs="Arial"/>
        </w:rPr>
        <w:t xml:space="preserve">az </w:t>
      </w:r>
      <w:r w:rsidRPr="009F6017">
        <w:rPr>
          <w:rFonts w:ascii="Arial" w:hAnsi="Arial" w:cs="Arial"/>
        </w:rPr>
        <w:t>osztály dolgozói vettek részt</w:t>
      </w:r>
      <w:r w:rsidR="00806BFA">
        <w:rPr>
          <w:rFonts w:ascii="Arial" w:hAnsi="Arial" w:cs="Arial"/>
        </w:rPr>
        <w:t xml:space="preserve"> az idegenforgalmi adó ellenőrzésben</w:t>
      </w:r>
      <w:r w:rsidR="00185189">
        <w:rPr>
          <w:rFonts w:ascii="Arial" w:hAnsi="Arial" w:cs="Arial"/>
        </w:rPr>
        <w:t xml:space="preserve">, kiemelten figyelve </w:t>
      </w:r>
      <w:r w:rsidRPr="00E64ADA">
        <w:rPr>
          <w:rFonts w:ascii="Arial" w:hAnsi="Arial" w:cs="Arial"/>
        </w:rPr>
        <w:t>a jogszerűség, hatékonyság és célszerűség biztosítás</w:t>
      </w:r>
      <w:r w:rsidR="00185189">
        <w:rPr>
          <w:rFonts w:ascii="Arial" w:hAnsi="Arial" w:cs="Arial"/>
        </w:rPr>
        <w:t>ára</w:t>
      </w:r>
      <w:r w:rsidRPr="00E64ADA">
        <w:rPr>
          <w:rFonts w:ascii="Arial" w:hAnsi="Arial" w:cs="Arial"/>
        </w:rPr>
        <w:t>.</w:t>
      </w:r>
    </w:p>
    <w:p w:rsidR="00E64ADA" w:rsidRPr="00980F8A" w:rsidRDefault="00E64ADA" w:rsidP="0006724C">
      <w:pPr>
        <w:pStyle w:val="Listaszerbekezds"/>
        <w:spacing w:after="200" w:line="276" w:lineRule="auto"/>
        <w:ind w:left="0"/>
        <w:jc w:val="both"/>
        <w:rPr>
          <w:rFonts w:ascii="Arial" w:hAnsi="Arial" w:cs="Arial"/>
          <w:color w:val="FF0000"/>
        </w:rPr>
      </w:pPr>
    </w:p>
    <w:p w:rsidR="007907A0" w:rsidRPr="009855FF" w:rsidRDefault="00185189" w:rsidP="00046614">
      <w:pPr>
        <w:pStyle w:val="Listaszerbekezds"/>
        <w:spacing w:after="200" w:line="276" w:lineRule="auto"/>
        <w:ind w:left="0"/>
        <w:jc w:val="both"/>
        <w:rPr>
          <w:rFonts w:ascii="Arial" w:hAnsi="Arial" w:cs="Arial"/>
        </w:rPr>
      </w:pPr>
      <w:r w:rsidRPr="009855FF">
        <w:rPr>
          <w:rFonts w:ascii="Arial" w:hAnsi="Arial" w:cs="Arial"/>
          <w:u w:val="single"/>
        </w:rPr>
        <w:t>Ügyszámok:</w:t>
      </w:r>
      <w:r w:rsidRPr="009855FF">
        <w:rPr>
          <w:rFonts w:ascii="Arial" w:hAnsi="Arial" w:cs="Arial"/>
        </w:rPr>
        <w:t xml:space="preserve"> </w:t>
      </w:r>
      <w:r w:rsidR="007907A0" w:rsidRPr="009855FF">
        <w:rPr>
          <w:rFonts w:ascii="Arial" w:hAnsi="Arial" w:cs="Arial"/>
        </w:rPr>
        <w:t>202</w:t>
      </w:r>
      <w:r w:rsidR="00806BFA" w:rsidRPr="009855FF">
        <w:rPr>
          <w:rFonts w:ascii="Arial" w:hAnsi="Arial" w:cs="Arial"/>
        </w:rPr>
        <w:t>3</w:t>
      </w:r>
      <w:r w:rsidR="007907A0" w:rsidRPr="009855FF">
        <w:rPr>
          <w:rFonts w:ascii="Arial" w:hAnsi="Arial" w:cs="Arial"/>
        </w:rPr>
        <w:t xml:space="preserve">. évben adóigazgatási </w:t>
      </w:r>
      <w:r w:rsidR="003E2F49" w:rsidRPr="009855FF">
        <w:rPr>
          <w:rFonts w:ascii="Arial" w:hAnsi="Arial" w:cs="Arial"/>
        </w:rPr>
        <w:t>ügyekben</w:t>
      </w:r>
      <w:r w:rsidR="00E64ADA" w:rsidRPr="009855FF">
        <w:rPr>
          <w:rFonts w:ascii="Arial" w:hAnsi="Arial" w:cs="Arial"/>
        </w:rPr>
        <w:t xml:space="preserve"> </w:t>
      </w:r>
      <w:r w:rsidR="00806BFA" w:rsidRPr="009855FF">
        <w:rPr>
          <w:rFonts w:ascii="Arial" w:hAnsi="Arial" w:cs="Arial"/>
        </w:rPr>
        <w:t xml:space="preserve">19 349 </w:t>
      </w:r>
      <w:r w:rsidR="006B1AF1" w:rsidRPr="009855FF">
        <w:rPr>
          <w:rFonts w:ascii="Arial" w:hAnsi="Arial" w:cs="Arial"/>
        </w:rPr>
        <w:t xml:space="preserve">főszámos </w:t>
      </w:r>
      <w:r w:rsidR="007907A0" w:rsidRPr="009855FF">
        <w:rPr>
          <w:rFonts w:ascii="Arial" w:hAnsi="Arial" w:cs="Arial"/>
        </w:rPr>
        <w:t>ügy</w:t>
      </w:r>
      <w:r w:rsidR="00960596" w:rsidRPr="009855FF">
        <w:rPr>
          <w:rFonts w:ascii="Arial" w:hAnsi="Arial" w:cs="Arial"/>
        </w:rPr>
        <w:t xml:space="preserve"> volt</w:t>
      </w:r>
      <w:r w:rsidR="00806BFA" w:rsidRPr="009855FF">
        <w:rPr>
          <w:rFonts w:ascii="Arial" w:hAnsi="Arial" w:cs="Arial"/>
        </w:rPr>
        <w:t xml:space="preserve"> (2022. évben ez a szám: 14 431 volt), míg </w:t>
      </w:r>
      <w:r w:rsidR="006B1AF1" w:rsidRPr="009855FF">
        <w:rPr>
          <w:rFonts w:ascii="Arial" w:hAnsi="Arial" w:cs="Arial"/>
        </w:rPr>
        <w:t>alszám</w:t>
      </w:r>
      <w:r w:rsidR="00806BFA" w:rsidRPr="009855FF">
        <w:rPr>
          <w:rFonts w:ascii="Arial" w:hAnsi="Arial" w:cs="Arial"/>
        </w:rPr>
        <w:t>ra 25 739 ügyirat</w:t>
      </w:r>
      <w:r w:rsidR="00964724" w:rsidRPr="009855FF">
        <w:rPr>
          <w:rFonts w:ascii="Arial" w:hAnsi="Arial" w:cs="Arial"/>
        </w:rPr>
        <w:t xml:space="preserve"> </w:t>
      </w:r>
      <w:r w:rsidR="007907A0" w:rsidRPr="009855FF">
        <w:rPr>
          <w:rFonts w:ascii="Arial" w:hAnsi="Arial" w:cs="Arial"/>
        </w:rPr>
        <w:t>(határozat, végzés, adószámla, felhívás stb.) került elintézésre</w:t>
      </w:r>
      <w:r w:rsidR="00964724" w:rsidRPr="009855FF">
        <w:rPr>
          <w:rFonts w:ascii="Arial" w:hAnsi="Arial" w:cs="Arial"/>
        </w:rPr>
        <w:t xml:space="preserve"> (alszámra 2022. évben 19 452 db ügyirat került</w:t>
      </w:r>
      <w:r w:rsidR="00510825" w:rsidRPr="009855FF">
        <w:rPr>
          <w:rFonts w:ascii="Arial" w:hAnsi="Arial" w:cs="Arial"/>
        </w:rPr>
        <w:t>), ez meghatározó ügymennyiség a hivatal egésze vonatkozásában.</w:t>
      </w:r>
      <w:r w:rsidRPr="009855FF">
        <w:rPr>
          <w:rFonts w:ascii="Arial" w:hAnsi="Arial" w:cs="Arial"/>
        </w:rPr>
        <w:t xml:space="preserve"> Az ügyszámok </w:t>
      </w:r>
      <w:r w:rsidR="00057FB7" w:rsidRPr="009855FF">
        <w:rPr>
          <w:rFonts w:ascii="Arial" w:hAnsi="Arial" w:cs="Arial"/>
        </w:rPr>
        <w:t>4 918</w:t>
      </w:r>
      <w:r w:rsidRPr="009855FF">
        <w:rPr>
          <w:rFonts w:ascii="Arial" w:hAnsi="Arial" w:cs="Arial"/>
        </w:rPr>
        <w:t xml:space="preserve"> főszámmal növekedtek </w:t>
      </w:r>
      <w:r w:rsidR="00960596" w:rsidRPr="009855FF">
        <w:rPr>
          <w:rFonts w:ascii="Arial" w:hAnsi="Arial" w:cs="Arial"/>
        </w:rPr>
        <w:t xml:space="preserve">az </w:t>
      </w:r>
      <w:r w:rsidRPr="009855FF">
        <w:rPr>
          <w:rFonts w:ascii="Arial" w:hAnsi="Arial" w:cs="Arial"/>
        </w:rPr>
        <w:t>előző évhez képest.</w:t>
      </w:r>
    </w:p>
    <w:p w:rsidR="007907A0" w:rsidRDefault="003E2F49" w:rsidP="0006724C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A04EA6">
        <w:rPr>
          <w:rFonts w:ascii="Arial" w:hAnsi="Arial" w:cs="Arial"/>
        </w:rPr>
        <w:t>Az adóigazgatásban</w:t>
      </w:r>
      <w:r w:rsidR="007907A0" w:rsidRPr="00A04EA6">
        <w:rPr>
          <w:rFonts w:ascii="Arial" w:hAnsi="Arial" w:cs="Arial"/>
        </w:rPr>
        <w:t xml:space="preserve"> negyedéves, féléves zárásokat kell teljesíteni és továbbítani a Magyar Államkincstár (a továbbiakban: MÁK) illetékes igazgatósága részére továbbá adatszolgáltatásokat teljesíteni az adónemek vonatkozásában. </w:t>
      </w:r>
    </w:p>
    <w:p w:rsidR="00046614" w:rsidRDefault="00046614" w:rsidP="00046614">
      <w:pPr>
        <w:contextualSpacing/>
        <w:jc w:val="both"/>
        <w:rPr>
          <w:rFonts w:ascii="Arial" w:hAnsi="Arial" w:cs="Arial"/>
        </w:rPr>
      </w:pPr>
    </w:p>
    <w:p w:rsidR="007907A0" w:rsidRDefault="003E2F49" w:rsidP="00046614">
      <w:pPr>
        <w:contextualSpacing/>
        <w:jc w:val="both"/>
        <w:rPr>
          <w:rFonts w:ascii="Arial" w:hAnsi="Arial" w:cs="Arial"/>
        </w:rPr>
      </w:pPr>
      <w:r w:rsidRPr="00A04EA6">
        <w:rPr>
          <w:rFonts w:ascii="Arial" w:hAnsi="Arial" w:cs="Arial"/>
        </w:rPr>
        <w:t>Az adóhatósági</w:t>
      </w:r>
      <w:r w:rsidR="007907A0" w:rsidRPr="00A04EA6">
        <w:rPr>
          <w:rFonts w:ascii="Arial" w:hAnsi="Arial" w:cs="Arial"/>
        </w:rPr>
        <w:t xml:space="preserve"> munka egyes kiemelt fázisai</w:t>
      </w:r>
      <w:r w:rsidR="00046614">
        <w:rPr>
          <w:rFonts w:ascii="Arial" w:hAnsi="Arial" w:cs="Arial"/>
        </w:rPr>
        <w:t>ban érdemi változás korábbi évekhez képest nem történt.</w:t>
      </w:r>
    </w:p>
    <w:p w:rsidR="00046614" w:rsidRPr="00A04EA6" w:rsidRDefault="00046614" w:rsidP="00046614">
      <w:pPr>
        <w:contextualSpacing/>
        <w:jc w:val="both"/>
        <w:rPr>
          <w:rFonts w:ascii="Arial" w:hAnsi="Arial" w:cs="Arial"/>
        </w:rPr>
      </w:pPr>
    </w:p>
    <w:p w:rsidR="00624CBE" w:rsidRDefault="007907A0" w:rsidP="00624CBE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A04EA6">
        <w:rPr>
          <w:rFonts w:ascii="Arial" w:hAnsi="Arial" w:cs="Arial"/>
        </w:rPr>
        <w:t>Az adónyilvántartás vezetése az állam által biztosított központi számítástechnikai hálózaton keresztül</w:t>
      </w:r>
      <w:r w:rsidR="00BE61DA">
        <w:rPr>
          <w:rFonts w:ascii="Arial" w:hAnsi="Arial" w:cs="Arial"/>
        </w:rPr>
        <w:t xml:space="preserve"> - </w:t>
      </w:r>
      <w:r w:rsidRPr="00A04EA6">
        <w:rPr>
          <w:rFonts w:ascii="Arial" w:hAnsi="Arial" w:cs="Arial"/>
        </w:rPr>
        <w:t>ASP (</w:t>
      </w:r>
      <w:proofErr w:type="spellStart"/>
      <w:r w:rsidRPr="00A04EA6">
        <w:rPr>
          <w:rStyle w:val="st"/>
          <w:rFonts w:ascii="Arial" w:hAnsi="Arial" w:cs="Arial"/>
        </w:rPr>
        <w:t>Application</w:t>
      </w:r>
      <w:proofErr w:type="spellEnd"/>
      <w:r w:rsidRPr="00A04EA6">
        <w:rPr>
          <w:rStyle w:val="st"/>
          <w:rFonts w:ascii="Arial" w:hAnsi="Arial" w:cs="Arial"/>
        </w:rPr>
        <w:t xml:space="preserve"> Service </w:t>
      </w:r>
      <w:proofErr w:type="spellStart"/>
      <w:r w:rsidRPr="00A04EA6">
        <w:rPr>
          <w:rStyle w:val="st"/>
          <w:rFonts w:ascii="Arial" w:hAnsi="Arial" w:cs="Arial"/>
        </w:rPr>
        <w:t>Provider</w:t>
      </w:r>
      <w:proofErr w:type="spellEnd"/>
      <w:r w:rsidRPr="00A04EA6">
        <w:rPr>
          <w:rStyle w:val="st"/>
          <w:rFonts w:ascii="Arial" w:hAnsi="Arial" w:cs="Arial"/>
        </w:rPr>
        <w:t xml:space="preserve"> alkalmazás-szolgáltató)</w:t>
      </w:r>
      <w:r w:rsidRPr="00A04EA6">
        <w:rPr>
          <w:rFonts w:ascii="Arial" w:hAnsi="Arial" w:cs="Arial"/>
        </w:rPr>
        <w:t xml:space="preserve"> alkalmazásával</w:t>
      </w:r>
      <w:r w:rsidR="00BE61DA">
        <w:rPr>
          <w:rFonts w:ascii="Arial" w:hAnsi="Arial" w:cs="Arial"/>
        </w:rPr>
        <w:t xml:space="preserve"> -</w:t>
      </w:r>
      <w:r w:rsidRPr="00A04EA6">
        <w:rPr>
          <w:rFonts w:ascii="Arial" w:hAnsi="Arial" w:cs="Arial"/>
        </w:rPr>
        <w:t xml:space="preserve"> történik. Az Elektronikus Önkormányzati Portál az önkormányzati ASP rendszerben az elektronikus önkormányzati ügyintézés helyszíne, az adózók ezen keresztül intézhetik ügyeiket a nap 24 órájában.</w:t>
      </w:r>
      <w:r w:rsidR="00BE61DA">
        <w:rPr>
          <w:rFonts w:ascii="Arial" w:hAnsi="Arial" w:cs="Arial"/>
        </w:rPr>
        <w:t xml:space="preserve"> </w:t>
      </w:r>
      <w:r w:rsidRPr="00A04EA6">
        <w:rPr>
          <w:rFonts w:ascii="Arial" w:hAnsi="Arial" w:cs="Arial"/>
        </w:rPr>
        <w:t>Az igénybe vehető elektronikus ügyintézési szolgáltatások az alábbiak: adóegyenleg lekérdezés, ügyindítás, bevallás lekérdezés, adók, díjak, illetékek befizetése az EFER szolgáltatás használatával, fizetéstörténet.</w:t>
      </w:r>
    </w:p>
    <w:p w:rsidR="00305916" w:rsidRDefault="00305916" w:rsidP="00624CBE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p w:rsidR="00305916" w:rsidRPr="009855FF" w:rsidRDefault="00305916" w:rsidP="00624CBE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9855FF">
        <w:rPr>
          <w:rFonts w:ascii="Arial" w:hAnsi="Arial" w:cs="Arial"/>
        </w:rPr>
        <w:lastRenderedPageBreak/>
        <w:t>Az ASP rendszer folyamatosan újabb verziókkal bővül, a</w:t>
      </w:r>
      <w:r w:rsidR="00C43F42" w:rsidRPr="009855FF">
        <w:rPr>
          <w:rFonts w:ascii="Arial" w:hAnsi="Arial" w:cs="Arial"/>
        </w:rPr>
        <w:t xml:space="preserve"> </w:t>
      </w:r>
      <w:r w:rsidRPr="009855FF">
        <w:rPr>
          <w:rFonts w:ascii="Arial" w:hAnsi="Arial" w:cs="Arial"/>
        </w:rPr>
        <w:t xml:space="preserve">minél teljesebb szolgáltatás érdekében, amely folyamatos betanulást és odafigyelését igényel, </w:t>
      </w:r>
      <w:r w:rsidR="00C43F42" w:rsidRPr="009855FF">
        <w:rPr>
          <w:rFonts w:ascii="Arial" w:hAnsi="Arial" w:cs="Arial"/>
        </w:rPr>
        <w:t>ez</w:t>
      </w:r>
      <w:r w:rsidRPr="009855FF">
        <w:rPr>
          <w:rFonts w:ascii="Arial" w:hAnsi="Arial" w:cs="Arial"/>
        </w:rPr>
        <w:t xml:space="preserve"> időként </w:t>
      </w:r>
      <w:r w:rsidR="00C43F42" w:rsidRPr="009855FF">
        <w:rPr>
          <w:rFonts w:ascii="Arial" w:hAnsi="Arial" w:cs="Arial"/>
        </w:rPr>
        <w:t xml:space="preserve">a </w:t>
      </w:r>
      <w:r w:rsidRPr="009855FF">
        <w:rPr>
          <w:rFonts w:ascii="Arial" w:hAnsi="Arial" w:cs="Arial"/>
        </w:rPr>
        <w:t>munk</w:t>
      </w:r>
      <w:r w:rsidR="00C43F42" w:rsidRPr="009855FF">
        <w:rPr>
          <w:rFonts w:ascii="Arial" w:hAnsi="Arial" w:cs="Arial"/>
        </w:rPr>
        <w:t>a</w:t>
      </w:r>
      <w:r w:rsidRPr="009855FF">
        <w:rPr>
          <w:rFonts w:ascii="Arial" w:hAnsi="Arial" w:cs="Arial"/>
        </w:rPr>
        <w:t>terhet jel</w:t>
      </w:r>
      <w:r w:rsidR="00C43F42" w:rsidRPr="009855FF">
        <w:rPr>
          <w:rFonts w:ascii="Arial" w:hAnsi="Arial" w:cs="Arial"/>
        </w:rPr>
        <w:t>e</w:t>
      </w:r>
      <w:r w:rsidRPr="009855FF">
        <w:rPr>
          <w:rFonts w:ascii="Arial" w:hAnsi="Arial" w:cs="Arial"/>
        </w:rPr>
        <w:t>nt</w:t>
      </w:r>
      <w:r w:rsidR="00C43F42" w:rsidRPr="009855FF">
        <w:rPr>
          <w:rFonts w:ascii="Arial" w:hAnsi="Arial" w:cs="Arial"/>
        </w:rPr>
        <w:t>ő</w:t>
      </w:r>
      <w:r w:rsidRPr="009855FF">
        <w:rPr>
          <w:rFonts w:ascii="Arial" w:hAnsi="Arial" w:cs="Arial"/>
        </w:rPr>
        <w:t xml:space="preserve">sen növeli.  </w:t>
      </w:r>
    </w:p>
    <w:p w:rsidR="00B02F5A" w:rsidRDefault="00B02F5A" w:rsidP="00624C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24CBE" w:rsidRPr="00980F8A" w:rsidRDefault="00624CBE" w:rsidP="00624C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B45D52" w:rsidRPr="0067323D" w:rsidRDefault="00B45D52" w:rsidP="00624CBE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67323D">
        <w:rPr>
          <w:rFonts w:ascii="Arial" w:hAnsi="Arial" w:cs="Arial"/>
          <w:b/>
        </w:rPr>
        <w:t>Építményadó</w:t>
      </w:r>
    </w:p>
    <w:p w:rsidR="00E05566" w:rsidRPr="0067323D" w:rsidRDefault="00E05566" w:rsidP="00624CBE">
      <w:pPr>
        <w:pStyle w:val="Listaszerbekezds"/>
        <w:spacing w:after="0" w:line="240" w:lineRule="auto"/>
        <w:ind w:left="1428"/>
        <w:jc w:val="both"/>
        <w:rPr>
          <w:rFonts w:ascii="Arial" w:hAnsi="Arial" w:cs="Arial"/>
          <w:b/>
          <w:color w:val="2E74B5" w:themeColor="accent1" w:themeShade="BF"/>
        </w:rPr>
      </w:pPr>
    </w:p>
    <w:p w:rsidR="00E05566" w:rsidRDefault="00E05566" w:rsidP="00624CBE">
      <w:pPr>
        <w:pStyle w:val="Listaszerbekezds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67323D">
        <w:rPr>
          <w:rFonts w:ascii="Arial" w:hAnsi="Arial" w:cs="Arial"/>
        </w:rPr>
        <w:t>Építményadó esetében</w:t>
      </w:r>
      <w:r w:rsidRPr="00980F8A">
        <w:rPr>
          <w:rFonts w:ascii="Arial" w:hAnsi="Arial" w:cs="Arial"/>
          <w:b/>
        </w:rPr>
        <w:t xml:space="preserve"> adómérték</w:t>
      </w:r>
      <w:r w:rsidR="000575F8">
        <w:rPr>
          <w:rFonts w:ascii="Arial" w:hAnsi="Arial" w:cs="Arial"/>
          <w:b/>
        </w:rPr>
        <w:t xml:space="preserve"> emelés történt </w:t>
      </w:r>
      <w:r w:rsidRPr="00B95C23">
        <w:rPr>
          <w:rFonts w:ascii="Arial" w:hAnsi="Arial" w:cs="Arial"/>
          <w:b/>
        </w:rPr>
        <w:t>20</w:t>
      </w:r>
      <w:r w:rsidR="009B782D" w:rsidRPr="00B95C23">
        <w:rPr>
          <w:rFonts w:ascii="Arial" w:hAnsi="Arial" w:cs="Arial"/>
          <w:b/>
        </w:rPr>
        <w:t>23</w:t>
      </w:r>
      <w:r w:rsidRPr="00B95C23">
        <w:rPr>
          <w:rFonts w:ascii="Arial" w:hAnsi="Arial" w:cs="Arial"/>
          <w:b/>
        </w:rPr>
        <w:t>. január 1. napjától</w:t>
      </w:r>
      <w:r w:rsidRPr="0067323D">
        <w:rPr>
          <w:rFonts w:ascii="Arial" w:hAnsi="Arial" w:cs="Arial"/>
        </w:rPr>
        <w:t>: szállásépület, szálláshely - ide nem értve az egyéb</w:t>
      </w:r>
      <w:r w:rsidR="00B95C23">
        <w:rPr>
          <w:rFonts w:ascii="Arial" w:hAnsi="Arial" w:cs="Arial"/>
        </w:rPr>
        <w:t>-, magán</w:t>
      </w:r>
      <w:r w:rsidRPr="0067323D">
        <w:rPr>
          <w:rFonts w:ascii="Arial" w:hAnsi="Arial" w:cs="Arial"/>
        </w:rPr>
        <w:t xml:space="preserve">szálláshelyet - esetén </w:t>
      </w:r>
      <w:r w:rsidR="00B23998" w:rsidRPr="00B23998">
        <w:rPr>
          <w:rFonts w:ascii="Arial" w:hAnsi="Arial" w:cs="Arial"/>
        </w:rPr>
        <w:t>1.</w:t>
      </w:r>
      <w:r w:rsidR="00015F74">
        <w:rPr>
          <w:rFonts w:ascii="Arial" w:hAnsi="Arial" w:cs="Arial"/>
        </w:rPr>
        <w:t>0</w:t>
      </w:r>
      <w:r w:rsidR="00B23998" w:rsidRPr="00B23998">
        <w:rPr>
          <w:rFonts w:ascii="Arial" w:hAnsi="Arial" w:cs="Arial"/>
        </w:rPr>
        <w:t>00 forint/m</w:t>
      </w:r>
      <w:r w:rsidR="00B23998" w:rsidRPr="00B23998">
        <w:rPr>
          <w:rFonts w:ascii="Arial" w:hAnsi="Arial" w:cs="Arial"/>
          <w:vertAlign w:val="superscript"/>
        </w:rPr>
        <w:t>2</w:t>
      </w:r>
      <w:r w:rsidR="00B23998" w:rsidRPr="00B23998">
        <w:rPr>
          <w:rFonts w:ascii="Arial" w:hAnsi="Arial" w:cs="Arial"/>
        </w:rPr>
        <w:t>/évről</w:t>
      </w:r>
      <w:r w:rsidR="00B23998">
        <w:rPr>
          <w:rFonts w:ascii="Arial" w:hAnsi="Arial" w:cs="Arial"/>
        </w:rPr>
        <w:t xml:space="preserve"> </w:t>
      </w:r>
      <w:r w:rsidR="00B23998" w:rsidRPr="00B23998">
        <w:rPr>
          <w:rFonts w:ascii="Arial" w:hAnsi="Arial" w:cs="Arial"/>
        </w:rPr>
        <w:t>-</w:t>
      </w:r>
      <w:r w:rsidR="00B23998">
        <w:rPr>
          <w:rFonts w:ascii="Arial" w:hAnsi="Arial" w:cs="Arial"/>
          <w:b/>
        </w:rPr>
        <w:t xml:space="preserve"> </w:t>
      </w:r>
      <w:r w:rsidRPr="00980F8A">
        <w:rPr>
          <w:rFonts w:ascii="Arial" w:hAnsi="Arial" w:cs="Arial"/>
          <w:b/>
        </w:rPr>
        <w:t>1.</w:t>
      </w:r>
      <w:r w:rsidR="009B782D">
        <w:rPr>
          <w:rFonts w:ascii="Arial" w:hAnsi="Arial" w:cs="Arial"/>
          <w:b/>
        </w:rPr>
        <w:t>200</w:t>
      </w:r>
      <w:r w:rsidRPr="0067323D">
        <w:rPr>
          <w:rFonts w:ascii="Arial" w:hAnsi="Arial" w:cs="Arial"/>
        </w:rPr>
        <w:t xml:space="preserve"> </w:t>
      </w:r>
      <w:r w:rsidRPr="00980F8A">
        <w:rPr>
          <w:rFonts w:ascii="Arial" w:hAnsi="Arial" w:cs="Arial"/>
          <w:b/>
        </w:rPr>
        <w:t>forint/m</w:t>
      </w:r>
      <w:r w:rsidRPr="00980F8A">
        <w:rPr>
          <w:rFonts w:ascii="Arial" w:hAnsi="Arial" w:cs="Arial"/>
          <w:b/>
          <w:vertAlign w:val="superscript"/>
        </w:rPr>
        <w:t>2</w:t>
      </w:r>
      <w:r w:rsidRPr="00980F8A">
        <w:rPr>
          <w:rFonts w:ascii="Arial" w:hAnsi="Arial" w:cs="Arial"/>
          <w:b/>
        </w:rPr>
        <w:t>/év</w:t>
      </w:r>
      <w:r w:rsidR="00B95C23">
        <w:rPr>
          <w:rFonts w:ascii="Arial" w:hAnsi="Arial" w:cs="Arial"/>
          <w:b/>
        </w:rPr>
        <w:t>re</w:t>
      </w:r>
      <w:r w:rsidRPr="00980F8A">
        <w:rPr>
          <w:rFonts w:ascii="Arial" w:hAnsi="Arial" w:cs="Arial"/>
          <w:b/>
        </w:rPr>
        <w:t>.</w:t>
      </w:r>
      <w:r w:rsidRPr="0067323D">
        <w:rPr>
          <w:rFonts w:ascii="Arial" w:hAnsi="Arial" w:cs="Arial"/>
        </w:rPr>
        <w:t xml:space="preserve"> Kereskedelmi egység, iroda, szolgáltató tevékenység végzésre szolgáló építmény esetén, - ide nem értve az </w:t>
      </w:r>
      <w:r w:rsidRPr="0067323D">
        <w:rPr>
          <w:rFonts w:ascii="Arial" w:hAnsi="Arial" w:cs="Arial"/>
          <w:i/>
          <w:iCs/>
        </w:rPr>
        <w:t>előzőekben említettek</w:t>
      </w:r>
      <w:r w:rsidRPr="0067323D">
        <w:rPr>
          <w:rFonts w:ascii="Arial" w:hAnsi="Arial" w:cs="Arial"/>
        </w:rPr>
        <w:t xml:space="preserve"> hatálya alá tartozó építményeket - </w:t>
      </w:r>
      <w:r w:rsidR="00B23998" w:rsidRPr="00B23998">
        <w:rPr>
          <w:rFonts w:ascii="Arial" w:hAnsi="Arial" w:cs="Arial"/>
        </w:rPr>
        <w:t>800 forint/m</w:t>
      </w:r>
      <w:r w:rsidR="00B23998" w:rsidRPr="00B23998">
        <w:rPr>
          <w:rFonts w:ascii="Arial" w:hAnsi="Arial" w:cs="Arial"/>
          <w:vertAlign w:val="superscript"/>
        </w:rPr>
        <w:t>2</w:t>
      </w:r>
      <w:r w:rsidR="00B23998" w:rsidRPr="00B23998">
        <w:rPr>
          <w:rFonts w:ascii="Arial" w:hAnsi="Arial" w:cs="Arial"/>
        </w:rPr>
        <w:t xml:space="preserve">/évről </w:t>
      </w:r>
      <w:r w:rsidR="00B23998">
        <w:rPr>
          <w:rFonts w:ascii="Arial" w:hAnsi="Arial" w:cs="Arial"/>
        </w:rPr>
        <w:t xml:space="preserve">- </w:t>
      </w:r>
      <w:r w:rsidR="009B782D">
        <w:rPr>
          <w:rFonts w:ascii="Arial" w:hAnsi="Arial" w:cs="Arial"/>
          <w:b/>
        </w:rPr>
        <w:t>960</w:t>
      </w:r>
      <w:r w:rsidRPr="00980F8A">
        <w:rPr>
          <w:rFonts w:ascii="Arial" w:hAnsi="Arial" w:cs="Arial"/>
          <w:b/>
        </w:rPr>
        <w:t xml:space="preserve"> forint/m</w:t>
      </w:r>
      <w:r w:rsidRPr="00980F8A">
        <w:rPr>
          <w:rFonts w:ascii="Arial" w:hAnsi="Arial" w:cs="Arial"/>
          <w:b/>
          <w:vertAlign w:val="superscript"/>
        </w:rPr>
        <w:t>2</w:t>
      </w:r>
      <w:r w:rsidRPr="00980F8A">
        <w:rPr>
          <w:rFonts w:ascii="Arial" w:hAnsi="Arial" w:cs="Arial"/>
          <w:b/>
        </w:rPr>
        <w:t>/év</w:t>
      </w:r>
      <w:r w:rsidR="00B95C23">
        <w:rPr>
          <w:rFonts w:ascii="Arial" w:hAnsi="Arial" w:cs="Arial"/>
          <w:b/>
        </w:rPr>
        <w:t>re</w:t>
      </w:r>
      <w:r w:rsidRPr="0067323D">
        <w:rPr>
          <w:rFonts w:ascii="Arial" w:hAnsi="Arial" w:cs="Arial"/>
        </w:rPr>
        <w:t xml:space="preserve">. Lakás, lakóépület, a lakáshoz, üdülőhöz tartozó gépjárműtároló és minden más építmény, amely az előző két esetben leírtak hatálya alá nem tartozó építmény esetén </w:t>
      </w:r>
      <w:r w:rsidR="00B23998" w:rsidRPr="00B23998">
        <w:rPr>
          <w:rFonts w:ascii="Arial" w:hAnsi="Arial" w:cs="Arial"/>
        </w:rPr>
        <w:t>600 forint/m</w:t>
      </w:r>
      <w:r w:rsidR="00B23998" w:rsidRPr="00B23998">
        <w:rPr>
          <w:rFonts w:ascii="Arial" w:hAnsi="Arial" w:cs="Arial"/>
          <w:vertAlign w:val="superscript"/>
        </w:rPr>
        <w:t>2</w:t>
      </w:r>
      <w:r w:rsidR="00B23998" w:rsidRPr="00B23998">
        <w:rPr>
          <w:rFonts w:ascii="Arial" w:hAnsi="Arial" w:cs="Arial"/>
        </w:rPr>
        <w:t>/évről</w:t>
      </w:r>
      <w:r w:rsidR="00B23998">
        <w:rPr>
          <w:rFonts w:ascii="Arial" w:hAnsi="Arial" w:cs="Arial"/>
        </w:rPr>
        <w:t xml:space="preserve"> </w:t>
      </w:r>
      <w:r w:rsidR="00B23998" w:rsidRPr="00B23998">
        <w:rPr>
          <w:rFonts w:ascii="Arial" w:hAnsi="Arial" w:cs="Arial"/>
        </w:rPr>
        <w:t>-</w:t>
      </w:r>
      <w:r w:rsidR="00B23998">
        <w:rPr>
          <w:rFonts w:ascii="Arial" w:hAnsi="Arial" w:cs="Arial"/>
          <w:b/>
        </w:rPr>
        <w:t xml:space="preserve"> </w:t>
      </w:r>
      <w:r w:rsidR="009B782D">
        <w:rPr>
          <w:rFonts w:ascii="Arial" w:hAnsi="Arial" w:cs="Arial"/>
          <w:b/>
        </w:rPr>
        <w:t>72</w:t>
      </w:r>
      <w:r w:rsidRPr="00980F8A">
        <w:rPr>
          <w:rFonts w:ascii="Arial" w:hAnsi="Arial" w:cs="Arial"/>
          <w:b/>
        </w:rPr>
        <w:t>0 forint/m</w:t>
      </w:r>
      <w:r w:rsidRPr="00980F8A">
        <w:rPr>
          <w:rFonts w:ascii="Arial" w:hAnsi="Arial" w:cs="Arial"/>
          <w:b/>
          <w:vertAlign w:val="superscript"/>
        </w:rPr>
        <w:t>2</w:t>
      </w:r>
      <w:r w:rsidRPr="00980F8A">
        <w:rPr>
          <w:rFonts w:ascii="Arial" w:hAnsi="Arial" w:cs="Arial"/>
          <w:b/>
        </w:rPr>
        <w:t>/év</w:t>
      </w:r>
      <w:r w:rsidR="00B95C23">
        <w:rPr>
          <w:rFonts w:ascii="Arial" w:hAnsi="Arial" w:cs="Arial"/>
          <w:b/>
        </w:rPr>
        <w:t>re</w:t>
      </w:r>
      <w:r w:rsidRPr="00980F8A">
        <w:rPr>
          <w:rFonts w:ascii="Arial" w:hAnsi="Arial" w:cs="Arial"/>
          <w:b/>
        </w:rPr>
        <w:t>.</w:t>
      </w:r>
    </w:p>
    <w:p w:rsidR="0089182F" w:rsidRDefault="0089182F" w:rsidP="0006724C">
      <w:pPr>
        <w:pStyle w:val="Listaszerbekezds"/>
        <w:spacing w:after="200" w:line="276" w:lineRule="auto"/>
        <w:ind w:left="0"/>
        <w:jc w:val="both"/>
        <w:rPr>
          <w:rFonts w:ascii="Arial" w:hAnsi="Arial" w:cs="Arial"/>
          <w:b/>
        </w:rPr>
      </w:pPr>
    </w:p>
    <w:p w:rsidR="0006724C" w:rsidRPr="00C43F42" w:rsidRDefault="00B23998" w:rsidP="0006724C">
      <w:pPr>
        <w:pStyle w:val="Listaszerbekezds"/>
        <w:spacing w:after="200" w:line="276" w:lineRule="auto"/>
        <w:ind w:left="0"/>
        <w:jc w:val="both"/>
        <w:rPr>
          <w:rFonts w:ascii="Arial" w:hAnsi="Arial" w:cs="Arial"/>
          <w:color w:val="0070C0"/>
        </w:rPr>
      </w:pPr>
      <w:r w:rsidRPr="009855FF">
        <w:rPr>
          <w:rFonts w:ascii="Arial" w:hAnsi="Arial" w:cs="Arial"/>
        </w:rPr>
        <w:t xml:space="preserve">Az </w:t>
      </w:r>
      <w:r w:rsidR="00A91602" w:rsidRPr="009855FF">
        <w:rPr>
          <w:rFonts w:ascii="Arial" w:hAnsi="Arial" w:cs="Arial"/>
        </w:rPr>
        <w:t xml:space="preserve">adómérték </w:t>
      </w:r>
      <w:r w:rsidRPr="009855FF">
        <w:rPr>
          <w:rFonts w:ascii="Arial" w:hAnsi="Arial" w:cs="Arial"/>
        </w:rPr>
        <w:t>emelés</w:t>
      </w:r>
      <w:r w:rsidR="00A91602" w:rsidRPr="009855FF">
        <w:rPr>
          <w:rFonts w:ascii="Arial" w:hAnsi="Arial" w:cs="Arial"/>
        </w:rPr>
        <w:t>ről</w:t>
      </w:r>
      <w:r w:rsidRPr="009855FF">
        <w:rPr>
          <w:rFonts w:ascii="Arial" w:hAnsi="Arial" w:cs="Arial"/>
        </w:rPr>
        <w:t xml:space="preserve"> </w:t>
      </w:r>
      <w:r w:rsidR="00B95C23" w:rsidRPr="009855FF">
        <w:rPr>
          <w:rFonts w:ascii="Arial" w:hAnsi="Arial" w:cs="Arial"/>
        </w:rPr>
        <w:t xml:space="preserve">2023. év elején </w:t>
      </w:r>
      <w:r w:rsidR="00A91602" w:rsidRPr="009855FF">
        <w:rPr>
          <w:rFonts w:ascii="Arial" w:hAnsi="Arial" w:cs="Arial"/>
        </w:rPr>
        <w:t xml:space="preserve">határozatban tájékoztattuk adózóinkat, összesen </w:t>
      </w:r>
      <w:r w:rsidRPr="009855FF">
        <w:rPr>
          <w:rFonts w:ascii="Arial" w:hAnsi="Arial" w:cs="Arial"/>
        </w:rPr>
        <w:t>3944 határozat készült el</w:t>
      </w:r>
      <w:r w:rsidR="00A91602" w:rsidRPr="009855FF">
        <w:rPr>
          <w:rFonts w:ascii="Arial" w:hAnsi="Arial" w:cs="Arial"/>
        </w:rPr>
        <w:t>, melyből</w:t>
      </w:r>
      <w:r w:rsidRPr="009855FF">
        <w:rPr>
          <w:rFonts w:ascii="Arial" w:hAnsi="Arial" w:cs="Arial"/>
        </w:rPr>
        <w:t xml:space="preserve"> </w:t>
      </w:r>
      <w:r w:rsidR="00A91602" w:rsidRPr="009855FF">
        <w:rPr>
          <w:rFonts w:ascii="Arial" w:hAnsi="Arial" w:cs="Arial"/>
        </w:rPr>
        <w:t>e</w:t>
      </w:r>
      <w:r w:rsidRPr="009855FF">
        <w:rPr>
          <w:rFonts w:ascii="Arial" w:hAnsi="Arial" w:cs="Arial"/>
        </w:rPr>
        <w:t>lektronikusan 1026 db</w:t>
      </w:r>
      <w:r w:rsidR="00A91602" w:rsidRPr="009855FF">
        <w:rPr>
          <w:rFonts w:ascii="Arial" w:hAnsi="Arial" w:cs="Arial"/>
        </w:rPr>
        <w:t>, postai úton 2918 db került kiküldésre.</w:t>
      </w:r>
      <w:r w:rsidR="00C43F42" w:rsidRPr="009855FF">
        <w:rPr>
          <w:rFonts w:ascii="Arial" w:hAnsi="Arial" w:cs="Arial"/>
        </w:rPr>
        <w:t xml:space="preserve"> Ez igen jelentős munkaterhelést jelentő feladat volt, amelyet sikerült pontosan határidőre teljesíteni</w:t>
      </w:r>
      <w:r w:rsidR="00C43F42" w:rsidRPr="00C43F42">
        <w:rPr>
          <w:rFonts w:ascii="Arial" w:hAnsi="Arial" w:cs="Arial"/>
          <w:color w:val="0070C0"/>
        </w:rPr>
        <w:t xml:space="preserve">. </w:t>
      </w:r>
      <w:r w:rsidR="00A91602" w:rsidRPr="00C43F42">
        <w:rPr>
          <w:rFonts w:ascii="Arial" w:hAnsi="Arial" w:cs="Arial"/>
          <w:color w:val="0070C0"/>
        </w:rPr>
        <w:t xml:space="preserve"> </w:t>
      </w:r>
    </w:p>
    <w:p w:rsidR="00ED0EC1" w:rsidRDefault="00E05566" w:rsidP="00B95C23">
      <w:pPr>
        <w:jc w:val="both"/>
        <w:rPr>
          <w:rFonts w:ascii="Arial" w:hAnsi="Arial" w:cs="Arial"/>
          <w:b/>
        </w:rPr>
      </w:pPr>
      <w:r w:rsidRPr="00B95C23">
        <w:rPr>
          <w:rFonts w:ascii="Arial" w:hAnsi="Arial" w:cs="Arial"/>
          <w:b/>
        </w:rPr>
        <w:t>Építményadó hatálya alá tartozó adózók száma az alábbiak szerint alakult:</w:t>
      </w:r>
      <w:r w:rsidR="00B95C23">
        <w:rPr>
          <w:rFonts w:ascii="Arial" w:hAnsi="Arial" w:cs="Arial"/>
          <w:b/>
        </w:rPr>
        <w:t xml:space="preserve"> </w:t>
      </w:r>
      <w:r w:rsidR="007E5075" w:rsidRPr="007E5075">
        <w:rPr>
          <w:rFonts w:ascii="Arial" w:hAnsi="Arial" w:cs="Arial"/>
        </w:rPr>
        <w:t>202</w:t>
      </w:r>
      <w:r w:rsidR="009B782D">
        <w:rPr>
          <w:rFonts w:ascii="Arial" w:hAnsi="Arial" w:cs="Arial"/>
        </w:rPr>
        <w:t>3</w:t>
      </w:r>
      <w:r w:rsidR="007E5075" w:rsidRPr="007E5075">
        <w:rPr>
          <w:rFonts w:ascii="Arial" w:hAnsi="Arial" w:cs="Arial"/>
        </w:rPr>
        <w:t xml:space="preserve">. évi </w:t>
      </w:r>
      <w:r w:rsidR="001E59C4">
        <w:rPr>
          <w:rFonts w:ascii="Arial" w:hAnsi="Arial" w:cs="Arial"/>
        </w:rPr>
        <w:t>z</w:t>
      </w:r>
      <w:r w:rsidR="007E5075" w:rsidRPr="007E5075">
        <w:rPr>
          <w:rFonts w:ascii="Arial" w:hAnsi="Arial" w:cs="Arial"/>
        </w:rPr>
        <w:t>árás alapján a</w:t>
      </w:r>
      <w:r w:rsidR="008C0E52">
        <w:rPr>
          <w:rFonts w:ascii="Arial" w:hAnsi="Arial" w:cs="Arial"/>
        </w:rPr>
        <w:t xml:space="preserve"> </w:t>
      </w:r>
      <w:r w:rsidR="008C0E52" w:rsidRPr="00564F6B">
        <w:rPr>
          <w:rFonts w:ascii="Arial" w:hAnsi="Arial" w:cs="Arial"/>
          <w:b/>
        </w:rPr>
        <w:t>ténylegesen fizető</w:t>
      </w:r>
      <w:r w:rsidR="007E5075" w:rsidRPr="00564F6B">
        <w:rPr>
          <w:rFonts w:ascii="Arial" w:hAnsi="Arial" w:cs="Arial"/>
          <w:b/>
        </w:rPr>
        <w:t xml:space="preserve"> adózók</w:t>
      </w:r>
      <w:r w:rsidR="007E5075" w:rsidRPr="007E5075">
        <w:rPr>
          <w:rFonts w:ascii="Arial" w:hAnsi="Arial" w:cs="Arial"/>
        </w:rPr>
        <w:t xml:space="preserve"> száma </w:t>
      </w:r>
      <w:r w:rsidR="008C0E52">
        <w:rPr>
          <w:rFonts w:ascii="Arial" w:hAnsi="Arial" w:cs="Arial"/>
        </w:rPr>
        <w:t xml:space="preserve">duplázódás nélkül </w:t>
      </w:r>
      <w:r w:rsidR="007E5075" w:rsidRPr="007E5075">
        <w:rPr>
          <w:rFonts w:ascii="Arial" w:hAnsi="Arial" w:cs="Arial"/>
        </w:rPr>
        <w:t>202</w:t>
      </w:r>
      <w:r w:rsidR="009B782D">
        <w:rPr>
          <w:rFonts w:ascii="Arial" w:hAnsi="Arial" w:cs="Arial"/>
        </w:rPr>
        <w:t>3</w:t>
      </w:r>
      <w:r w:rsidR="007E5075" w:rsidRPr="007E5075">
        <w:rPr>
          <w:rFonts w:ascii="Arial" w:hAnsi="Arial" w:cs="Arial"/>
        </w:rPr>
        <w:t xml:space="preserve">.12.31. állapot szerint </w:t>
      </w:r>
      <w:r w:rsidR="009B782D">
        <w:rPr>
          <w:rFonts w:ascii="Arial" w:hAnsi="Arial" w:cs="Arial"/>
          <w:b/>
        </w:rPr>
        <w:t>3 498</w:t>
      </w:r>
      <w:r w:rsidR="00564F6B">
        <w:rPr>
          <w:rFonts w:ascii="Arial" w:hAnsi="Arial" w:cs="Arial"/>
          <w:b/>
        </w:rPr>
        <w:t xml:space="preserve"> adózó</w:t>
      </w:r>
      <w:r w:rsidR="007E5075" w:rsidRPr="00564F6B">
        <w:rPr>
          <w:rFonts w:ascii="Arial" w:hAnsi="Arial" w:cs="Arial"/>
          <w:b/>
        </w:rPr>
        <w:t>.</w:t>
      </w:r>
    </w:p>
    <w:p w:rsidR="00E05566" w:rsidRPr="00DF123F" w:rsidRDefault="00E05566" w:rsidP="0006724C">
      <w:pPr>
        <w:spacing w:before="120" w:after="120"/>
        <w:ind w:firstLine="708"/>
        <w:jc w:val="both"/>
        <w:rPr>
          <w:rFonts w:ascii="Arial" w:hAnsi="Arial" w:cs="Arial"/>
          <w:b/>
        </w:rPr>
      </w:pPr>
      <w:r w:rsidRPr="00DF123F">
        <w:rPr>
          <w:rFonts w:ascii="Arial" w:hAnsi="Arial" w:cs="Arial"/>
          <w:b/>
        </w:rPr>
        <w:t xml:space="preserve">Az építményadó kivetések </w:t>
      </w:r>
      <w:proofErr w:type="spellStart"/>
      <w:r w:rsidRPr="00DF123F">
        <w:rPr>
          <w:rFonts w:ascii="Arial" w:hAnsi="Arial" w:cs="Arial"/>
          <w:b/>
        </w:rPr>
        <w:t>fajtánként</w:t>
      </w:r>
      <w:proofErr w:type="spellEnd"/>
      <w:r w:rsidRPr="00DF123F">
        <w:rPr>
          <w:rFonts w:ascii="Arial" w:hAnsi="Arial" w:cs="Arial"/>
          <w:b/>
        </w:rPr>
        <w:t xml:space="preserve"> az alábbiak szerint oszlanak meg:</w:t>
      </w:r>
    </w:p>
    <w:tbl>
      <w:tblPr>
        <w:tblW w:w="94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571"/>
        <w:gridCol w:w="1540"/>
        <w:gridCol w:w="2001"/>
        <w:gridCol w:w="1610"/>
      </w:tblGrid>
      <w:tr w:rsidR="00DA2BC4" w:rsidRPr="00DF123F" w:rsidTr="00DA2BC4">
        <w:trPr>
          <w:trHeight w:val="180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C4" w:rsidRPr="00DF123F" w:rsidRDefault="00DA2BC4" w:rsidP="002A36AE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hu-HU"/>
              </w:rPr>
            </w:pPr>
            <w:r w:rsidRPr="00DF123F">
              <w:rPr>
                <w:rFonts w:ascii="Arial" w:eastAsia="Times New Roman" w:hAnsi="Arial" w:cs="Arial"/>
                <w:bCs/>
                <w:lang w:eastAsia="hu-HU"/>
              </w:rPr>
              <w:t>Lakás darabszám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C4" w:rsidRPr="00DF123F" w:rsidRDefault="00DA2BC4" w:rsidP="002A36AE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hu-HU"/>
              </w:rPr>
            </w:pPr>
            <w:r w:rsidRPr="00DF123F">
              <w:rPr>
                <w:rFonts w:ascii="Arial" w:eastAsia="Times New Roman" w:hAnsi="Arial" w:cs="Arial"/>
                <w:bCs/>
                <w:lang w:eastAsia="hu-HU"/>
              </w:rPr>
              <w:t>Üdülő darabszám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C4" w:rsidRPr="00DF123F" w:rsidRDefault="00DA2BC4" w:rsidP="002A36AE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hu-HU"/>
              </w:rPr>
            </w:pPr>
            <w:r w:rsidRPr="00DF123F">
              <w:rPr>
                <w:rFonts w:ascii="Arial" w:eastAsia="Times New Roman" w:hAnsi="Arial" w:cs="Arial"/>
                <w:bCs/>
                <w:lang w:eastAsia="hu-HU"/>
              </w:rPr>
              <w:t>Kereskedelmi egység darabszám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C4" w:rsidRPr="00DF123F" w:rsidRDefault="00DA2BC4" w:rsidP="002A36AE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hu-HU"/>
              </w:rPr>
            </w:pPr>
            <w:r w:rsidRPr="00DF123F">
              <w:rPr>
                <w:rFonts w:ascii="Arial" w:eastAsia="Times New Roman" w:hAnsi="Arial" w:cs="Arial"/>
                <w:bCs/>
                <w:lang w:eastAsia="hu-HU"/>
              </w:rPr>
              <w:t>Szállásépület darabszám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C4" w:rsidRPr="00DF123F" w:rsidRDefault="00DA2BC4" w:rsidP="002A36AE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hu-HU"/>
              </w:rPr>
            </w:pPr>
            <w:r w:rsidRPr="00DF123F">
              <w:rPr>
                <w:rFonts w:ascii="Arial" w:eastAsia="Times New Roman" w:hAnsi="Arial" w:cs="Arial"/>
                <w:bCs/>
                <w:lang w:eastAsia="hu-HU"/>
              </w:rPr>
              <w:t>Egyéb nem lakás céljára szolgáló épület darabszám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BC4" w:rsidRDefault="00DA2BC4" w:rsidP="002A36AE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hu-HU"/>
              </w:rPr>
            </w:pPr>
          </w:p>
          <w:p w:rsidR="00564F6B" w:rsidRDefault="00564F6B" w:rsidP="002A36AE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hu-HU"/>
              </w:rPr>
            </w:pPr>
          </w:p>
          <w:p w:rsidR="00564F6B" w:rsidRDefault="00564F6B" w:rsidP="002A36AE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hu-HU"/>
              </w:rPr>
            </w:pPr>
          </w:p>
          <w:p w:rsidR="00564F6B" w:rsidRPr="00DF123F" w:rsidRDefault="00564F6B" w:rsidP="002A36AE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Összesen:</w:t>
            </w:r>
          </w:p>
        </w:tc>
      </w:tr>
      <w:tr w:rsidR="00DA2BC4" w:rsidRPr="00B654BC" w:rsidTr="00DA2BC4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82D" w:rsidRPr="00233AC1" w:rsidRDefault="009B782D" w:rsidP="009B782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lang w:eastAsia="hu-HU"/>
              </w:rPr>
              <w:t>5209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C4" w:rsidRPr="00233AC1" w:rsidRDefault="009B782D" w:rsidP="00233AC1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lang w:eastAsia="hu-HU"/>
              </w:rPr>
              <w:t>224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C4" w:rsidRPr="00233AC1" w:rsidRDefault="00DA2BC4" w:rsidP="002A36AE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233AC1">
              <w:rPr>
                <w:rFonts w:ascii="Arial" w:eastAsia="Times New Roman" w:hAnsi="Arial" w:cs="Arial"/>
                <w:b/>
                <w:bCs/>
                <w:lang w:eastAsia="hu-HU"/>
              </w:rPr>
              <w:t>5</w:t>
            </w:r>
            <w:r w:rsidR="009B782D">
              <w:rPr>
                <w:rFonts w:ascii="Arial" w:eastAsia="Times New Roman" w:hAnsi="Arial" w:cs="Arial"/>
                <w:b/>
                <w:bCs/>
                <w:lang w:eastAsia="hu-HU"/>
              </w:rPr>
              <w:t>6</w:t>
            </w:r>
            <w:r w:rsidRPr="00233AC1">
              <w:rPr>
                <w:rFonts w:ascii="Arial" w:eastAsia="Times New Roman" w:hAnsi="Arial" w:cs="Arial"/>
                <w:b/>
                <w:bCs/>
                <w:lang w:eastAsia="hu-H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C4" w:rsidRPr="00233AC1" w:rsidRDefault="009B782D" w:rsidP="002A36AE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lang w:eastAsia="hu-HU"/>
              </w:rPr>
              <w:t>61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C4" w:rsidRPr="00233AC1" w:rsidRDefault="009B782D" w:rsidP="00DF123F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lang w:eastAsia="hu-HU"/>
              </w:rPr>
              <w:t>2072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BC4" w:rsidRPr="00233AC1" w:rsidRDefault="009B782D" w:rsidP="00DF123F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lang w:eastAsia="hu-HU"/>
              </w:rPr>
              <w:t>8 126</w:t>
            </w:r>
          </w:p>
        </w:tc>
      </w:tr>
    </w:tbl>
    <w:p w:rsidR="00E05566" w:rsidRPr="00B654BC" w:rsidRDefault="00E05566" w:rsidP="0006724C">
      <w:pPr>
        <w:contextualSpacing/>
        <w:jc w:val="both"/>
        <w:rPr>
          <w:rFonts w:ascii="Arial" w:hAnsi="Arial" w:cs="Arial"/>
          <w:highlight w:val="yellow"/>
        </w:rPr>
      </w:pPr>
    </w:p>
    <w:p w:rsidR="00B95C23" w:rsidRDefault="00E05566" w:rsidP="0006724C">
      <w:pPr>
        <w:pStyle w:val="Listaszerbekezds"/>
        <w:spacing w:after="200" w:line="276" w:lineRule="auto"/>
        <w:ind w:left="0"/>
        <w:jc w:val="both"/>
        <w:rPr>
          <w:rFonts w:ascii="Arial" w:hAnsi="Arial" w:cs="Arial"/>
        </w:rPr>
      </w:pPr>
      <w:bookmarkStart w:id="1" w:name="_Hlk98924259"/>
      <w:r w:rsidRPr="0067323D">
        <w:rPr>
          <w:rFonts w:ascii="Arial" w:hAnsi="Arial" w:cs="Arial"/>
        </w:rPr>
        <w:t>A</w:t>
      </w:r>
      <w:r w:rsidR="00B95C23">
        <w:rPr>
          <w:rFonts w:ascii="Arial" w:hAnsi="Arial" w:cs="Arial"/>
        </w:rPr>
        <w:t xml:space="preserve">z </w:t>
      </w:r>
      <w:r w:rsidRPr="0067323D">
        <w:rPr>
          <w:rFonts w:ascii="Arial" w:hAnsi="Arial" w:cs="Arial"/>
        </w:rPr>
        <w:t>Ör. 5. § (1)</w:t>
      </w:r>
      <w:r w:rsidR="00B95C23">
        <w:rPr>
          <w:rFonts w:ascii="Arial" w:hAnsi="Arial" w:cs="Arial"/>
        </w:rPr>
        <w:t xml:space="preserve"> – (4)</w:t>
      </w:r>
      <w:r w:rsidRPr="0067323D">
        <w:rPr>
          <w:rFonts w:ascii="Arial" w:hAnsi="Arial" w:cs="Arial"/>
        </w:rPr>
        <w:t xml:space="preserve"> </w:t>
      </w:r>
      <w:r w:rsidR="00B95C23" w:rsidRPr="0067323D">
        <w:rPr>
          <w:rFonts w:ascii="Arial" w:hAnsi="Arial" w:cs="Arial"/>
        </w:rPr>
        <w:t>bekezdése</w:t>
      </w:r>
      <w:r w:rsidR="00B95C23">
        <w:rPr>
          <w:rFonts w:ascii="Arial" w:hAnsi="Arial" w:cs="Arial"/>
        </w:rPr>
        <w:t>i</w:t>
      </w:r>
      <w:r w:rsidR="00B95C23" w:rsidRPr="0067323D">
        <w:rPr>
          <w:rFonts w:ascii="Arial" w:hAnsi="Arial" w:cs="Arial"/>
        </w:rPr>
        <w:t xml:space="preserve"> </w:t>
      </w:r>
      <w:r w:rsidR="00B95C23">
        <w:rPr>
          <w:rFonts w:ascii="Arial" w:hAnsi="Arial" w:cs="Arial"/>
        </w:rPr>
        <w:t>az alábbiakról rendelkeznek:</w:t>
      </w:r>
    </w:p>
    <w:p w:rsidR="00B95C23" w:rsidRPr="00B95C23" w:rsidRDefault="00B95C23" w:rsidP="00B95C23">
      <w:pPr>
        <w:jc w:val="center"/>
        <w:rPr>
          <w:rFonts w:ascii="Arial" w:hAnsi="Arial" w:cs="Arial"/>
          <w:i/>
        </w:rPr>
      </w:pPr>
      <w:r w:rsidRPr="00B95C23">
        <w:rPr>
          <w:rFonts w:ascii="Arial" w:hAnsi="Arial" w:cs="Arial"/>
          <w:i/>
        </w:rPr>
        <w:t>„Adókedvezmény</w:t>
      </w:r>
    </w:p>
    <w:p w:rsidR="00B95C23" w:rsidRPr="00B95C23" w:rsidRDefault="00B95C23" w:rsidP="00B95C23">
      <w:pPr>
        <w:spacing w:after="0" w:line="240" w:lineRule="auto"/>
        <w:jc w:val="both"/>
        <w:rPr>
          <w:rFonts w:ascii="Arial" w:hAnsi="Arial" w:cs="Arial"/>
          <w:i/>
        </w:rPr>
      </w:pPr>
      <w:r w:rsidRPr="00B95C23">
        <w:rPr>
          <w:rFonts w:ascii="Arial" w:hAnsi="Arial" w:cs="Arial"/>
          <w:i/>
        </w:rPr>
        <w:t>5. § (1) </w:t>
      </w:r>
      <w:proofErr w:type="gramStart"/>
      <w:r w:rsidRPr="00B95C23">
        <w:rPr>
          <w:rFonts w:ascii="Arial" w:hAnsi="Arial" w:cs="Arial"/>
          <w:i/>
        </w:rPr>
        <w:t>*  Az</w:t>
      </w:r>
      <w:proofErr w:type="gramEnd"/>
      <w:r w:rsidRPr="00B95C23">
        <w:rPr>
          <w:rFonts w:ascii="Arial" w:hAnsi="Arial" w:cs="Arial"/>
          <w:i/>
        </w:rPr>
        <w:t xml:space="preserve"> Önkormányzat 100%-os adókedvezményt biztosít azon lakás, és a lakáshoz tartozó rendeltetésszerűen használt gépjárműtároló tulajdonosai részére – tulajdonuk arányában – akik tárgy év január 1. napján az adott ingatlanban életvitelszerűen tartózkodnak.</w:t>
      </w:r>
    </w:p>
    <w:p w:rsidR="00B95C23" w:rsidRPr="00B95C23" w:rsidRDefault="00B95C23" w:rsidP="00B95C23">
      <w:pPr>
        <w:spacing w:after="0" w:line="240" w:lineRule="auto"/>
        <w:jc w:val="both"/>
        <w:rPr>
          <w:rFonts w:ascii="Arial" w:hAnsi="Arial" w:cs="Arial"/>
          <w:i/>
        </w:rPr>
      </w:pPr>
      <w:r w:rsidRPr="00B95C23">
        <w:rPr>
          <w:rFonts w:ascii="Arial" w:hAnsi="Arial" w:cs="Arial"/>
          <w:i/>
        </w:rPr>
        <w:t>(2) </w:t>
      </w:r>
      <w:proofErr w:type="gramStart"/>
      <w:r w:rsidRPr="00B95C23">
        <w:rPr>
          <w:rFonts w:ascii="Arial" w:hAnsi="Arial" w:cs="Arial"/>
          <w:i/>
        </w:rPr>
        <w:t>*  Amennyiben</w:t>
      </w:r>
      <w:proofErr w:type="gramEnd"/>
      <w:r w:rsidRPr="00B95C23">
        <w:rPr>
          <w:rFonts w:ascii="Arial" w:hAnsi="Arial" w:cs="Arial"/>
          <w:i/>
        </w:rPr>
        <w:t xml:space="preserve"> az (1) bekezdésben foglalt adóalanyok a gépjárműtárolás céljára szolgáló helyiséget – akár ideiglenesen is – nem rendeltetésszerűen használják, az a használat jellege szerint adóköteles.</w:t>
      </w:r>
    </w:p>
    <w:p w:rsidR="00B95C23" w:rsidRPr="00B95C23" w:rsidRDefault="00B95C23" w:rsidP="00B95C23">
      <w:pPr>
        <w:spacing w:after="0" w:line="240" w:lineRule="auto"/>
        <w:jc w:val="both"/>
        <w:rPr>
          <w:rFonts w:ascii="Arial" w:hAnsi="Arial" w:cs="Arial"/>
          <w:i/>
        </w:rPr>
      </w:pPr>
      <w:r w:rsidRPr="00B95C23">
        <w:rPr>
          <w:rFonts w:ascii="Arial" w:hAnsi="Arial" w:cs="Arial"/>
          <w:i/>
        </w:rPr>
        <w:t>(3) </w:t>
      </w:r>
      <w:proofErr w:type="gramStart"/>
      <w:r w:rsidRPr="00B95C23">
        <w:rPr>
          <w:rFonts w:ascii="Arial" w:hAnsi="Arial" w:cs="Arial"/>
          <w:i/>
        </w:rPr>
        <w:t>*  Az</w:t>
      </w:r>
      <w:proofErr w:type="gramEnd"/>
      <w:r w:rsidRPr="00B95C23">
        <w:rPr>
          <w:rFonts w:ascii="Arial" w:hAnsi="Arial" w:cs="Arial"/>
          <w:i/>
        </w:rPr>
        <w:t xml:space="preserve"> (1) bekezdés szerinti adókedvezmény az életvitelszerű használatra vonatkozó nyilatkozattal vehető igénybe. Az életvitelszerű használatról szóló nyilatkozatot az 1. melléklet tartalmazza.</w:t>
      </w:r>
    </w:p>
    <w:p w:rsidR="00B95C23" w:rsidRPr="00B95C23" w:rsidRDefault="00B95C23" w:rsidP="00B95C23">
      <w:pPr>
        <w:spacing w:after="0" w:line="240" w:lineRule="auto"/>
        <w:jc w:val="both"/>
        <w:rPr>
          <w:rFonts w:ascii="Arial" w:hAnsi="Arial" w:cs="Arial"/>
          <w:i/>
        </w:rPr>
      </w:pPr>
      <w:r w:rsidRPr="00B95C23">
        <w:rPr>
          <w:rFonts w:ascii="Arial" w:hAnsi="Arial" w:cs="Arial"/>
          <w:i/>
        </w:rPr>
        <w:t>(4) </w:t>
      </w:r>
      <w:proofErr w:type="gramStart"/>
      <w:r w:rsidRPr="00B95C23">
        <w:rPr>
          <w:rFonts w:ascii="Arial" w:hAnsi="Arial" w:cs="Arial"/>
          <w:i/>
        </w:rPr>
        <w:t>*  Az</w:t>
      </w:r>
      <w:proofErr w:type="gramEnd"/>
      <w:r w:rsidRPr="00B95C23">
        <w:rPr>
          <w:rFonts w:ascii="Arial" w:hAnsi="Arial" w:cs="Arial"/>
          <w:i/>
        </w:rPr>
        <w:t xml:space="preserve"> (1) bekezdés szerinti kedvezmény alkalmazása során az a lakás szolgál életvitelszerű tartózkodásra:</w:t>
      </w:r>
    </w:p>
    <w:p w:rsidR="00B95C23" w:rsidRPr="00B95C23" w:rsidRDefault="00B95C23" w:rsidP="00B95C23">
      <w:pPr>
        <w:pStyle w:val="Listaszerbekezds"/>
        <w:spacing w:after="0" w:line="240" w:lineRule="auto"/>
        <w:jc w:val="both"/>
        <w:rPr>
          <w:rFonts w:ascii="Arial" w:hAnsi="Arial" w:cs="Arial"/>
          <w:i/>
        </w:rPr>
      </w:pPr>
      <w:r w:rsidRPr="00B95C23">
        <w:rPr>
          <w:rFonts w:ascii="Arial" w:hAnsi="Arial" w:cs="Arial"/>
          <w:i/>
        </w:rPr>
        <w:t>a) melyet az adóalany ténylegesen lakhatás céljából birtokol,</w:t>
      </w:r>
    </w:p>
    <w:p w:rsidR="00B95C23" w:rsidRPr="00B95C23" w:rsidRDefault="00B95C23" w:rsidP="00B95C23">
      <w:pPr>
        <w:pStyle w:val="Listaszerbekezds"/>
        <w:spacing w:after="0" w:line="240" w:lineRule="auto"/>
        <w:jc w:val="both"/>
        <w:rPr>
          <w:rFonts w:ascii="Arial" w:hAnsi="Arial" w:cs="Arial"/>
          <w:i/>
        </w:rPr>
      </w:pPr>
      <w:r w:rsidRPr="00B95C23">
        <w:rPr>
          <w:rFonts w:ascii="Arial" w:hAnsi="Arial" w:cs="Arial"/>
          <w:i/>
        </w:rPr>
        <w:t>b) ahonnan az adóalany természetes személy az életét szervezi, rendszeresen munkába vagy oktatási intézménybe indul, oda tér haza,</w:t>
      </w:r>
    </w:p>
    <w:p w:rsidR="00B95C23" w:rsidRPr="00B95C23" w:rsidRDefault="00B95C23" w:rsidP="00B95C23">
      <w:pPr>
        <w:pStyle w:val="Listaszerbekezds"/>
        <w:jc w:val="both"/>
        <w:rPr>
          <w:rFonts w:ascii="Arial" w:hAnsi="Arial" w:cs="Arial"/>
          <w:i/>
        </w:rPr>
      </w:pPr>
      <w:r w:rsidRPr="00B95C23">
        <w:rPr>
          <w:rFonts w:ascii="Arial" w:hAnsi="Arial" w:cs="Arial"/>
          <w:i/>
        </w:rPr>
        <w:t xml:space="preserve">c) amely családi élete </w:t>
      </w:r>
      <w:proofErr w:type="spellStart"/>
      <w:r w:rsidRPr="00B95C23">
        <w:rPr>
          <w:rFonts w:ascii="Arial" w:hAnsi="Arial" w:cs="Arial"/>
          <w:i/>
        </w:rPr>
        <w:t>helyszínéül</w:t>
      </w:r>
      <w:proofErr w:type="spellEnd"/>
      <w:r w:rsidRPr="00B95C23">
        <w:rPr>
          <w:rFonts w:ascii="Arial" w:hAnsi="Arial" w:cs="Arial"/>
          <w:i/>
        </w:rPr>
        <w:t xml:space="preserve"> szolgál,</w:t>
      </w:r>
    </w:p>
    <w:p w:rsidR="00B95C23" w:rsidRPr="00B95C23" w:rsidRDefault="00B95C23" w:rsidP="00B95C23">
      <w:pPr>
        <w:pStyle w:val="Listaszerbekezds"/>
        <w:jc w:val="both"/>
        <w:rPr>
          <w:rFonts w:ascii="Arial" w:hAnsi="Arial" w:cs="Arial"/>
          <w:i/>
        </w:rPr>
      </w:pPr>
      <w:r w:rsidRPr="00B95C23">
        <w:rPr>
          <w:rFonts w:ascii="Arial" w:hAnsi="Arial" w:cs="Arial"/>
          <w:i/>
        </w:rPr>
        <w:t>d) amelyre vonatkozóan közüzemi szolgáltatásokat naptári éven át folyamatosan igénybe vesz,</w:t>
      </w:r>
    </w:p>
    <w:p w:rsidR="00B95C23" w:rsidRPr="00B95C23" w:rsidRDefault="00B95C23" w:rsidP="00B95C23">
      <w:pPr>
        <w:pStyle w:val="Listaszerbekezds"/>
        <w:jc w:val="both"/>
        <w:rPr>
          <w:rFonts w:ascii="Arial" w:hAnsi="Arial" w:cs="Arial"/>
          <w:i/>
        </w:rPr>
      </w:pPr>
      <w:r w:rsidRPr="00B95C23">
        <w:rPr>
          <w:rFonts w:ascii="Arial" w:hAnsi="Arial" w:cs="Arial"/>
          <w:i/>
        </w:rPr>
        <w:t>e) amely elsődleges címként jelenik meg a hatóságoknál, közműszolgáltatóknál.”</w:t>
      </w:r>
    </w:p>
    <w:p w:rsidR="00535DB8" w:rsidRPr="00B654BC" w:rsidRDefault="00535DB8" w:rsidP="0006724C">
      <w:pPr>
        <w:pStyle w:val="Listaszerbekezds"/>
        <w:spacing w:after="200" w:line="276" w:lineRule="auto"/>
        <w:ind w:left="0"/>
        <w:jc w:val="both"/>
        <w:rPr>
          <w:rFonts w:ascii="Arial" w:hAnsi="Arial" w:cs="Arial"/>
          <w:highlight w:val="yellow"/>
        </w:rPr>
      </w:pPr>
    </w:p>
    <w:tbl>
      <w:tblPr>
        <w:tblW w:w="9520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0"/>
        <w:gridCol w:w="1580"/>
        <w:gridCol w:w="1580"/>
        <w:gridCol w:w="1580"/>
      </w:tblGrid>
      <w:tr w:rsidR="00DA740B" w:rsidRPr="00B654BC" w:rsidTr="00B654BC">
        <w:trPr>
          <w:trHeight w:val="300"/>
        </w:trPr>
        <w:tc>
          <w:tcPr>
            <w:tcW w:w="4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905D0E" w:rsidP="00B654B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hu-HU"/>
              </w:rPr>
              <w:lastRenderedPageBreak/>
              <w:t xml:space="preserve">Építményadó </w:t>
            </w:r>
            <w:r w:rsidR="00DA740B" w:rsidRPr="00DF123F">
              <w:rPr>
                <w:rFonts w:ascii="Arial" w:hAnsi="Arial" w:cs="Arial"/>
                <w:b/>
                <w:sz w:val="18"/>
                <w:szCs w:val="18"/>
                <w:lang w:eastAsia="hu-HU"/>
              </w:rPr>
              <w:t>202</w:t>
            </w:r>
            <w:r w:rsidR="009B782D">
              <w:rPr>
                <w:rFonts w:ascii="Arial" w:hAnsi="Arial" w:cs="Arial"/>
                <w:b/>
                <w:sz w:val="18"/>
                <w:szCs w:val="18"/>
                <w:lang w:eastAsia="hu-HU"/>
              </w:rPr>
              <w:t>3</w:t>
            </w:r>
            <w:r w:rsidR="00DA740B" w:rsidRPr="00DF123F">
              <w:rPr>
                <w:rFonts w:ascii="Arial" w:hAnsi="Arial" w:cs="Arial"/>
                <w:b/>
                <w:sz w:val="18"/>
                <w:szCs w:val="18"/>
                <w:lang w:eastAsia="hu-HU"/>
              </w:rPr>
              <w:t>. évi</w:t>
            </w:r>
            <w:r>
              <w:rPr>
                <w:rFonts w:ascii="Arial" w:hAnsi="Arial" w:cs="Arial"/>
                <w:b/>
                <w:sz w:val="18"/>
                <w:szCs w:val="18"/>
                <w:lang w:eastAsia="hu-HU"/>
              </w:rPr>
              <w:t xml:space="preserve"> összesített</w:t>
            </w:r>
            <w:r w:rsidR="00DA740B" w:rsidRPr="00DF123F">
              <w:rPr>
                <w:rFonts w:ascii="Arial" w:hAnsi="Arial" w:cs="Arial"/>
                <w:b/>
                <w:sz w:val="18"/>
                <w:szCs w:val="18"/>
                <w:lang w:eastAsia="hu-HU"/>
              </w:rPr>
              <w:t xml:space="preserve"> adatok</w:t>
            </w:r>
          </w:p>
        </w:tc>
        <w:tc>
          <w:tcPr>
            <w:tcW w:w="4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Terület szerinti adózás esetén</w:t>
            </w:r>
          </w:p>
        </w:tc>
      </w:tr>
      <w:tr w:rsidR="00DA740B" w:rsidRPr="00B654BC" w:rsidTr="00B654BC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Adótárgyak </w:t>
            </w:r>
          </w:p>
          <w:p w:rsidR="00DA740B" w:rsidRPr="00DF123F" w:rsidRDefault="00DA740B" w:rsidP="00B654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A.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Terület</w:t>
            </w:r>
          </w:p>
          <w:p w:rsidR="00DA740B" w:rsidRPr="00DF123F" w:rsidRDefault="00DA740B" w:rsidP="00B654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B.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Adómegállapítás</w:t>
            </w:r>
          </w:p>
          <w:p w:rsidR="00DA740B" w:rsidRPr="00DF123F" w:rsidRDefault="00DA740B" w:rsidP="00B654B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C.</w:t>
            </w:r>
          </w:p>
        </w:tc>
      </w:tr>
      <w:tr w:rsidR="00DA740B" w:rsidRPr="00B654BC" w:rsidTr="00B654BC">
        <w:trPr>
          <w:trHeight w:val="34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DF123F">
              <w:rPr>
                <w:color w:val="000000"/>
                <w:lang w:eastAsia="hu-HU"/>
              </w:rPr>
              <w:t>száma (db)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F123F">
              <w:rPr>
                <w:color w:val="000000"/>
                <w:lang w:eastAsia="hu-HU"/>
              </w:rPr>
              <w:t>(m</w:t>
            </w:r>
            <w:r w:rsidRPr="00DF123F">
              <w:rPr>
                <w:color w:val="000000"/>
                <w:vertAlign w:val="superscript"/>
                <w:lang w:eastAsia="hu-HU"/>
              </w:rPr>
              <w:t>2</w:t>
            </w:r>
            <w:r w:rsidRPr="00DF123F">
              <w:rPr>
                <w:color w:val="000000"/>
                <w:lang w:eastAsia="hu-HU"/>
              </w:rPr>
              <w:t>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F123F">
              <w:rPr>
                <w:color w:val="000000"/>
                <w:lang w:eastAsia="hu-HU"/>
              </w:rPr>
              <w:t>(Ft)</w:t>
            </w:r>
          </w:p>
        </w:tc>
      </w:tr>
      <w:tr w:rsidR="00DA740B" w:rsidRPr="00B654BC" w:rsidTr="00B654BC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20"/>
                <w:szCs w:val="20"/>
                <w:lang w:eastAsia="hu-HU"/>
              </w:rPr>
            </w:pPr>
            <w:r w:rsidRPr="00DF123F">
              <w:rPr>
                <w:rFonts w:ascii="Arial" w:hAnsi="Arial" w:cs="Arial"/>
                <w:b/>
                <w:color w:val="222222"/>
                <w:sz w:val="20"/>
                <w:szCs w:val="20"/>
                <w:lang w:eastAsia="hu-HU"/>
              </w:rPr>
              <w:t>Lakás és lakóépület (</w:t>
            </w:r>
            <w:r w:rsidRPr="00DF123F">
              <w:rPr>
                <w:rFonts w:ascii="Arial" w:hAnsi="Arial" w:cs="Arial"/>
                <w:color w:val="222222"/>
                <w:sz w:val="20"/>
                <w:szCs w:val="20"/>
                <w:lang w:eastAsia="hu-HU"/>
              </w:rPr>
              <w:t>összesen)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 w:rsidRPr="00CB6508"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5</w:t>
            </w: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 xml:space="preserve"> </w:t>
            </w:r>
            <w:r w:rsidRPr="00CB6508"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209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373 544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268 952 036</w:t>
            </w:r>
          </w:p>
        </w:tc>
      </w:tr>
      <w:tr w:rsidR="00DA740B" w:rsidRPr="00B654BC" w:rsidTr="00B654BC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sz w:val="18"/>
                <w:szCs w:val="18"/>
                <w:lang w:eastAsia="hu-HU"/>
              </w:rPr>
              <w:t>- ebből 100%-os kedvezményt érvényesítő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1 895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224 233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161 447 804</w:t>
            </w:r>
          </w:p>
        </w:tc>
      </w:tr>
      <w:tr w:rsidR="00DA740B" w:rsidRPr="00B654BC" w:rsidTr="00B654BC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rPr>
                <w:rFonts w:ascii="Arial" w:hAnsi="Arial" w:cs="Arial"/>
                <w:b/>
                <w:bCs/>
                <w:color w:val="222222"/>
                <w:sz w:val="20"/>
                <w:szCs w:val="20"/>
                <w:lang w:eastAsia="hu-HU"/>
              </w:rPr>
            </w:pPr>
            <w:r w:rsidRPr="00DF123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lang w:eastAsia="hu-HU"/>
              </w:rPr>
              <w:t>Üdülő épület (</w:t>
            </w:r>
            <w:r w:rsidRPr="00DF123F">
              <w:rPr>
                <w:rFonts w:ascii="Arial" w:hAnsi="Arial" w:cs="Arial"/>
                <w:color w:val="222222"/>
                <w:sz w:val="20"/>
                <w:szCs w:val="20"/>
                <w:lang w:eastAsia="hu-HU"/>
              </w:rPr>
              <w:t>összesen)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Cs/>
                <w:color w:val="222222"/>
                <w:sz w:val="18"/>
                <w:szCs w:val="18"/>
                <w:lang w:eastAsia="hu-HU"/>
              </w:rPr>
              <w:t>224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Cs/>
                <w:color w:val="222222"/>
                <w:sz w:val="18"/>
                <w:szCs w:val="18"/>
                <w:lang w:eastAsia="hu-HU"/>
              </w:rPr>
              <w:t>10 277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F123F" w:rsidRPr="00DF123F" w:rsidRDefault="00CB6508" w:rsidP="00DF123F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Cs/>
                <w:color w:val="222222"/>
                <w:sz w:val="18"/>
                <w:szCs w:val="18"/>
                <w:lang w:eastAsia="hu-HU"/>
              </w:rPr>
              <w:t>7 399 660</w:t>
            </w:r>
          </w:p>
        </w:tc>
      </w:tr>
      <w:tr w:rsidR="00DA740B" w:rsidRPr="00B654BC" w:rsidTr="00B654BC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sz w:val="18"/>
                <w:szCs w:val="18"/>
                <w:lang w:eastAsia="hu-HU"/>
              </w:rPr>
              <w:t>- ebből 100%-os kedvezményt érvényesítő</w:t>
            </w:r>
            <w:r w:rsidRPr="00DF123F"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968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696 960</w:t>
            </w:r>
          </w:p>
        </w:tc>
      </w:tr>
      <w:tr w:rsidR="00DA740B" w:rsidRPr="00B654BC" w:rsidTr="00B654BC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b/>
                <w:color w:val="222222"/>
                <w:sz w:val="20"/>
                <w:szCs w:val="20"/>
                <w:lang w:eastAsia="hu-HU"/>
              </w:rPr>
              <w:t xml:space="preserve">Egyéb nem lakás, üdülő céljára szolgáló építmény </w:t>
            </w:r>
            <w:r w:rsidRPr="00DF123F">
              <w:rPr>
                <w:rFonts w:ascii="Arial" w:hAnsi="Arial" w:cs="Arial"/>
                <w:color w:val="222222"/>
                <w:sz w:val="20"/>
                <w:szCs w:val="20"/>
                <w:lang w:eastAsia="hu-HU"/>
              </w:rPr>
              <w:t>(tipikusan</w:t>
            </w:r>
            <w:r w:rsidRPr="00DF123F"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 xml:space="preserve"> garázs) – (összesen)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2 072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43 068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CB6508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31 027 051</w:t>
            </w:r>
          </w:p>
        </w:tc>
      </w:tr>
      <w:tr w:rsidR="00DA740B" w:rsidRPr="00B654BC" w:rsidTr="00B654BC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A740B" w:rsidP="00B654B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sz w:val="18"/>
                <w:szCs w:val="18"/>
                <w:lang w:eastAsia="hu-HU"/>
              </w:rPr>
              <w:t>- ebből 100%-os kedvezményt érvényesítő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0229C0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840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DF123F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 w:rsidRPr="00DF123F"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 xml:space="preserve">29 </w:t>
            </w:r>
            <w:r w:rsidR="00CB6508"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464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F123F" w:rsidRDefault="000229C0" w:rsidP="00B654BC">
            <w:pPr>
              <w:spacing w:after="0" w:line="240" w:lineRule="auto"/>
              <w:jc w:val="right"/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lang w:eastAsia="hu-HU"/>
              </w:rPr>
              <w:t>11 411 457</w:t>
            </w:r>
          </w:p>
        </w:tc>
      </w:tr>
      <w:tr w:rsidR="00DA740B" w:rsidRPr="00B654BC" w:rsidTr="00B654BC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03E98" w:rsidRDefault="00DA740B" w:rsidP="00B654B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hu-HU"/>
              </w:rPr>
            </w:pPr>
            <w:r w:rsidRPr="00D03E98">
              <w:rPr>
                <w:rFonts w:ascii="Arial" w:hAnsi="Arial" w:cs="Arial"/>
                <w:b/>
                <w:color w:val="000000"/>
                <w:sz w:val="20"/>
                <w:szCs w:val="20"/>
                <w:lang w:eastAsia="hu-HU"/>
              </w:rPr>
              <w:t>Összes építményadó adótárgy és bevétel (C):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03E98" w:rsidRDefault="000229C0" w:rsidP="00B654BC">
            <w:pPr>
              <w:spacing w:after="0" w:line="240" w:lineRule="auto"/>
              <w:jc w:val="right"/>
              <w:rPr>
                <w:b/>
                <w:color w:val="000000"/>
                <w:lang w:eastAsia="hu-HU"/>
              </w:rPr>
            </w:pPr>
            <w:r>
              <w:rPr>
                <w:b/>
                <w:color w:val="000000"/>
                <w:lang w:eastAsia="hu-HU"/>
              </w:rPr>
              <w:t>7 505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03E98" w:rsidRDefault="000229C0" w:rsidP="00B654BC">
            <w:pPr>
              <w:spacing w:after="0" w:line="240" w:lineRule="auto"/>
              <w:jc w:val="right"/>
              <w:rPr>
                <w:b/>
                <w:color w:val="000000"/>
                <w:lang w:eastAsia="hu-HU"/>
              </w:rPr>
            </w:pPr>
            <w:r>
              <w:rPr>
                <w:b/>
                <w:color w:val="000000"/>
                <w:lang w:eastAsia="hu-HU"/>
              </w:rPr>
              <w:t>426 889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03E98" w:rsidRDefault="000229C0" w:rsidP="00B654BC">
            <w:pPr>
              <w:spacing w:after="0" w:line="240" w:lineRule="auto"/>
              <w:jc w:val="right"/>
              <w:rPr>
                <w:b/>
                <w:color w:val="000000"/>
                <w:lang w:eastAsia="hu-HU"/>
              </w:rPr>
            </w:pPr>
            <w:r>
              <w:rPr>
                <w:b/>
                <w:color w:val="000000"/>
                <w:lang w:eastAsia="hu-HU"/>
              </w:rPr>
              <w:t>307 378 747</w:t>
            </w:r>
          </w:p>
        </w:tc>
      </w:tr>
      <w:tr w:rsidR="00DA740B" w:rsidRPr="00B654BC" w:rsidTr="00B654BC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03E98" w:rsidRDefault="00DA740B" w:rsidP="00B654BC">
            <w:pPr>
              <w:spacing w:after="0" w:line="240" w:lineRule="auto"/>
              <w:rPr>
                <w:bCs/>
                <w:color w:val="000000"/>
                <w:lang w:eastAsia="hu-HU"/>
              </w:rPr>
            </w:pPr>
            <w:r w:rsidRPr="00D03E98">
              <w:rPr>
                <w:bCs/>
                <w:color w:val="000000"/>
                <w:lang w:eastAsia="hu-HU"/>
              </w:rPr>
              <w:t>- ebből kedvezményezett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03E98" w:rsidRDefault="00004D99" w:rsidP="00B654BC">
            <w:pPr>
              <w:spacing w:after="0" w:line="240" w:lineRule="auto"/>
              <w:jc w:val="right"/>
              <w:rPr>
                <w:bCs/>
                <w:color w:val="000000"/>
                <w:lang w:eastAsia="hu-HU"/>
              </w:rPr>
            </w:pPr>
            <w:r>
              <w:rPr>
                <w:bCs/>
                <w:color w:val="000000"/>
                <w:lang w:eastAsia="hu-HU"/>
              </w:rPr>
              <w:t>2 743</w:t>
            </w:r>
            <w:r w:rsidR="00DA740B" w:rsidRPr="00D03E98">
              <w:rPr>
                <w:bCs/>
                <w:color w:val="000000"/>
                <w:lang w:eastAsia="hu-HU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03E98" w:rsidRDefault="000229C0" w:rsidP="00B654BC">
            <w:pPr>
              <w:spacing w:after="0" w:line="240" w:lineRule="auto"/>
              <w:jc w:val="right"/>
              <w:rPr>
                <w:bCs/>
                <w:color w:val="000000"/>
                <w:lang w:eastAsia="hu-HU"/>
              </w:rPr>
            </w:pPr>
            <w:r>
              <w:rPr>
                <w:bCs/>
                <w:color w:val="000000"/>
                <w:lang w:eastAsia="hu-HU"/>
              </w:rPr>
              <w:t>254 665</w:t>
            </w:r>
            <w:r w:rsidR="00DA740B" w:rsidRPr="00D03E98">
              <w:rPr>
                <w:bCs/>
                <w:color w:val="000000"/>
                <w:lang w:eastAsia="hu-HU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03E98" w:rsidRDefault="000229C0" w:rsidP="00B654BC">
            <w:pPr>
              <w:spacing w:after="0" w:line="240" w:lineRule="auto"/>
              <w:jc w:val="right"/>
              <w:rPr>
                <w:bCs/>
                <w:color w:val="000000"/>
                <w:lang w:eastAsia="hu-HU"/>
              </w:rPr>
            </w:pPr>
            <w:r>
              <w:rPr>
                <w:bCs/>
                <w:color w:val="000000"/>
                <w:lang w:eastAsia="hu-HU"/>
              </w:rPr>
              <w:t>173 556 221</w:t>
            </w:r>
          </w:p>
        </w:tc>
      </w:tr>
      <w:tr w:rsidR="00DA740B" w:rsidRPr="00B654BC" w:rsidTr="00B654BC">
        <w:trPr>
          <w:trHeight w:val="300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D03E98" w:rsidRDefault="00DA740B" w:rsidP="00B654BC">
            <w:pPr>
              <w:spacing w:after="0" w:line="240" w:lineRule="auto"/>
              <w:rPr>
                <w:bCs/>
                <w:color w:val="000000"/>
                <w:lang w:eastAsia="hu-HU"/>
              </w:rPr>
            </w:pPr>
            <w:r w:rsidRPr="00D03E98">
              <w:rPr>
                <w:bCs/>
                <w:color w:val="000000"/>
                <w:lang w:eastAsia="hu-HU"/>
              </w:rPr>
              <w:t>- ebből kedvezményezett %-ban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004D99" w:rsidRDefault="00004D99" w:rsidP="00B654BC">
            <w:pPr>
              <w:spacing w:after="0" w:line="240" w:lineRule="auto"/>
              <w:jc w:val="right"/>
              <w:rPr>
                <w:b/>
                <w:bCs/>
                <w:color w:val="000000"/>
                <w:highlight w:val="yellow"/>
                <w:lang w:eastAsia="hu-HU"/>
              </w:rPr>
            </w:pPr>
            <w:r w:rsidRPr="00004D99">
              <w:rPr>
                <w:b/>
                <w:bCs/>
                <w:color w:val="000000"/>
                <w:lang w:eastAsia="hu-HU"/>
              </w:rPr>
              <w:t>36,55</w:t>
            </w:r>
            <w:r w:rsidR="00DA740B" w:rsidRPr="00004D99">
              <w:rPr>
                <w:b/>
                <w:bCs/>
                <w:color w:val="000000"/>
                <w:lang w:eastAsia="hu-HU"/>
              </w:rPr>
              <w:t>%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004D99" w:rsidRDefault="00004D99" w:rsidP="00B654BC">
            <w:pPr>
              <w:spacing w:after="0" w:line="240" w:lineRule="auto"/>
              <w:jc w:val="right"/>
              <w:rPr>
                <w:b/>
                <w:bCs/>
                <w:color w:val="000000"/>
                <w:lang w:eastAsia="hu-HU"/>
              </w:rPr>
            </w:pPr>
            <w:r w:rsidRPr="00004D99">
              <w:rPr>
                <w:b/>
                <w:bCs/>
                <w:color w:val="000000"/>
                <w:lang w:eastAsia="hu-HU"/>
              </w:rPr>
              <w:t>59,66</w:t>
            </w:r>
            <w:r w:rsidR="00DA740B" w:rsidRPr="00004D99">
              <w:rPr>
                <w:b/>
                <w:bCs/>
                <w:color w:val="000000"/>
                <w:lang w:eastAsia="hu-HU"/>
              </w:rPr>
              <w:t>%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A740B" w:rsidRPr="00004D99" w:rsidRDefault="00004D99" w:rsidP="00B654BC">
            <w:pPr>
              <w:spacing w:after="0" w:line="240" w:lineRule="auto"/>
              <w:jc w:val="right"/>
              <w:rPr>
                <w:b/>
                <w:bCs/>
                <w:color w:val="000000"/>
                <w:lang w:eastAsia="hu-HU"/>
              </w:rPr>
            </w:pPr>
            <w:r>
              <w:rPr>
                <w:b/>
                <w:bCs/>
                <w:color w:val="000000"/>
                <w:lang w:eastAsia="hu-HU"/>
              </w:rPr>
              <w:t>56,46</w:t>
            </w:r>
            <w:r w:rsidR="00DA740B" w:rsidRPr="00004D99">
              <w:rPr>
                <w:b/>
                <w:bCs/>
                <w:color w:val="000000"/>
                <w:lang w:eastAsia="hu-HU"/>
              </w:rPr>
              <w:t>%</w:t>
            </w:r>
          </w:p>
        </w:tc>
      </w:tr>
      <w:bookmarkEnd w:id="1"/>
    </w:tbl>
    <w:p w:rsidR="00644C3F" w:rsidRPr="0067323D" w:rsidRDefault="00644C3F" w:rsidP="0006724C">
      <w:pPr>
        <w:pStyle w:val="Listaszerbekezds"/>
        <w:spacing w:after="200" w:line="276" w:lineRule="auto"/>
        <w:ind w:left="0"/>
        <w:jc w:val="both"/>
        <w:rPr>
          <w:rFonts w:ascii="Arial" w:hAnsi="Arial" w:cs="Arial"/>
        </w:rPr>
      </w:pPr>
    </w:p>
    <w:p w:rsidR="007F33D2" w:rsidRDefault="007F33D2" w:rsidP="0006724C">
      <w:pPr>
        <w:pStyle w:val="Listaszerbekezds"/>
        <w:spacing w:after="200" w:line="276" w:lineRule="auto"/>
        <w:ind w:left="0"/>
        <w:jc w:val="both"/>
        <w:rPr>
          <w:rFonts w:ascii="Arial" w:hAnsi="Arial" w:cs="Arial"/>
        </w:rPr>
      </w:pPr>
    </w:p>
    <w:p w:rsidR="007F33D2" w:rsidRPr="0067323D" w:rsidRDefault="007F33D2" w:rsidP="0006724C">
      <w:pPr>
        <w:pStyle w:val="Listaszerbekezds"/>
        <w:spacing w:after="200"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202</w:t>
      </w:r>
      <w:r w:rsidR="00004D9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évben </w:t>
      </w:r>
      <w:r w:rsidR="00CA3A4B">
        <w:rPr>
          <w:rFonts w:ascii="Arial" w:hAnsi="Arial" w:cs="Arial"/>
        </w:rPr>
        <w:t>folytatódott</w:t>
      </w:r>
      <w:r w:rsidR="005A4A05">
        <w:rPr>
          <w:rFonts w:ascii="Arial" w:hAnsi="Arial" w:cs="Arial"/>
        </w:rPr>
        <w:t xml:space="preserve"> az</w:t>
      </w:r>
      <w:r>
        <w:rPr>
          <w:rFonts w:ascii="Arial" w:hAnsi="Arial" w:cs="Arial"/>
        </w:rPr>
        <w:t xml:space="preserve"> átfogó felülvizsgálati, ellenőrzési munka az építményadó bevallási/fizetési kötelezettségek teljesítése tárgyában, melyről részletesen a 6.1 pontban adunk tájékoztatást. </w:t>
      </w:r>
    </w:p>
    <w:p w:rsidR="00095969" w:rsidRDefault="00095969" w:rsidP="00A33E2D">
      <w:pPr>
        <w:pStyle w:val="Listaszerbekezds"/>
        <w:spacing w:line="276" w:lineRule="auto"/>
        <w:ind w:left="0"/>
        <w:rPr>
          <w:rFonts w:ascii="Arial" w:hAnsi="Arial" w:cs="Arial"/>
          <w:color w:val="FF0000"/>
          <w:highlight w:val="yellow"/>
        </w:rPr>
      </w:pPr>
    </w:p>
    <w:p w:rsidR="00655E7F" w:rsidRPr="00980F8A" w:rsidRDefault="00655E7F" w:rsidP="00A33E2D">
      <w:pPr>
        <w:pStyle w:val="Listaszerbekezds"/>
        <w:spacing w:line="276" w:lineRule="auto"/>
        <w:ind w:left="0"/>
        <w:rPr>
          <w:rFonts w:ascii="Arial" w:hAnsi="Arial" w:cs="Arial"/>
          <w:color w:val="FF0000"/>
          <w:highlight w:val="yellow"/>
        </w:rPr>
      </w:pPr>
    </w:p>
    <w:p w:rsidR="00655E7F" w:rsidRDefault="00A37707" w:rsidP="00655E7F">
      <w:pPr>
        <w:pStyle w:val="Listaszerbekezds"/>
        <w:numPr>
          <w:ilvl w:val="1"/>
          <w:numId w:val="1"/>
        </w:numPr>
        <w:spacing w:after="0" w:line="240" w:lineRule="auto"/>
        <w:rPr>
          <w:rFonts w:ascii="Arial" w:hAnsi="Arial" w:cs="Arial"/>
          <w:b/>
        </w:rPr>
      </w:pPr>
      <w:r w:rsidRPr="002E20CB">
        <w:rPr>
          <w:rFonts w:ascii="Arial" w:hAnsi="Arial" w:cs="Arial"/>
          <w:b/>
        </w:rPr>
        <w:t xml:space="preserve">Helyi iparűzési adó </w:t>
      </w:r>
    </w:p>
    <w:p w:rsidR="00655E7F" w:rsidRPr="00655E7F" w:rsidRDefault="00655E7F" w:rsidP="00655E7F">
      <w:pPr>
        <w:pStyle w:val="Listaszerbekezds"/>
        <w:spacing w:after="0" w:line="240" w:lineRule="auto"/>
        <w:ind w:left="1428"/>
        <w:rPr>
          <w:rFonts w:ascii="Arial" w:hAnsi="Arial" w:cs="Arial"/>
          <w:b/>
        </w:rPr>
      </w:pPr>
    </w:p>
    <w:p w:rsidR="002E20CB" w:rsidRPr="002E20CB" w:rsidRDefault="002E20CB" w:rsidP="00655E7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>A magyarországi önkormányzatok egyik legjelentősebb bevételi forrása a helyi iparűzési adóból származik, amit a kis- és középvállalkozások, cégek a bejelentett székhelyük vagy telephelyük elhelyezkedése alapján fizetnek az adott település önkormányzatának.</w:t>
      </w: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</w:p>
    <w:p w:rsid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 xml:space="preserve">Az iparűzési adó </w:t>
      </w:r>
      <w:r w:rsidRPr="002E20CB">
        <w:rPr>
          <w:rFonts w:ascii="Arial" w:eastAsia="Times New Roman" w:hAnsi="Arial" w:cs="Arial"/>
          <w:b/>
          <w:lang w:eastAsia="zh-CN"/>
        </w:rPr>
        <w:t>2023 évtől újra gyökeres átalakuláson ment keresztül</w:t>
      </w:r>
      <w:r w:rsidRPr="002E20CB">
        <w:rPr>
          <w:rFonts w:ascii="Arial" w:eastAsia="Times New Roman" w:hAnsi="Arial" w:cs="Arial"/>
          <w:lang w:eastAsia="zh-CN"/>
        </w:rPr>
        <w:t xml:space="preserve"> az adóalap egyszerűsített megállapítása tekintetében – a korábbi háromféle módszert egyféle adóalap-megállapítási mód váltotta fel. A továbbiakban nem alkalmazandó az 1%-ban maximalizált adókulcs, a pandémia előtti szabályok értelmében az iparűzési adó mértéke visszatér a 2%-os kulcshoz.</w:t>
      </w:r>
    </w:p>
    <w:p w:rsidR="00F74737" w:rsidRPr="002E20CB" w:rsidRDefault="00F74737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 xml:space="preserve">Hévíz illetékességi területén jelenleg a </w:t>
      </w:r>
      <w:proofErr w:type="spellStart"/>
      <w:r w:rsidRPr="002E20CB">
        <w:rPr>
          <w:rFonts w:ascii="Arial" w:eastAsia="Times New Roman" w:hAnsi="Arial" w:cs="Arial"/>
          <w:lang w:eastAsia="zh-CN"/>
        </w:rPr>
        <w:t>Htv</w:t>
      </w:r>
      <w:proofErr w:type="spellEnd"/>
      <w:r w:rsidRPr="002E20CB">
        <w:rPr>
          <w:rFonts w:ascii="Arial" w:eastAsia="Times New Roman" w:hAnsi="Arial" w:cs="Arial"/>
          <w:lang w:eastAsia="zh-CN"/>
        </w:rPr>
        <w:t xml:space="preserve">. által megengedett maximális 2 %-os iparűzési adómérték van bevezetve. </w:t>
      </w:r>
    </w:p>
    <w:p w:rsidR="00133945" w:rsidRDefault="00133945" w:rsidP="00133945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</w:p>
    <w:p w:rsidR="002E20CB" w:rsidRPr="00133945" w:rsidRDefault="002E20CB" w:rsidP="00133945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133945">
        <w:rPr>
          <w:rFonts w:ascii="Arial" w:eastAsia="Times New Roman" w:hAnsi="Arial" w:cs="Arial"/>
          <w:lang w:eastAsia="zh-CN"/>
        </w:rPr>
        <w:t>Helyi iparűzési adóban önkormányzati rendelet által egy engedélyezett kedvezményezetti kör létezik: adómentesség illeti meg azt a háziorvos, védőnő vállalkozót, akinek a vállalkozási szintű adóalapja az adóévben a 20 millió forintot nem haladja meg.</w:t>
      </w:r>
    </w:p>
    <w:p w:rsidR="00F74737" w:rsidRPr="002E20CB" w:rsidRDefault="00F74737" w:rsidP="00F74737">
      <w:pPr>
        <w:pStyle w:val="Listaszerbekezds"/>
        <w:suppressAutoHyphens/>
        <w:spacing w:after="0" w:line="276" w:lineRule="auto"/>
        <w:ind w:left="1060"/>
        <w:jc w:val="both"/>
        <w:rPr>
          <w:rFonts w:ascii="Arial" w:eastAsia="Times New Roman" w:hAnsi="Arial" w:cs="Arial"/>
          <w:lang w:eastAsia="zh-CN"/>
        </w:rPr>
      </w:pP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 xml:space="preserve">2022. </w:t>
      </w:r>
      <w:proofErr w:type="gramStart"/>
      <w:r w:rsidRPr="002E20CB">
        <w:rPr>
          <w:rFonts w:ascii="Arial" w:eastAsia="Times New Roman" w:hAnsi="Arial" w:cs="Arial"/>
          <w:lang w:eastAsia="zh-CN"/>
        </w:rPr>
        <w:t>év  végén</w:t>
      </w:r>
      <w:proofErr w:type="gramEnd"/>
      <w:r w:rsidRPr="002E20CB">
        <w:rPr>
          <w:rFonts w:ascii="Arial" w:eastAsia="Times New Roman" w:hAnsi="Arial" w:cs="Arial"/>
          <w:lang w:eastAsia="zh-CN"/>
        </w:rPr>
        <w:t xml:space="preserve"> a Képviselő-testület az alábbi adókedvezményt hatályon kívül helyezte</w:t>
      </w:r>
      <w:r w:rsidR="00133945">
        <w:rPr>
          <w:rFonts w:ascii="Arial" w:eastAsia="Times New Roman" w:hAnsi="Arial" w:cs="Arial"/>
          <w:lang w:eastAsia="zh-CN"/>
        </w:rPr>
        <w:t xml:space="preserve"> a sávos adózás bevezetésével párhuzamosan</w:t>
      </w:r>
      <w:r w:rsidRPr="002E20CB">
        <w:rPr>
          <w:rFonts w:ascii="Arial" w:eastAsia="Times New Roman" w:hAnsi="Arial" w:cs="Arial"/>
          <w:lang w:eastAsia="zh-CN"/>
        </w:rPr>
        <w:t xml:space="preserve">: </w:t>
      </w:r>
    </w:p>
    <w:p w:rsidR="002E20CB" w:rsidRPr="002E20CB" w:rsidRDefault="002E20CB" w:rsidP="002E20CB">
      <w:pPr>
        <w:pStyle w:val="Listaszerbekezds"/>
        <w:numPr>
          <w:ilvl w:val="0"/>
          <w:numId w:val="30"/>
        </w:numPr>
        <w:suppressAutoHyphens/>
        <w:spacing w:after="0" w:line="276" w:lineRule="auto"/>
        <w:ind w:left="1060" w:hanging="357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>az a vállalkozó, akinek a számított (vállalkozási szintű) adóalapja nem haladja meg a 2,5 millió Ft-ot 25 %-os adókedvezményre jogosult.</w:t>
      </w:r>
    </w:p>
    <w:p w:rsidR="002E20CB" w:rsidRPr="002E20CB" w:rsidRDefault="002E20CB" w:rsidP="002E20CB">
      <w:pPr>
        <w:pStyle w:val="Listaszerbekezds"/>
        <w:suppressAutoHyphens/>
        <w:spacing w:after="0" w:line="276" w:lineRule="auto"/>
        <w:ind w:left="1060"/>
        <w:jc w:val="both"/>
        <w:rPr>
          <w:rFonts w:ascii="Arial" w:eastAsia="Times New Roman" w:hAnsi="Arial" w:cs="Arial"/>
          <w:lang w:eastAsia="zh-CN"/>
        </w:rPr>
      </w:pP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>2023-</w:t>
      </w:r>
      <w:r w:rsidR="00F74737" w:rsidRPr="002E20CB">
        <w:rPr>
          <w:rFonts w:ascii="Arial" w:eastAsia="Times New Roman" w:hAnsi="Arial" w:cs="Arial"/>
          <w:lang w:eastAsia="zh-CN"/>
        </w:rPr>
        <w:t>tól átalakult</w:t>
      </w:r>
      <w:r w:rsidRPr="002E20CB">
        <w:rPr>
          <w:rFonts w:ascii="Arial" w:eastAsia="Times New Roman" w:hAnsi="Arial" w:cs="Arial"/>
          <w:lang w:eastAsia="zh-CN"/>
        </w:rPr>
        <w:t xml:space="preserve"> az iparűzési adófizetési rendszer. Elfogadásra kerültek a 2023-as adótörvények (Egyes adótörvények módosításáról szóló 2022. évi XLV. törvény, a helyi iparűzési adó egyszerűsített megállapítása)</w:t>
      </w:r>
      <w:r w:rsidR="00F74737">
        <w:rPr>
          <w:rFonts w:ascii="Arial" w:eastAsia="Times New Roman" w:hAnsi="Arial" w:cs="Arial"/>
          <w:lang w:eastAsia="zh-CN"/>
        </w:rPr>
        <w:t>, melyek</w:t>
      </w:r>
      <w:r w:rsidRPr="002E20CB">
        <w:rPr>
          <w:rFonts w:ascii="Arial" w:eastAsia="Times New Roman" w:hAnsi="Arial" w:cs="Arial"/>
          <w:lang w:eastAsia="zh-CN"/>
        </w:rPr>
        <w:t xml:space="preserve"> a helyi iparűzési </w:t>
      </w:r>
      <w:r w:rsidRPr="002E20CB">
        <w:rPr>
          <w:rFonts w:ascii="Arial" w:eastAsia="Times New Roman" w:hAnsi="Arial" w:cs="Arial"/>
          <w:b/>
          <w:lang w:eastAsia="zh-CN"/>
        </w:rPr>
        <w:t>adó alapjának egyszerűsítése</w:t>
      </w:r>
      <w:r w:rsidRPr="002E20CB">
        <w:rPr>
          <w:rFonts w:ascii="Arial" w:eastAsia="Times New Roman" w:hAnsi="Arial" w:cs="Arial"/>
          <w:lang w:eastAsia="zh-CN"/>
        </w:rPr>
        <w:t xml:space="preserve"> tekintetében</w:t>
      </w:r>
      <w:r w:rsidR="00F74737">
        <w:rPr>
          <w:rFonts w:ascii="Arial" w:eastAsia="Times New Roman" w:hAnsi="Arial" w:cs="Arial"/>
          <w:lang w:eastAsia="zh-CN"/>
        </w:rPr>
        <w:t xml:space="preserve"> tartalmaznak előírásokat.</w:t>
      </w: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lastRenderedPageBreak/>
        <w:t>Az iparűzési adó 2023-as törvénye szerint valamennyi olyan vállalkozó, akinek a bevétele az adóévben nem haladja meg a 25 millió Ft-ot, jogosulttá vált az iparűzési adóalap egyszerűsített megállapítására (nem kell külön megállapítania az adóalapot, az számít, hogy melyik sávba tartozik). Az SZJA-törvény szerint átalányadózó kereskedők esetében 120 millió Ft az összeghatár. Amennyiben a kisvállalkozó adott adóévi bevétele az előző adóévben is irányadó bevételi sávhatárt nem lépi át, az évi egyszeri adó(előleg) fizetését leszámítva nincs más adófizetési kötelezettsége.</w:t>
      </w: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 xml:space="preserve">Az új iparűzési adó törvény </w:t>
      </w:r>
      <w:r w:rsidRPr="002E20CB">
        <w:rPr>
          <w:rFonts w:ascii="Arial" w:eastAsia="Times New Roman" w:hAnsi="Arial" w:cs="Arial"/>
          <w:b/>
          <w:lang w:eastAsia="zh-CN"/>
        </w:rPr>
        <w:t>3 bevételi sávot különböztet meg</w:t>
      </w:r>
      <w:r w:rsidRPr="002E20CB">
        <w:rPr>
          <w:rFonts w:ascii="Arial" w:eastAsia="Times New Roman" w:hAnsi="Arial" w:cs="Arial"/>
          <w:lang w:eastAsia="zh-CN"/>
        </w:rPr>
        <w:t xml:space="preserve"> (sávosan differenciált adóalap-meghatározás), éves szinten, időarányosítással:</w:t>
      </w:r>
    </w:p>
    <w:p w:rsidR="002E20CB" w:rsidRDefault="002E20CB" w:rsidP="00203500">
      <w:pPr>
        <w:pStyle w:val="Listaszerbekezds"/>
        <w:numPr>
          <w:ilvl w:val="0"/>
          <w:numId w:val="36"/>
        </w:num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03500">
        <w:rPr>
          <w:rFonts w:ascii="Arial" w:eastAsia="Times New Roman" w:hAnsi="Arial" w:cs="Arial"/>
          <w:lang w:eastAsia="zh-CN"/>
        </w:rPr>
        <w:t>12 millió Ft-os vállalkozói bevétel alatt: a vállalkozó székhelyére és a telephelyére jutó adóalap 2,5-2,5 millió Ft.</w:t>
      </w:r>
    </w:p>
    <w:p w:rsidR="002E20CB" w:rsidRDefault="002E20CB" w:rsidP="002E20CB">
      <w:pPr>
        <w:pStyle w:val="Listaszerbekezds"/>
        <w:numPr>
          <w:ilvl w:val="0"/>
          <w:numId w:val="36"/>
        </w:num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03500">
        <w:rPr>
          <w:rFonts w:ascii="Arial" w:eastAsia="Times New Roman" w:hAnsi="Arial" w:cs="Arial"/>
          <w:lang w:eastAsia="zh-CN"/>
        </w:rPr>
        <w:t>12 millió és 18 millió Ft közötti vállalkozói bevétel esetén: az adóalap 6-6 millió Ft.</w:t>
      </w:r>
    </w:p>
    <w:p w:rsidR="002E20CB" w:rsidRPr="00203500" w:rsidRDefault="002E20CB" w:rsidP="00203500">
      <w:pPr>
        <w:pStyle w:val="Listaszerbekezds"/>
        <w:numPr>
          <w:ilvl w:val="0"/>
          <w:numId w:val="36"/>
        </w:num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03500">
        <w:rPr>
          <w:rFonts w:ascii="Arial" w:eastAsia="Times New Roman" w:hAnsi="Arial" w:cs="Arial"/>
          <w:lang w:eastAsia="zh-CN"/>
        </w:rPr>
        <w:t>18 millió Ft-ot meghaladó, de 25 millió Ft alatti vállalkozói bevétel esetén: az adóalap 8,5-8,5 millió Ft; ide tartozik az a kisvállalkozó is, aki az SZJA-törvény szerint átalányadózó kiskereskedő, bevétele az adóévre nem több 120 millió Ft-nál.</w:t>
      </w: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</w:p>
    <w:p w:rsidR="002E20CB" w:rsidRDefault="00203500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Style w:val="Kiemels"/>
          <w:rFonts w:ascii="Arial" w:hAnsi="Arial" w:cs="Arial"/>
          <w:i w:val="0"/>
        </w:rPr>
        <w:t>A Kormány</w:t>
      </w:r>
      <w:r w:rsidR="002E20CB" w:rsidRPr="002E20CB">
        <w:rPr>
          <w:rStyle w:val="Kiemels"/>
          <w:rFonts w:ascii="Arial" w:hAnsi="Arial" w:cs="Arial"/>
          <w:i w:val="0"/>
        </w:rPr>
        <w:t xml:space="preserve"> </w:t>
      </w:r>
      <w:r w:rsidR="0037659B">
        <w:rPr>
          <w:rStyle w:val="Kiemels"/>
          <w:rFonts w:ascii="Arial" w:hAnsi="Arial" w:cs="Arial"/>
          <w:i w:val="0"/>
        </w:rPr>
        <w:t>a helyi iparűzési adó devizában történő megfizetéséről szóló</w:t>
      </w:r>
      <w:r w:rsidR="002E20CB" w:rsidRPr="002E20CB">
        <w:rPr>
          <w:rStyle w:val="Kiemels"/>
          <w:rFonts w:ascii="Arial" w:hAnsi="Arial" w:cs="Arial"/>
          <w:i w:val="0"/>
        </w:rPr>
        <w:t xml:space="preserve"> 366/2022. (IX. 26.) rendeletével bevezette - h</w:t>
      </w:r>
      <w:r w:rsidR="002E20CB" w:rsidRPr="002E20CB">
        <w:rPr>
          <w:rFonts w:ascii="Arial" w:eastAsia="Times New Roman" w:hAnsi="Arial" w:cs="Arial"/>
          <w:i/>
          <w:lang w:eastAsia="zh-CN"/>
        </w:rPr>
        <w:t>a</w:t>
      </w:r>
      <w:r w:rsidR="002E20CB" w:rsidRPr="002E20CB">
        <w:rPr>
          <w:rFonts w:ascii="Arial" w:eastAsia="Times New Roman" w:hAnsi="Arial" w:cs="Arial"/>
          <w:lang w:eastAsia="zh-CN"/>
        </w:rPr>
        <w:t>sonlóan a társasági adóhoz - a devizában történő megfizetés lehetőségét a helyi iparűzési</w:t>
      </w:r>
      <w:r>
        <w:rPr>
          <w:rFonts w:ascii="Arial" w:eastAsia="Times New Roman" w:hAnsi="Arial" w:cs="Arial"/>
          <w:lang w:eastAsia="zh-CN"/>
        </w:rPr>
        <w:t xml:space="preserve"> adó</w:t>
      </w:r>
      <w:r w:rsidR="002E20CB" w:rsidRPr="002E20CB">
        <w:rPr>
          <w:rFonts w:ascii="Arial" w:eastAsia="Times New Roman" w:hAnsi="Arial" w:cs="Arial"/>
          <w:lang w:eastAsia="zh-CN"/>
        </w:rPr>
        <w:t xml:space="preserve"> esetében is kizárólag a szomszédos országban fennálló fegyveres konfliktusra tekintettel</w:t>
      </w:r>
      <w:r w:rsidR="0037659B">
        <w:rPr>
          <w:rFonts w:ascii="Arial" w:eastAsia="Times New Roman" w:hAnsi="Arial" w:cs="Arial"/>
          <w:lang w:eastAsia="zh-CN"/>
        </w:rPr>
        <w:t>. A lehetőség a</w:t>
      </w:r>
      <w:r w:rsidR="002E20CB" w:rsidRPr="002E20CB">
        <w:rPr>
          <w:rFonts w:ascii="Arial" w:eastAsia="Times New Roman" w:hAnsi="Arial" w:cs="Arial"/>
          <w:lang w:eastAsia="zh-CN"/>
        </w:rPr>
        <w:t xml:space="preserve"> kihirdetett </w:t>
      </w:r>
      <w:r w:rsidR="002E20CB" w:rsidRPr="002E20CB">
        <w:rPr>
          <w:rFonts w:ascii="Arial" w:eastAsia="Times New Roman" w:hAnsi="Arial" w:cs="Arial"/>
          <w:b/>
          <w:bCs/>
          <w:lang w:eastAsia="zh-CN"/>
        </w:rPr>
        <w:t xml:space="preserve">veszélyhelyzet ideje alatt </w:t>
      </w:r>
      <w:r w:rsidR="002E20CB" w:rsidRPr="002E20CB">
        <w:rPr>
          <w:rFonts w:ascii="Arial" w:eastAsia="Times New Roman" w:hAnsi="Arial" w:cs="Arial"/>
          <w:lang w:eastAsia="zh-CN"/>
        </w:rPr>
        <w:t xml:space="preserve">áll fenn, és az adózó kizárólag az </w:t>
      </w:r>
      <w:r w:rsidR="002E20CB" w:rsidRPr="002E20CB">
        <w:rPr>
          <w:rFonts w:ascii="Arial" w:eastAsia="Times New Roman" w:hAnsi="Arial" w:cs="Arial"/>
          <w:b/>
          <w:bCs/>
          <w:lang w:eastAsia="zh-CN"/>
        </w:rPr>
        <w:t>euró</w:t>
      </w:r>
      <w:r w:rsidR="002E20CB" w:rsidRPr="002E20CB">
        <w:rPr>
          <w:rFonts w:ascii="Arial" w:eastAsia="Times New Roman" w:hAnsi="Arial" w:cs="Arial"/>
          <w:lang w:eastAsia="zh-CN"/>
        </w:rPr>
        <w:t xml:space="preserve"> és </w:t>
      </w:r>
      <w:r w:rsidR="002E20CB" w:rsidRPr="002E20CB">
        <w:rPr>
          <w:rFonts w:ascii="Arial" w:eastAsia="Times New Roman" w:hAnsi="Arial" w:cs="Arial"/>
          <w:b/>
          <w:bCs/>
          <w:lang w:eastAsia="zh-CN"/>
        </w:rPr>
        <w:t>az amerikai dollár</w:t>
      </w:r>
      <w:r w:rsidR="002E20CB" w:rsidRPr="002E20CB">
        <w:rPr>
          <w:rFonts w:ascii="Arial" w:eastAsia="Times New Roman" w:hAnsi="Arial" w:cs="Arial"/>
          <w:lang w:eastAsia="zh-CN"/>
        </w:rPr>
        <w:t xml:space="preserve"> közül választhat. Főként tehát az olyan vállalkozásoknak javasolt a devizában történő megfizetést választani, amelyek bevételeiket jellemzően az említett pénznemek egyikében szerzik, hiszen így költségmegtakarítás érhető el a deviza átváltási költségek elkerülése miatt.</w:t>
      </w:r>
    </w:p>
    <w:p w:rsidR="0037659B" w:rsidRPr="0037659B" w:rsidRDefault="0037659B" w:rsidP="002E20CB">
      <w:pPr>
        <w:suppressAutoHyphens/>
        <w:spacing w:after="0"/>
        <w:jc w:val="both"/>
        <w:rPr>
          <w:rFonts w:ascii="Arial" w:hAnsi="Arial" w:cs="Arial"/>
          <w:iCs/>
        </w:rPr>
      </w:pP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>A vonatkozó szabályok:</w:t>
      </w:r>
    </w:p>
    <w:p w:rsidR="002E20CB" w:rsidRPr="002E20CB" w:rsidRDefault="002E20CB" w:rsidP="002E20CB">
      <w:pPr>
        <w:numPr>
          <w:ilvl w:val="0"/>
          <w:numId w:val="35"/>
        </w:num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 xml:space="preserve">a társasági adótól eltérő módon, a kormányrendelet </w:t>
      </w:r>
      <w:r w:rsidRPr="002E20CB">
        <w:rPr>
          <w:rFonts w:ascii="Arial" w:eastAsia="Times New Roman" w:hAnsi="Arial" w:cs="Arial"/>
          <w:b/>
          <w:bCs/>
          <w:lang w:eastAsia="zh-CN"/>
        </w:rPr>
        <w:t>nem rendelkezik</w:t>
      </w:r>
      <w:r w:rsidRPr="002E20CB">
        <w:rPr>
          <w:rFonts w:ascii="Arial" w:eastAsia="Times New Roman" w:hAnsi="Arial" w:cs="Arial"/>
          <w:lang w:eastAsia="zh-CN"/>
        </w:rPr>
        <w:t xml:space="preserve"> a helyi iparűzési adó devizában történő megfizetésére vonatkozó </w:t>
      </w:r>
      <w:r w:rsidRPr="002E20CB">
        <w:rPr>
          <w:rFonts w:ascii="Arial" w:eastAsia="Times New Roman" w:hAnsi="Arial" w:cs="Arial"/>
          <w:b/>
          <w:bCs/>
          <w:lang w:eastAsia="zh-CN"/>
        </w:rPr>
        <w:t>bejelentési kötelezettségről</w:t>
      </w:r>
      <w:r w:rsidRPr="002E20CB">
        <w:rPr>
          <w:rFonts w:ascii="Arial" w:eastAsia="Times New Roman" w:hAnsi="Arial" w:cs="Arial"/>
          <w:lang w:eastAsia="zh-CN"/>
        </w:rPr>
        <w:t>;</w:t>
      </w:r>
    </w:p>
    <w:p w:rsidR="002E20CB" w:rsidRPr="002E20CB" w:rsidRDefault="002E20CB" w:rsidP="002E20CB">
      <w:pPr>
        <w:numPr>
          <w:ilvl w:val="0"/>
          <w:numId w:val="35"/>
        </w:num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 xml:space="preserve">első alkalommal a </w:t>
      </w:r>
      <w:r w:rsidRPr="002E20CB">
        <w:rPr>
          <w:rFonts w:ascii="Arial" w:eastAsia="Times New Roman" w:hAnsi="Arial" w:cs="Arial"/>
          <w:b/>
          <w:bCs/>
          <w:lang w:eastAsia="zh-CN"/>
        </w:rPr>
        <w:t>2023 január 1-től esedékessé váló</w:t>
      </w:r>
      <w:r w:rsidRPr="002E20CB">
        <w:rPr>
          <w:rFonts w:ascii="Arial" w:eastAsia="Times New Roman" w:hAnsi="Arial" w:cs="Arial"/>
          <w:lang w:eastAsia="zh-CN"/>
        </w:rPr>
        <w:t xml:space="preserve"> helyi iparűzési adóelőleg és -adófizetési kötelezettség teljesíthető devizában. Naptári üzleti éves adózók esetében ez a </w:t>
      </w:r>
      <w:r w:rsidRPr="002E20CB">
        <w:rPr>
          <w:rFonts w:ascii="Arial" w:eastAsia="Times New Roman" w:hAnsi="Arial" w:cs="Arial"/>
          <w:b/>
          <w:bCs/>
          <w:lang w:eastAsia="zh-CN"/>
        </w:rPr>
        <w:t>2023. március 15-i adóelőleget</w:t>
      </w:r>
      <w:r w:rsidRPr="002E20CB">
        <w:rPr>
          <w:rFonts w:ascii="Arial" w:eastAsia="Times New Roman" w:hAnsi="Arial" w:cs="Arial"/>
          <w:lang w:eastAsia="zh-CN"/>
        </w:rPr>
        <w:t xml:space="preserve">, valamint a 2022. adóévi, </w:t>
      </w:r>
      <w:r w:rsidRPr="002E20CB">
        <w:rPr>
          <w:rFonts w:ascii="Arial" w:eastAsia="Times New Roman" w:hAnsi="Arial" w:cs="Arial"/>
          <w:b/>
          <w:bCs/>
          <w:lang w:eastAsia="zh-CN"/>
        </w:rPr>
        <w:t>2023. május 31-én</w:t>
      </w:r>
      <w:r w:rsidRPr="002E20CB">
        <w:rPr>
          <w:rFonts w:ascii="Arial" w:eastAsia="Times New Roman" w:hAnsi="Arial" w:cs="Arial"/>
          <w:lang w:eastAsia="zh-CN"/>
        </w:rPr>
        <w:t xml:space="preserve"> </w:t>
      </w:r>
      <w:r w:rsidRPr="002E20CB">
        <w:rPr>
          <w:rFonts w:ascii="Arial" w:eastAsia="Times New Roman" w:hAnsi="Arial" w:cs="Arial"/>
          <w:b/>
          <w:bCs/>
          <w:lang w:eastAsia="zh-CN"/>
        </w:rPr>
        <w:t>esedékes adókötelezettséget</w:t>
      </w:r>
      <w:r w:rsidRPr="002E20CB">
        <w:rPr>
          <w:rFonts w:ascii="Arial" w:eastAsia="Times New Roman" w:hAnsi="Arial" w:cs="Arial"/>
          <w:lang w:eastAsia="zh-CN"/>
        </w:rPr>
        <w:t xml:space="preserve"> jelenti;</w:t>
      </w:r>
    </w:p>
    <w:p w:rsidR="002E20CB" w:rsidRPr="002E20CB" w:rsidRDefault="002E20CB" w:rsidP="002E20CB">
      <w:pPr>
        <w:numPr>
          <w:ilvl w:val="0"/>
          <w:numId w:val="35"/>
        </w:num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 xml:space="preserve">az átutalás a helyi önkormányzat által e célból euróban vagy amerikai dollárban </w:t>
      </w:r>
      <w:r w:rsidRPr="002E20CB">
        <w:rPr>
          <w:rFonts w:ascii="Arial" w:eastAsia="Times New Roman" w:hAnsi="Arial" w:cs="Arial"/>
          <w:b/>
          <w:bCs/>
          <w:lang w:eastAsia="zh-CN"/>
        </w:rPr>
        <w:t>nyitott bankszámlára</w:t>
      </w:r>
      <w:r w:rsidRPr="002E20CB">
        <w:rPr>
          <w:rFonts w:ascii="Arial" w:eastAsia="Times New Roman" w:hAnsi="Arial" w:cs="Arial"/>
          <w:lang w:eastAsia="zh-CN"/>
        </w:rPr>
        <w:t xml:space="preserve"> teljesítendő;</w:t>
      </w:r>
    </w:p>
    <w:p w:rsidR="002E20CB" w:rsidRPr="002E20CB" w:rsidRDefault="002E20CB" w:rsidP="002E20CB">
      <w:pPr>
        <w:numPr>
          <w:ilvl w:val="0"/>
          <w:numId w:val="35"/>
        </w:num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 xml:space="preserve">az illetékes önkormányzat a devizában befizetett összeg a Magyar Nemzeti Bankhoz, mint a Magyar Államkincstár számlavezető bankjához történő </w:t>
      </w:r>
      <w:r w:rsidRPr="002E20CB">
        <w:rPr>
          <w:rFonts w:ascii="Arial" w:eastAsia="Times New Roman" w:hAnsi="Arial" w:cs="Arial"/>
          <w:b/>
          <w:bCs/>
          <w:lang w:eastAsia="zh-CN"/>
        </w:rPr>
        <w:t>beérkezésekor érvényes árfolyamon</w:t>
      </w:r>
      <w:r w:rsidRPr="002E20CB">
        <w:rPr>
          <w:rFonts w:ascii="Arial" w:eastAsia="Times New Roman" w:hAnsi="Arial" w:cs="Arial"/>
          <w:lang w:eastAsia="zh-CN"/>
        </w:rPr>
        <w:t xml:space="preserve"> számított forintösszegét írja jóvá az adózó adószámláján;</w:t>
      </w:r>
    </w:p>
    <w:p w:rsidR="002E20CB" w:rsidRPr="002E20CB" w:rsidRDefault="002E20CB" w:rsidP="002E20CB">
      <w:pPr>
        <w:numPr>
          <w:ilvl w:val="0"/>
          <w:numId w:val="35"/>
        </w:num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 xml:space="preserve">az adó </w:t>
      </w:r>
      <w:r w:rsidRPr="002E20CB">
        <w:rPr>
          <w:rFonts w:ascii="Arial" w:eastAsia="Times New Roman" w:hAnsi="Arial" w:cs="Arial"/>
          <w:b/>
          <w:bCs/>
          <w:lang w:eastAsia="zh-CN"/>
        </w:rPr>
        <w:t>megfizetésének napja</w:t>
      </w:r>
      <w:r w:rsidRPr="002E20CB">
        <w:rPr>
          <w:rFonts w:ascii="Arial" w:eastAsia="Times New Roman" w:hAnsi="Arial" w:cs="Arial"/>
          <w:lang w:eastAsia="zh-CN"/>
        </w:rPr>
        <w:t xml:space="preserve"> az illetékes </w:t>
      </w:r>
      <w:r w:rsidRPr="002E20CB">
        <w:rPr>
          <w:rFonts w:ascii="Arial" w:eastAsia="Times New Roman" w:hAnsi="Arial" w:cs="Arial"/>
          <w:b/>
          <w:bCs/>
          <w:lang w:eastAsia="zh-CN"/>
        </w:rPr>
        <w:t>önkormányzat</w:t>
      </w:r>
      <w:r w:rsidRPr="002E20CB">
        <w:rPr>
          <w:rFonts w:ascii="Arial" w:eastAsia="Times New Roman" w:hAnsi="Arial" w:cs="Arial"/>
          <w:lang w:eastAsia="zh-CN"/>
        </w:rPr>
        <w:t xml:space="preserve"> helyi iparűzési adó befizetésére szolgáló </w:t>
      </w:r>
      <w:r w:rsidRPr="002E20CB">
        <w:rPr>
          <w:rFonts w:ascii="Arial" w:eastAsia="Times New Roman" w:hAnsi="Arial" w:cs="Arial"/>
          <w:b/>
          <w:bCs/>
          <w:lang w:eastAsia="zh-CN"/>
        </w:rPr>
        <w:t>beszedési számláján való jóváírás napja</w:t>
      </w:r>
      <w:r w:rsidRPr="002E20CB">
        <w:rPr>
          <w:rFonts w:ascii="Arial" w:eastAsia="Times New Roman" w:hAnsi="Arial" w:cs="Arial"/>
          <w:lang w:eastAsia="zh-CN"/>
        </w:rPr>
        <w:t>;</w:t>
      </w:r>
    </w:p>
    <w:p w:rsidR="002E20CB" w:rsidRDefault="002E20CB" w:rsidP="002E20CB">
      <w:pPr>
        <w:numPr>
          <w:ilvl w:val="0"/>
          <w:numId w:val="35"/>
        </w:num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>az adózó adószámláján meg fog jelenni a teljesített befizetés devizaösszege, devizaneme, az alkalmazott árfolyam, valamint az elszámolt forintösszeg.</w:t>
      </w:r>
    </w:p>
    <w:p w:rsidR="00655E7F" w:rsidRPr="00655E7F" w:rsidRDefault="00655E7F" w:rsidP="00655E7F">
      <w:pPr>
        <w:suppressAutoHyphens/>
        <w:spacing w:after="0"/>
        <w:ind w:left="720"/>
        <w:jc w:val="both"/>
        <w:rPr>
          <w:rFonts w:ascii="Arial" w:eastAsia="Times New Roman" w:hAnsi="Arial" w:cs="Arial"/>
          <w:lang w:eastAsia="zh-CN"/>
        </w:rPr>
      </w:pP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  <w:r w:rsidRPr="002E20CB">
        <w:rPr>
          <w:rFonts w:ascii="Arial" w:eastAsia="Times New Roman" w:hAnsi="Arial" w:cs="Arial"/>
          <w:lang w:eastAsia="zh-CN"/>
        </w:rPr>
        <w:t xml:space="preserve">Az adózók a vállalkozásukat érintő változásokról (tevékenység megkezdése; zárása; szüneteltetés; székhely/telehely nyitása, zárása, áthelyezése; személyi adatváltozások; </w:t>
      </w:r>
      <w:proofErr w:type="gramStart"/>
      <w:r w:rsidRPr="002E20CB">
        <w:rPr>
          <w:rFonts w:ascii="Arial" w:eastAsia="Times New Roman" w:hAnsi="Arial" w:cs="Arial"/>
          <w:lang w:eastAsia="zh-CN"/>
        </w:rPr>
        <w:t>meghatalmazások,</w:t>
      </w:r>
      <w:proofErr w:type="gramEnd"/>
      <w:r w:rsidRPr="002E20CB">
        <w:rPr>
          <w:rFonts w:ascii="Arial" w:eastAsia="Times New Roman" w:hAnsi="Arial" w:cs="Arial"/>
          <w:lang w:eastAsia="zh-CN"/>
        </w:rPr>
        <w:t xml:space="preserve"> stb.) bejelentkezés, változás-bejelentés nyomtatványok tájékoztatják az adóhatóságot. Ezek a nyomtatványok folyamatosan érkeznek hozzánk. Ezek megküldése ügyfél részéről nem kötelező, mivel a NAV megküldi a hozzá érkezett adatokat az önkormányzati adóhatóság részére. </w:t>
      </w:r>
      <w:r w:rsidRPr="002E20CB">
        <w:rPr>
          <w:rFonts w:ascii="Arial" w:eastAsia="Times New Roman" w:hAnsi="Arial" w:cs="Arial"/>
          <w:b/>
          <w:lang w:eastAsia="zh-CN"/>
        </w:rPr>
        <w:t xml:space="preserve">Ez az adatszolgáltatás folyamatosan érkezik hozzánk. </w:t>
      </w:r>
      <w:r w:rsidRPr="002E20CB">
        <w:rPr>
          <w:rFonts w:ascii="Arial" w:eastAsia="Times New Roman" w:hAnsi="Arial" w:cs="Arial"/>
          <w:lang w:eastAsia="zh-CN"/>
        </w:rPr>
        <w:t xml:space="preserve">Sajnos számos esetben probléma merült fel a tartalmukkal kapcsolatban, hibás adatok miatt. Ezek az esetek dupla, </w:t>
      </w:r>
      <w:r w:rsidR="00657011">
        <w:rPr>
          <w:rFonts w:ascii="Arial" w:eastAsia="Times New Roman" w:hAnsi="Arial" w:cs="Arial"/>
          <w:lang w:eastAsia="zh-CN"/>
        </w:rPr>
        <w:t>esetenként</w:t>
      </w:r>
      <w:r w:rsidRPr="002E20CB">
        <w:rPr>
          <w:rFonts w:ascii="Arial" w:eastAsia="Times New Roman" w:hAnsi="Arial" w:cs="Arial"/>
          <w:lang w:eastAsia="zh-CN"/>
        </w:rPr>
        <w:t xml:space="preserve"> tripla munkát is jelentenek </w:t>
      </w:r>
      <w:r w:rsidR="00657011">
        <w:rPr>
          <w:rFonts w:ascii="Arial" w:eastAsia="Times New Roman" w:hAnsi="Arial" w:cs="Arial"/>
          <w:lang w:eastAsia="zh-CN"/>
        </w:rPr>
        <w:t>az iparűzésiadó ügyintézőnek</w:t>
      </w:r>
      <w:r w:rsidRPr="002E20CB">
        <w:rPr>
          <w:rFonts w:ascii="Arial" w:eastAsia="Times New Roman" w:hAnsi="Arial" w:cs="Arial"/>
          <w:lang w:eastAsia="zh-CN"/>
        </w:rPr>
        <w:t xml:space="preserve">. </w:t>
      </w:r>
    </w:p>
    <w:p w:rsidR="002E20CB" w:rsidRPr="002E20CB" w:rsidRDefault="002E20CB" w:rsidP="002E20CB">
      <w:pPr>
        <w:suppressAutoHyphens/>
        <w:spacing w:after="0"/>
        <w:jc w:val="both"/>
        <w:rPr>
          <w:rFonts w:ascii="Arial" w:eastAsia="Times New Roman" w:hAnsi="Arial" w:cs="Arial"/>
          <w:lang w:eastAsia="zh-CN"/>
        </w:rPr>
      </w:pPr>
    </w:p>
    <w:p w:rsidR="002E20CB" w:rsidRPr="002E20CB" w:rsidRDefault="002E20CB" w:rsidP="002E20CB">
      <w:pPr>
        <w:spacing w:after="0"/>
        <w:contextualSpacing/>
        <w:jc w:val="both"/>
        <w:rPr>
          <w:rFonts w:ascii="Arial" w:hAnsi="Arial" w:cs="Arial"/>
        </w:rPr>
      </w:pPr>
      <w:r w:rsidRPr="002E20CB">
        <w:rPr>
          <w:rFonts w:ascii="Arial" w:hAnsi="Arial" w:cs="Arial"/>
        </w:rPr>
        <w:t xml:space="preserve"> Az iparűzési adó alanyok száma:</w:t>
      </w:r>
    </w:p>
    <w:p w:rsidR="002E20CB" w:rsidRDefault="002E20CB" w:rsidP="00657011">
      <w:pPr>
        <w:pStyle w:val="Listaszerbekezds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657011">
        <w:rPr>
          <w:rFonts w:ascii="Arial" w:hAnsi="Arial" w:cs="Arial"/>
        </w:rPr>
        <w:t xml:space="preserve">változás bejelentésének </w:t>
      </w:r>
      <w:proofErr w:type="gramStart"/>
      <w:r w:rsidRPr="00657011">
        <w:rPr>
          <w:rFonts w:ascii="Arial" w:hAnsi="Arial" w:cs="Arial"/>
        </w:rPr>
        <w:t>feldolgozása:  1788</w:t>
      </w:r>
      <w:proofErr w:type="gramEnd"/>
      <w:r w:rsidRPr="00657011">
        <w:rPr>
          <w:rFonts w:ascii="Arial" w:hAnsi="Arial" w:cs="Arial"/>
        </w:rPr>
        <w:t xml:space="preserve"> db </w:t>
      </w:r>
    </w:p>
    <w:p w:rsidR="002E20CB" w:rsidRDefault="002E20CB" w:rsidP="00657011">
      <w:pPr>
        <w:pStyle w:val="Listaszerbekezds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657011">
        <w:rPr>
          <w:rFonts w:ascii="Arial" w:hAnsi="Arial" w:cs="Arial"/>
        </w:rPr>
        <w:t xml:space="preserve">NAV által megküldött változásbejelentésének feldolgozása: 1995 db </w:t>
      </w:r>
    </w:p>
    <w:p w:rsidR="002E20CB" w:rsidRPr="00657011" w:rsidRDefault="002E20CB" w:rsidP="00657011">
      <w:pPr>
        <w:pStyle w:val="Listaszerbekezds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657011">
        <w:rPr>
          <w:rFonts w:ascii="Arial" w:hAnsi="Arial" w:cs="Arial"/>
        </w:rPr>
        <w:t xml:space="preserve">beérkezett iparűzési adóbevallások 2022. </w:t>
      </w:r>
      <w:proofErr w:type="gramStart"/>
      <w:r w:rsidRPr="00657011">
        <w:rPr>
          <w:rFonts w:ascii="Arial" w:hAnsi="Arial" w:cs="Arial"/>
        </w:rPr>
        <w:t>adóévről :</w:t>
      </w:r>
      <w:proofErr w:type="gramEnd"/>
      <w:r w:rsidRPr="00657011">
        <w:rPr>
          <w:rFonts w:ascii="Arial" w:hAnsi="Arial" w:cs="Arial"/>
        </w:rPr>
        <w:t xml:space="preserve">   1111 db </w:t>
      </w:r>
    </w:p>
    <w:p w:rsidR="002E20CB" w:rsidRPr="00657011" w:rsidRDefault="002E20CB" w:rsidP="00657011">
      <w:pPr>
        <w:spacing w:after="0"/>
        <w:ind w:left="3540" w:firstLine="708"/>
        <w:jc w:val="both"/>
        <w:rPr>
          <w:rFonts w:ascii="Arial" w:hAnsi="Arial" w:cs="Arial"/>
        </w:rPr>
      </w:pPr>
      <w:r w:rsidRPr="00657011">
        <w:rPr>
          <w:rFonts w:ascii="Arial" w:hAnsi="Arial" w:cs="Arial"/>
        </w:rPr>
        <w:t xml:space="preserve">2023. </w:t>
      </w:r>
      <w:proofErr w:type="gramStart"/>
      <w:r w:rsidRPr="00657011">
        <w:rPr>
          <w:rFonts w:ascii="Arial" w:hAnsi="Arial" w:cs="Arial"/>
        </w:rPr>
        <w:t xml:space="preserve">adóévről:   </w:t>
      </w:r>
      <w:proofErr w:type="gramEnd"/>
      <w:r w:rsidRPr="00657011">
        <w:rPr>
          <w:rFonts w:ascii="Arial" w:hAnsi="Arial" w:cs="Arial"/>
        </w:rPr>
        <w:t xml:space="preserve">  </w:t>
      </w:r>
      <w:r w:rsidR="00657011">
        <w:rPr>
          <w:rFonts w:ascii="Arial" w:hAnsi="Arial" w:cs="Arial"/>
        </w:rPr>
        <w:t xml:space="preserve"> </w:t>
      </w:r>
      <w:r w:rsidRPr="00657011">
        <w:rPr>
          <w:rFonts w:ascii="Arial" w:hAnsi="Arial" w:cs="Arial"/>
        </w:rPr>
        <w:t xml:space="preserve">136 db </w:t>
      </w:r>
    </w:p>
    <w:p w:rsidR="002E20CB" w:rsidRPr="00E0080D" w:rsidRDefault="002E20CB" w:rsidP="002E20CB">
      <w:pPr>
        <w:spacing w:after="0"/>
        <w:contextualSpacing/>
        <w:jc w:val="both"/>
        <w:rPr>
          <w:rFonts w:ascii="Arial" w:hAnsi="Arial" w:cs="Arial"/>
        </w:rPr>
      </w:pPr>
    </w:p>
    <w:p w:rsidR="002E20CB" w:rsidRDefault="002E20CB" w:rsidP="002E20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2E20CB" w:rsidRDefault="002E20CB" w:rsidP="002E20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2E20CB" w:rsidRDefault="002E20CB" w:rsidP="002E20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C812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17706D0" wp14:editId="2E4D3952">
            <wp:extent cx="5715000" cy="3257550"/>
            <wp:effectExtent l="0" t="0" r="0" b="0"/>
            <wp:docPr id="7" name="Diagram 7">
              <a:extLst xmlns:a="http://schemas.openxmlformats.org/drawingml/2006/main">
                <a:ext uri="{FF2B5EF4-FFF2-40B4-BE49-F238E27FC236}">
                  <a16:creationId xmlns:a16="http://schemas.microsoft.com/office/drawing/2014/main" id="{576C34C3-C49D-4418-A769-D29F717BDB9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E20CB" w:rsidRDefault="002E20CB" w:rsidP="002E20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2E20CB" w:rsidRDefault="002E20CB" w:rsidP="002E20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zh-CN"/>
        </w:rPr>
      </w:pPr>
    </w:p>
    <w:p w:rsidR="006112E4" w:rsidRPr="00637E00" w:rsidRDefault="002E20CB" w:rsidP="00CA5D6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C812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39CDDDF" wp14:editId="13F8A11C">
            <wp:extent cx="5629275" cy="3514725"/>
            <wp:effectExtent l="0" t="0" r="9525" b="9525"/>
            <wp:docPr id="9" name="Diagram 9">
              <a:extLst xmlns:a="http://schemas.openxmlformats.org/drawingml/2006/main">
                <a:ext uri="{FF2B5EF4-FFF2-40B4-BE49-F238E27FC236}">
                  <a16:creationId xmlns:a16="http://schemas.microsoft.com/office/drawing/2014/main" id="{D2B85C48-997B-47AC-A1A8-AC072956B3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10EBB" w:rsidRDefault="00010EBB" w:rsidP="00010EBB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2E46BB" w:rsidRPr="00590E62" w:rsidRDefault="002E46BB" w:rsidP="00010EBB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06724C" w:rsidRPr="00152328" w:rsidRDefault="00112AA4" w:rsidP="00655E7F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152328">
        <w:rPr>
          <w:rFonts w:ascii="Arial" w:hAnsi="Arial" w:cs="Arial"/>
          <w:b/>
        </w:rPr>
        <w:t xml:space="preserve"> </w:t>
      </w:r>
      <w:r w:rsidR="0006724C" w:rsidRPr="00152328">
        <w:rPr>
          <w:rFonts w:ascii="Arial" w:hAnsi="Arial" w:cs="Arial"/>
          <w:b/>
        </w:rPr>
        <w:t>Idegenforgalmi adó</w:t>
      </w:r>
    </w:p>
    <w:p w:rsidR="00EC591D" w:rsidRDefault="00EC591D" w:rsidP="00EC591D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EC591D" w:rsidRPr="00EC591D" w:rsidRDefault="00EC591D" w:rsidP="00EC591D">
      <w:pPr>
        <w:spacing w:afterLines="200" w:after="480"/>
        <w:contextualSpacing/>
        <w:jc w:val="both"/>
        <w:rPr>
          <w:rFonts w:ascii="Arial" w:hAnsi="Arial" w:cs="Arial"/>
          <w:b/>
        </w:rPr>
      </w:pPr>
      <w:r w:rsidRPr="00EC591D">
        <w:rPr>
          <w:rFonts w:ascii="Arial" w:hAnsi="Arial" w:cs="Arial"/>
        </w:rPr>
        <w:lastRenderedPageBreak/>
        <w:t xml:space="preserve">A helyi adókról szóló 1990. évi C. törvény értelmében idegenforgalmi adó kötelezettség terheli azt a magánszemélyt, aki az önkormányzat illetékességi területén legalább egy vendégéjszakát eltölt. Az adó mértéke Hévízen 2020. év január 1-től 2022. december 31-ig 530 Ft volt, </w:t>
      </w:r>
      <w:r w:rsidRPr="00EC591D">
        <w:rPr>
          <w:rFonts w:ascii="Arial" w:hAnsi="Arial" w:cs="Arial"/>
          <w:b/>
        </w:rPr>
        <w:t>597 Ft/fő/vendégéjszakára</w:t>
      </w:r>
      <w:r w:rsidRPr="00EC591D">
        <w:rPr>
          <w:rFonts w:ascii="Arial" w:hAnsi="Arial" w:cs="Arial"/>
        </w:rPr>
        <w:t xml:space="preserve"> változott 2023. január 1. napjától.     </w:t>
      </w:r>
    </w:p>
    <w:p w:rsidR="00EC591D" w:rsidRPr="00EC591D" w:rsidRDefault="00EC591D" w:rsidP="00EC591D">
      <w:pPr>
        <w:spacing w:afterLines="200" w:after="480"/>
        <w:contextualSpacing/>
        <w:jc w:val="both"/>
        <w:rPr>
          <w:rFonts w:ascii="Arial" w:hAnsi="Arial" w:cs="Arial"/>
          <w:b/>
        </w:rPr>
      </w:pPr>
    </w:p>
    <w:p w:rsidR="00EC591D" w:rsidRDefault="00EC591D" w:rsidP="00EC591D">
      <w:pPr>
        <w:spacing w:afterLines="200" w:after="480"/>
        <w:contextualSpacing/>
        <w:jc w:val="both"/>
        <w:rPr>
          <w:rFonts w:ascii="Arial" w:hAnsi="Arial" w:cs="Arial"/>
        </w:rPr>
      </w:pPr>
      <w:r w:rsidRPr="00EC591D">
        <w:rPr>
          <w:rFonts w:ascii="Arial" w:hAnsi="Arial" w:cs="Arial"/>
        </w:rPr>
        <w:t>2020. április 26-tól 2021. június 30-ig a vendégeknek nem kellett idegenforgalmi adót fizetniük, az általuk eltöltött vendégéjszakák után állami támogatást kaptunk 2020. évre, 2021. év első félévére már nem. (A táblázatok 2020. évre vonatkozóan a támogatásokat és a befizetéseket együttesen tartalmazzák. A beszedett idegenforgalmi adó után 2020. évtől normatív támogatást már nem igényelhetünk.)</w:t>
      </w:r>
    </w:p>
    <w:p w:rsidR="00152328" w:rsidRPr="00EC591D" w:rsidRDefault="00152328" w:rsidP="00EC591D">
      <w:pPr>
        <w:spacing w:afterLines="200" w:after="480"/>
        <w:contextualSpacing/>
        <w:jc w:val="both"/>
        <w:rPr>
          <w:rFonts w:ascii="Arial" w:hAnsi="Arial" w:cs="Arial"/>
        </w:rPr>
      </w:pPr>
    </w:p>
    <w:p w:rsidR="00EC591D" w:rsidRDefault="00EC591D" w:rsidP="00152328">
      <w:pPr>
        <w:spacing w:afterLines="200" w:after="480"/>
        <w:contextualSpacing/>
        <w:jc w:val="both"/>
        <w:rPr>
          <w:rFonts w:ascii="Arial" w:hAnsi="Arial" w:cs="Arial"/>
          <w:bCs/>
        </w:rPr>
      </w:pPr>
      <w:r w:rsidRPr="00EC591D">
        <w:rPr>
          <w:rFonts w:ascii="Arial" w:hAnsi="Arial" w:cs="Arial"/>
          <w:bCs/>
        </w:rPr>
        <w:t>Idegenforgalmi adó bevétel (ezer Ft):</w:t>
      </w:r>
    </w:p>
    <w:p w:rsidR="00152328" w:rsidRPr="00152328" w:rsidRDefault="00152328" w:rsidP="00152328">
      <w:pPr>
        <w:spacing w:afterLines="200" w:after="480"/>
        <w:contextualSpacing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3"/>
      </w:tblGrid>
      <w:tr w:rsidR="00EC591D" w:rsidRPr="00CF4681" w:rsidTr="00EC591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1D" w:rsidRPr="00CF4681" w:rsidRDefault="00EC591D" w:rsidP="00EC591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CF4681">
              <w:rPr>
                <w:rFonts w:eastAsia="Times New Roman"/>
                <w:b/>
                <w:bCs/>
                <w:lang w:eastAsia="hu-HU"/>
              </w:rPr>
              <w:t>Befizetett idegenforgalmi adó havi megoszlása</w:t>
            </w:r>
          </w:p>
        </w:tc>
      </w:tr>
      <w:tr w:rsidR="00EC591D" w:rsidRPr="00CF4681" w:rsidTr="00EC591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1D" w:rsidRPr="00CF4681" w:rsidRDefault="00EC591D" w:rsidP="00EC591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CF4681">
              <w:rPr>
                <w:rFonts w:eastAsia="Times New Roman"/>
                <w:b/>
                <w:bCs/>
                <w:lang w:eastAsia="hu-HU"/>
              </w:rPr>
              <w:t>2019-2023. években</w:t>
            </w:r>
          </w:p>
        </w:tc>
      </w:tr>
    </w:tbl>
    <w:p w:rsidR="00EC591D" w:rsidRDefault="00EC591D" w:rsidP="00EC591D">
      <w:pPr>
        <w:jc w:val="both"/>
        <w:rPr>
          <w:b/>
        </w:rPr>
      </w:pPr>
    </w:p>
    <w:p w:rsidR="00EC591D" w:rsidRDefault="00EC591D" w:rsidP="00EC591D">
      <w:pPr>
        <w:jc w:val="both"/>
        <w:rPr>
          <w:b/>
        </w:rPr>
      </w:pPr>
      <w:r w:rsidRPr="00A80636">
        <w:rPr>
          <w:noProof/>
        </w:rPr>
        <w:drawing>
          <wp:inline distT="0" distB="0" distL="0" distR="0" wp14:anchorId="2B2E82A1" wp14:editId="32562857">
            <wp:extent cx="5758180" cy="102870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70" cy="1035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91D" w:rsidRDefault="00EC591D" w:rsidP="00EC591D">
      <w:pPr>
        <w:jc w:val="both"/>
        <w:rPr>
          <w:b/>
        </w:rPr>
      </w:pPr>
    </w:p>
    <w:p w:rsidR="00EC591D" w:rsidRDefault="00EC591D" w:rsidP="00B62135">
      <w:pPr>
        <w:spacing w:after="0" w:line="24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2E5660E2" wp14:editId="42CF7852">
            <wp:extent cx="5257800" cy="2590800"/>
            <wp:effectExtent l="0" t="0" r="0" b="0"/>
            <wp:docPr id="10" name="Diagram 10">
              <a:extLst xmlns:a="http://schemas.openxmlformats.org/drawingml/2006/main">
                <a:ext uri="{FF2B5EF4-FFF2-40B4-BE49-F238E27FC236}">
                  <a16:creationId xmlns:a16="http://schemas.microsoft.com/office/drawing/2014/main" id="{425601F6-8F4A-44BD-AE19-FF965DFABBD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62135" w:rsidRDefault="00B62135" w:rsidP="00B62135">
      <w:pPr>
        <w:spacing w:after="0" w:line="240" w:lineRule="auto"/>
        <w:jc w:val="both"/>
        <w:rPr>
          <w:b/>
        </w:rPr>
      </w:pPr>
    </w:p>
    <w:p w:rsidR="00637E00" w:rsidRDefault="00EC591D" w:rsidP="00B62135">
      <w:pPr>
        <w:spacing w:after="0" w:line="240" w:lineRule="auto"/>
        <w:jc w:val="both"/>
        <w:rPr>
          <w:rFonts w:ascii="Arial" w:hAnsi="Arial" w:cs="Arial"/>
        </w:rPr>
      </w:pPr>
      <w:r w:rsidRPr="00EC591D">
        <w:rPr>
          <w:rFonts w:ascii="Arial" w:hAnsi="Arial" w:cs="Arial"/>
        </w:rPr>
        <w:t xml:space="preserve">Az idegenforgalmi adóból származó </w:t>
      </w:r>
      <w:r w:rsidRPr="00EC591D">
        <w:rPr>
          <w:rFonts w:ascii="Arial" w:hAnsi="Arial" w:cs="Arial"/>
          <w:b/>
        </w:rPr>
        <w:t>bevétel</w:t>
      </w:r>
      <w:r w:rsidRPr="00EC591D">
        <w:rPr>
          <w:rFonts w:ascii="Arial" w:hAnsi="Arial" w:cs="Arial"/>
        </w:rPr>
        <w:t xml:space="preserve"> </w:t>
      </w:r>
      <w:r w:rsidRPr="00EC591D">
        <w:rPr>
          <w:rFonts w:ascii="Arial" w:hAnsi="Arial" w:cs="Arial"/>
          <w:b/>
        </w:rPr>
        <w:t>2023. évben meghaladta az 500 millió Ft</w:t>
      </w:r>
      <w:r w:rsidRPr="00EC591D">
        <w:rPr>
          <w:rFonts w:ascii="Arial" w:hAnsi="Arial" w:cs="Arial"/>
        </w:rPr>
        <w:t xml:space="preserve">-ot (567 562 ezer Ft). A koronavírus járvány után az orosz-ukrán háború miatt a fizetőképes orosz vendégek elmaradása ellenére is emelkedett a vendégéjszakák száma is, a befizetések alapján a város </w:t>
      </w:r>
      <w:r w:rsidRPr="00EC591D">
        <w:rPr>
          <w:rFonts w:ascii="Arial" w:hAnsi="Arial" w:cs="Arial"/>
          <w:b/>
        </w:rPr>
        <w:t>2023-ban 956 635 vendégéjszakát</w:t>
      </w:r>
      <w:r w:rsidRPr="00EC591D">
        <w:rPr>
          <w:rFonts w:ascii="Arial" w:hAnsi="Arial" w:cs="Arial"/>
        </w:rPr>
        <w:t xml:space="preserve"> realizálhatott.</w:t>
      </w:r>
    </w:p>
    <w:p w:rsidR="00B62135" w:rsidRPr="00EC591D" w:rsidRDefault="00B62135" w:rsidP="00B62135">
      <w:pPr>
        <w:spacing w:after="0" w:line="240" w:lineRule="auto"/>
        <w:jc w:val="both"/>
        <w:rPr>
          <w:rFonts w:ascii="Arial" w:hAnsi="Arial" w:cs="Arial"/>
        </w:rPr>
      </w:pPr>
    </w:p>
    <w:p w:rsidR="00EC591D" w:rsidRDefault="00EC591D" w:rsidP="00EC591D">
      <w:pPr>
        <w:jc w:val="center"/>
        <w:rPr>
          <w:b/>
        </w:rPr>
      </w:pPr>
      <w:r w:rsidRPr="00243615">
        <w:rPr>
          <w:b/>
        </w:rPr>
        <w:t>Befizetések alapján számított vendégéjszakák 2019-2023.</w:t>
      </w:r>
    </w:p>
    <w:p w:rsidR="00EC591D" w:rsidRDefault="00EC591D" w:rsidP="00EC591D">
      <w:pPr>
        <w:jc w:val="center"/>
        <w:rPr>
          <w:b/>
        </w:rPr>
      </w:pPr>
      <w:r w:rsidRPr="00243615">
        <w:rPr>
          <w:noProof/>
        </w:rPr>
        <w:drawing>
          <wp:inline distT="0" distB="0" distL="0" distR="0" wp14:anchorId="2C47C0CD" wp14:editId="57BC383C">
            <wp:extent cx="4457700" cy="333375"/>
            <wp:effectExtent l="0" t="0" r="0" b="952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91D" w:rsidRDefault="00EC591D" w:rsidP="00EC591D">
      <w:pPr>
        <w:jc w:val="center"/>
        <w:rPr>
          <w:b/>
        </w:rPr>
      </w:pPr>
    </w:p>
    <w:p w:rsidR="00EC591D" w:rsidRDefault="00EC591D" w:rsidP="00EC591D">
      <w:pPr>
        <w:jc w:val="center"/>
        <w:rPr>
          <w:b/>
        </w:rPr>
      </w:pPr>
      <w:r>
        <w:rPr>
          <w:noProof/>
        </w:rPr>
        <w:lastRenderedPageBreak/>
        <w:drawing>
          <wp:inline distT="0" distB="0" distL="0" distR="0" wp14:anchorId="6AC645BD" wp14:editId="536E4BBC">
            <wp:extent cx="4572000" cy="2743200"/>
            <wp:effectExtent l="0" t="0" r="0" b="0"/>
            <wp:docPr id="8" name="Diagram 8">
              <a:extLst xmlns:a="http://schemas.openxmlformats.org/drawingml/2006/main">
                <a:ext uri="{FF2B5EF4-FFF2-40B4-BE49-F238E27FC236}">
                  <a16:creationId xmlns:a16="http://schemas.microsoft.com/office/drawing/2014/main" id="{A42DBFFF-47E6-4C1D-B67E-1277D246742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37E00" w:rsidRDefault="00637E00" w:rsidP="00EC591D">
      <w:pPr>
        <w:jc w:val="both"/>
        <w:rPr>
          <w:rFonts w:ascii="Arial" w:hAnsi="Arial" w:cs="Arial"/>
        </w:rPr>
      </w:pPr>
    </w:p>
    <w:p w:rsidR="00EC591D" w:rsidRPr="00EC591D" w:rsidRDefault="00EC591D" w:rsidP="00EC591D">
      <w:pPr>
        <w:jc w:val="both"/>
        <w:rPr>
          <w:rFonts w:ascii="Arial" w:hAnsi="Arial" w:cs="Arial"/>
        </w:rPr>
      </w:pPr>
      <w:r w:rsidRPr="00EC591D">
        <w:rPr>
          <w:rFonts w:ascii="Arial" w:hAnsi="Arial" w:cs="Arial"/>
        </w:rPr>
        <w:t>Az adónem kintlévősége is emelkedett, 2023. december 31-én 8 500 ezer Ft volt. A hátralék nagyobb része januárban beérkezett. Több, mint 4 700 idegenforgalmi adóval kapcsolatos irat került feldolgozásra.</w:t>
      </w:r>
    </w:p>
    <w:p w:rsidR="00637E00" w:rsidRPr="00527C58" w:rsidRDefault="00EC591D" w:rsidP="00637E00">
      <w:pPr>
        <w:spacing w:after="0" w:line="240" w:lineRule="auto"/>
        <w:jc w:val="both"/>
        <w:rPr>
          <w:rFonts w:ascii="Arial" w:hAnsi="Arial" w:cs="Arial"/>
          <w:strike/>
          <w:color w:val="FF0000"/>
        </w:rPr>
      </w:pPr>
      <w:r w:rsidRPr="00EC591D">
        <w:rPr>
          <w:rFonts w:ascii="Arial" w:hAnsi="Arial" w:cs="Arial"/>
        </w:rPr>
        <w:t>Az önkormányzati portálon történő elektronikus ügyintézést, mely az ügyfelek számára nagyobb időbeni és térbeni rugalmasságot jelentett, már gördülékenyen használták</w:t>
      </w:r>
      <w:r w:rsidR="00A87F6B">
        <w:rPr>
          <w:rFonts w:ascii="Arial" w:hAnsi="Arial" w:cs="Arial"/>
        </w:rPr>
        <w:t xml:space="preserve">.   </w:t>
      </w:r>
    </w:p>
    <w:p w:rsidR="003F3728" w:rsidRPr="00637E00" w:rsidRDefault="003F3728" w:rsidP="00637E00">
      <w:pPr>
        <w:spacing w:after="0" w:line="240" w:lineRule="auto"/>
        <w:jc w:val="both"/>
        <w:rPr>
          <w:rFonts w:ascii="Arial" w:hAnsi="Arial" w:cs="Arial"/>
        </w:rPr>
      </w:pPr>
    </w:p>
    <w:p w:rsidR="000C135C" w:rsidRDefault="00861CAB" w:rsidP="00637E00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655E7F">
        <w:rPr>
          <w:rFonts w:ascii="Arial" w:hAnsi="Arial" w:cs="Arial"/>
          <w:b/>
        </w:rPr>
        <w:t>Helyi jövedéki adó</w:t>
      </w:r>
    </w:p>
    <w:p w:rsidR="00655E7F" w:rsidRPr="00655E7F" w:rsidRDefault="00655E7F" w:rsidP="00637E00">
      <w:pPr>
        <w:pStyle w:val="Listaszerbekezds"/>
        <w:spacing w:after="0" w:line="240" w:lineRule="auto"/>
        <w:ind w:left="1428"/>
        <w:jc w:val="both"/>
        <w:rPr>
          <w:rFonts w:ascii="Arial" w:hAnsi="Arial" w:cs="Arial"/>
          <w:b/>
        </w:rPr>
      </w:pPr>
    </w:p>
    <w:p w:rsidR="000C135C" w:rsidRPr="00655E7F" w:rsidRDefault="000C135C" w:rsidP="00637E00">
      <w:pPr>
        <w:spacing w:after="0" w:line="240" w:lineRule="auto"/>
        <w:jc w:val="both"/>
        <w:rPr>
          <w:rStyle w:val="markedcontent"/>
          <w:rFonts w:ascii="Arial" w:hAnsi="Arial" w:cs="Arial"/>
        </w:rPr>
      </w:pPr>
      <w:r w:rsidRPr="00655E7F">
        <w:rPr>
          <w:rStyle w:val="markedcontent"/>
          <w:rFonts w:ascii="Arial" w:hAnsi="Arial" w:cs="Arial"/>
        </w:rPr>
        <w:t>A helyi jövedéki adó átengedett központi adó, ugyanakkor 2016. január 1. napjától a</w:t>
      </w:r>
      <w:r w:rsidRPr="00655E7F">
        <w:rPr>
          <w:rFonts w:ascii="Arial" w:hAnsi="Arial" w:cs="Arial"/>
        </w:rPr>
        <w:br/>
      </w:r>
      <w:r w:rsidRPr="00655E7F">
        <w:rPr>
          <w:rStyle w:val="markedcontent"/>
          <w:rFonts w:ascii="Arial" w:hAnsi="Arial" w:cs="Arial"/>
        </w:rPr>
        <w:t>magánfőzőknek un. párlat adójegyeket kell beszerezniük a vámhatóságtól, így</w:t>
      </w:r>
      <w:r w:rsidRPr="00655E7F">
        <w:rPr>
          <w:rFonts w:ascii="Arial" w:hAnsi="Arial" w:cs="Arial"/>
        </w:rPr>
        <w:br/>
      </w:r>
      <w:r w:rsidRPr="00655E7F">
        <w:rPr>
          <w:rStyle w:val="markedcontent"/>
          <w:rFonts w:ascii="Arial" w:hAnsi="Arial" w:cs="Arial"/>
        </w:rPr>
        <w:t xml:space="preserve">önkormányzatunk nem részesül adóbevételből ezen adónem után. </w:t>
      </w:r>
    </w:p>
    <w:p w:rsidR="00B62135" w:rsidRDefault="00B62135" w:rsidP="00637E00">
      <w:pPr>
        <w:spacing w:after="0" w:line="240" w:lineRule="auto"/>
        <w:jc w:val="both"/>
        <w:rPr>
          <w:rStyle w:val="markedcontent"/>
          <w:rFonts w:ascii="Arial" w:hAnsi="Arial" w:cs="Arial"/>
        </w:rPr>
      </w:pPr>
    </w:p>
    <w:p w:rsidR="004932EE" w:rsidRPr="00655E7F" w:rsidRDefault="000C135C" w:rsidP="00637E00">
      <w:pPr>
        <w:spacing w:after="0" w:line="240" w:lineRule="auto"/>
        <w:jc w:val="both"/>
        <w:rPr>
          <w:rFonts w:ascii="Arial" w:hAnsi="Arial" w:cs="Arial"/>
        </w:rPr>
      </w:pPr>
      <w:r w:rsidRPr="00655E7F">
        <w:rPr>
          <w:rStyle w:val="markedcontent"/>
          <w:rFonts w:ascii="Arial" w:hAnsi="Arial" w:cs="Arial"/>
        </w:rPr>
        <w:t>A jövedéki adóról szóló 2016. évi LXVIII. törvény 5. §. (2) bekezdése alapján a magánfőző desztilláló- berendezésének bejelentésével kapcsolatban és a magánfőzés szabályai betartásának ellenőrzésével kapcsolatban az önkormányzati adóhatóság jár el</w:t>
      </w:r>
      <w:r w:rsidR="00106F00" w:rsidRPr="00655E7F">
        <w:rPr>
          <w:rStyle w:val="markedcontent"/>
          <w:rFonts w:ascii="Arial" w:hAnsi="Arial" w:cs="Arial"/>
        </w:rPr>
        <w:t>.</w:t>
      </w:r>
      <w:r w:rsidRPr="00655E7F">
        <w:rPr>
          <w:rStyle w:val="markedcontent"/>
          <w:rFonts w:ascii="Arial" w:hAnsi="Arial" w:cs="Arial"/>
        </w:rPr>
        <w:t xml:space="preserve"> </w:t>
      </w:r>
    </w:p>
    <w:p w:rsidR="004932EE" w:rsidRDefault="004932EE" w:rsidP="00637E00">
      <w:pPr>
        <w:spacing w:after="0" w:line="240" w:lineRule="auto"/>
        <w:jc w:val="both"/>
        <w:rPr>
          <w:rFonts w:ascii="Arial" w:eastAsiaTheme="minorHAnsi" w:hAnsi="Arial" w:cs="Arial"/>
          <w:color w:val="FF0000"/>
          <w:highlight w:val="yellow"/>
        </w:rPr>
      </w:pPr>
    </w:p>
    <w:p w:rsidR="003F3728" w:rsidRPr="00590E62" w:rsidRDefault="003F3728" w:rsidP="00637E00">
      <w:pPr>
        <w:spacing w:after="0" w:line="240" w:lineRule="auto"/>
        <w:jc w:val="both"/>
        <w:rPr>
          <w:rFonts w:ascii="Arial" w:eastAsiaTheme="minorHAnsi" w:hAnsi="Arial" w:cs="Arial"/>
          <w:color w:val="FF0000"/>
          <w:highlight w:val="yellow"/>
        </w:rPr>
      </w:pPr>
    </w:p>
    <w:p w:rsidR="0006724C" w:rsidRPr="00655E7F" w:rsidRDefault="0006724C" w:rsidP="00637E00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655E7F">
        <w:rPr>
          <w:rFonts w:ascii="Arial" w:hAnsi="Arial" w:cs="Arial"/>
          <w:b/>
        </w:rPr>
        <w:t>Talajterhelési díj</w:t>
      </w:r>
    </w:p>
    <w:p w:rsidR="00E9751F" w:rsidRPr="00655E7F" w:rsidRDefault="00E9751F" w:rsidP="00637E00">
      <w:pPr>
        <w:pStyle w:val="Listaszerbekezds"/>
        <w:spacing w:after="0" w:line="240" w:lineRule="auto"/>
        <w:ind w:left="1428"/>
        <w:jc w:val="both"/>
        <w:rPr>
          <w:rFonts w:ascii="Arial" w:hAnsi="Arial" w:cs="Arial"/>
          <w:b/>
        </w:rPr>
      </w:pPr>
    </w:p>
    <w:p w:rsidR="00E9751F" w:rsidRDefault="00E9751F" w:rsidP="003F3728">
      <w:pPr>
        <w:spacing w:after="0" w:line="240" w:lineRule="auto"/>
        <w:jc w:val="both"/>
        <w:rPr>
          <w:rFonts w:ascii="Arial" w:hAnsi="Arial" w:cs="Arial"/>
        </w:rPr>
      </w:pPr>
      <w:r w:rsidRPr="00655E7F">
        <w:rPr>
          <w:rFonts w:ascii="Arial" w:hAnsi="Arial" w:cs="Arial"/>
        </w:rPr>
        <w:t xml:space="preserve">A 2003. évi LXXXIX. törvény értelmében talajterhelési díj fizetésére az a kibocsátó kötelezett, aki a műszakilag rendelkezésre álló közcsatornára nem köt rá. A díj mértéke jelenleg 1 200 Ft/m3. Hévíz a felszín alatti víz állapota szempontjából a 27/2004. (XII.25.) </w:t>
      </w:r>
      <w:proofErr w:type="spellStart"/>
      <w:r w:rsidRPr="00655E7F">
        <w:rPr>
          <w:rFonts w:ascii="Arial" w:hAnsi="Arial" w:cs="Arial"/>
        </w:rPr>
        <w:t>KvVM</w:t>
      </w:r>
      <w:proofErr w:type="spellEnd"/>
      <w:r w:rsidRPr="00655E7F">
        <w:rPr>
          <w:rFonts w:ascii="Arial" w:hAnsi="Arial" w:cs="Arial"/>
        </w:rPr>
        <w:t xml:space="preserve"> rendelet alapján fokozottan érzékeny vízminőségi területen lévő településnek számít, ami a legmagasabb besorolást, háromszoros szorzót jelent, így a díj településünkön 3 600 Ft/m3.</w:t>
      </w:r>
      <w:r w:rsidR="004C2166" w:rsidRPr="00655E7F">
        <w:rPr>
          <w:rFonts w:ascii="Arial" w:hAnsi="Arial" w:cs="Arial"/>
        </w:rPr>
        <w:t xml:space="preserve"> </w:t>
      </w:r>
      <w:r w:rsidRPr="00655E7F">
        <w:rPr>
          <w:rFonts w:ascii="Arial" w:hAnsi="Arial" w:cs="Arial"/>
        </w:rPr>
        <w:t xml:space="preserve">Városunk nagymértékben csatornázott, ezért ebből a díjból számottevő bevétel nem származik. </w:t>
      </w:r>
    </w:p>
    <w:p w:rsidR="00B70A24" w:rsidRDefault="00B70A24" w:rsidP="003F3728">
      <w:pPr>
        <w:spacing w:after="0" w:line="240" w:lineRule="auto"/>
        <w:jc w:val="both"/>
        <w:rPr>
          <w:rFonts w:ascii="Arial" w:hAnsi="Arial" w:cs="Arial"/>
        </w:rPr>
      </w:pPr>
    </w:p>
    <w:p w:rsidR="00B70A24" w:rsidRPr="00B70A24" w:rsidRDefault="00B70A24" w:rsidP="003F3728">
      <w:pPr>
        <w:spacing w:after="0" w:line="240" w:lineRule="auto"/>
        <w:contextualSpacing/>
        <w:jc w:val="both"/>
        <w:rPr>
          <w:rFonts w:ascii="Arial" w:hAnsi="Arial" w:cs="Arial"/>
          <w:color w:val="9CC2E5" w:themeColor="accent1" w:themeTint="99"/>
          <w:highlight w:val="yellow"/>
        </w:rPr>
      </w:pPr>
      <w:r w:rsidRPr="00B70A24">
        <w:rPr>
          <w:rFonts w:ascii="Arial" w:hAnsi="Arial" w:cs="Arial"/>
        </w:rPr>
        <w:t>2023. évben egy bevallás történt 3 600 Ft befizetéssel.</w:t>
      </w:r>
      <w:r w:rsidRPr="00B70A24">
        <w:rPr>
          <w:rFonts w:ascii="Arial" w:hAnsi="Arial" w:cs="Arial"/>
          <w:color w:val="9CC2E5" w:themeColor="accent1" w:themeTint="99"/>
          <w:highlight w:val="yellow"/>
        </w:rPr>
        <w:t xml:space="preserve"> </w:t>
      </w:r>
    </w:p>
    <w:p w:rsidR="0006724C" w:rsidRDefault="0006724C" w:rsidP="003F37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yellow"/>
        </w:rPr>
      </w:pPr>
    </w:p>
    <w:p w:rsidR="003F3728" w:rsidRPr="00270FEC" w:rsidRDefault="003F3728" w:rsidP="003F37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F409E3" w:rsidRPr="00270FEC" w:rsidRDefault="00F409E3" w:rsidP="003F3728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270FEC">
        <w:rPr>
          <w:rFonts w:ascii="Arial" w:hAnsi="Arial" w:cs="Arial"/>
          <w:b/>
        </w:rPr>
        <w:t>Adók módjára behajtandó köztartozások</w:t>
      </w:r>
    </w:p>
    <w:p w:rsidR="00655E7F" w:rsidRPr="00270FEC" w:rsidRDefault="00655E7F" w:rsidP="003F3728">
      <w:pPr>
        <w:pStyle w:val="Listaszerbekezds"/>
        <w:spacing w:after="0" w:line="240" w:lineRule="auto"/>
        <w:ind w:left="1428"/>
        <w:jc w:val="both"/>
        <w:rPr>
          <w:rFonts w:ascii="Arial" w:hAnsi="Arial" w:cs="Arial"/>
          <w:b/>
        </w:rPr>
      </w:pPr>
    </w:p>
    <w:p w:rsidR="00B62135" w:rsidRDefault="00BF6143" w:rsidP="003F3728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70FEC">
        <w:rPr>
          <w:rFonts w:ascii="Arial" w:hAnsi="Arial" w:cs="Arial"/>
        </w:rPr>
        <w:t xml:space="preserve">Az adók módjára behajtandó köztartozások esetében az önkormányzati adóhatóság nem a saját ügyében jár el, hanem más szerv, hatóság (kimutató szerv) által megállapított fizetési kötelezettséget érvényesít, amikor a kimutató szerv részére nem teljesíti fizetési kötelezettségét. </w:t>
      </w:r>
    </w:p>
    <w:p w:rsidR="000C135C" w:rsidRPr="00270FEC" w:rsidRDefault="003205C7" w:rsidP="003F372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270FEC">
        <w:rPr>
          <w:rFonts w:ascii="Arial" w:eastAsia="Times New Roman" w:hAnsi="Arial" w:cs="Arial"/>
          <w:lang w:eastAsia="hu-HU"/>
        </w:rPr>
        <w:t>A tartozások végrehajtása minden esetben hivatalból indul. Először fizetési felhívás kiküldésére kerül sor, majd nem teljesítés esetén végrehajtás foganatosítása következik.</w:t>
      </w:r>
      <w:r w:rsidR="004C2166" w:rsidRPr="00270FEC">
        <w:rPr>
          <w:rFonts w:ascii="Arial" w:eastAsia="Times New Roman" w:hAnsi="Arial" w:cs="Arial"/>
          <w:lang w:eastAsia="hu-HU"/>
        </w:rPr>
        <w:t xml:space="preserve"> </w:t>
      </w:r>
      <w:r w:rsidRPr="00270FEC">
        <w:rPr>
          <w:rFonts w:ascii="Arial" w:eastAsia="Times New Roman" w:hAnsi="Arial" w:cs="Arial"/>
          <w:lang w:eastAsia="hu-HU"/>
        </w:rPr>
        <w:t>Az önkormányzati adóhatóság a tartozás beszedéséig, illetve az elévülési határidőig végzi a végrehajtást.</w:t>
      </w:r>
      <w:r w:rsidR="004C2166" w:rsidRPr="00270FEC">
        <w:rPr>
          <w:rFonts w:ascii="Arial" w:eastAsia="Times New Roman" w:hAnsi="Arial" w:cs="Arial"/>
          <w:lang w:eastAsia="hu-HU"/>
        </w:rPr>
        <w:t xml:space="preserve"> </w:t>
      </w:r>
      <w:r w:rsidRPr="00270FEC">
        <w:rPr>
          <w:rFonts w:ascii="Arial" w:hAnsi="Arial" w:cs="Arial"/>
          <w:iCs/>
        </w:rPr>
        <w:t xml:space="preserve">A tavalyi </w:t>
      </w:r>
      <w:r w:rsidRPr="00270FEC">
        <w:rPr>
          <w:rFonts w:ascii="Arial" w:hAnsi="Arial" w:cs="Arial"/>
          <w:iCs/>
        </w:rPr>
        <w:lastRenderedPageBreak/>
        <w:t xml:space="preserve">évben hozzánk </w:t>
      </w:r>
      <w:r w:rsidR="001668EB" w:rsidRPr="00270FEC">
        <w:rPr>
          <w:rFonts w:ascii="Arial" w:hAnsi="Arial" w:cs="Arial"/>
          <w:iCs/>
        </w:rPr>
        <w:t>7</w:t>
      </w:r>
      <w:r w:rsidRPr="00270FEC">
        <w:rPr>
          <w:rFonts w:ascii="Arial" w:hAnsi="Arial" w:cs="Arial"/>
          <w:iCs/>
        </w:rPr>
        <w:t xml:space="preserve"> ese</w:t>
      </w:r>
      <w:r w:rsidR="00D72706" w:rsidRPr="00270FEC">
        <w:rPr>
          <w:rFonts w:ascii="Arial" w:hAnsi="Arial" w:cs="Arial"/>
          <w:iCs/>
        </w:rPr>
        <w:t>t</w:t>
      </w:r>
      <w:r w:rsidRPr="00270FEC">
        <w:rPr>
          <w:rFonts w:ascii="Arial" w:hAnsi="Arial" w:cs="Arial"/>
          <w:iCs/>
        </w:rPr>
        <w:t>ben érkezett megkeresés</w:t>
      </w:r>
      <w:r w:rsidR="00DB7F90" w:rsidRPr="00270FEC">
        <w:rPr>
          <w:rFonts w:ascii="Arial" w:hAnsi="Arial" w:cs="Arial"/>
          <w:iCs/>
        </w:rPr>
        <w:t>, 3 esetben sikerült a köztartozás behajtása.</w:t>
      </w:r>
      <w:r w:rsidR="005C144A" w:rsidRPr="00270FEC">
        <w:rPr>
          <w:rFonts w:ascii="Arial" w:hAnsi="Arial" w:cs="Arial"/>
          <w:iCs/>
        </w:rPr>
        <w:t xml:space="preserve"> </w:t>
      </w:r>
      <w:r w:rsidR="00BF6143" w:rsidRPr="00270FEC">
        <w:rPr>
          <w:rFonts w:ascii="Arial" w:eastAsia="Times New Roman" w:hAnsi="Arial" w:cs="Arial"/>
          <w:lang w:eastAsia="hu-HU"/>
        </w:rPr>
        <w:t>A végrehajtás foganatosításáért minden esetben 5.000,- Ft költségátalány kerül felszámításra.</w:t>
      </w:r>
    </w:p>
    <w:p w:rsidR="00655E7F" w:rsidRDefault="00655E7F" w:rsidP="00655E7F">
      <w:pPr>
        <w:spacing w:after="0" w:line="240" w:lineRule="auto"/>
        <w:contextualSpacing/>
        <w:jc w:val="both"/>
        <w:rPr>
          <w:rFonts w:ascii="Arial" w:hAnsi="Arial" w:cs="Arial"/>
          <w:color w:val="FF0000"/>
        </w:rPr>
      </w:pPr>
    </w:p>
    <w:p w:rsidR="00655E7F" w:rsidRPr="00590E62" w:rsidRDefault="00655E7F" w:rsidP="00655E7F">
      <w:pPr>
        <w:spacing w:after="0" w:line="240" w:lineRule="auto"/>
        <w:contextualSpacing/>
        <w:jc w:val="both"/>
        <w:rPr>
          <w:rFonts w:ascii="Arial" w:hAnsi="Arial" w:cs="Arial"/>
          <w:color w:val="FF0000"/>
        </w:rPr>
      </w:pPr>
    </w:p>
    <w:p w:rsidR="000C135C" w:rsidRPr="00C366CE" w:rsidRDefault="00F409E3" w:rsidP="00655E7F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Arial" w:hAnsi="Arial" w:cs="Arial"/>
          <w:b/>
        </w:rPr>
      </w:pPr>
      <w:bookmarkStart w:id="2" w:name="_Hlk66799653"/>
      <w:r w:rsidRPr="00C366CE">
        <w:rPr>
          <w:rFonts w:ascii="Arial" w:hAnsi="Arial" w:cs="Arial"/>
          <w:b/>
        </w:rPr>
        <w:t>Adó-és értékbizonyítványok kiállítása</w:t>
      </w:r>
      <w:bookmarkEnd w:id="2"/>
    </w:p>
    <w:p w:rsidR="000C135C" w:rsidRPr="00590E62" w:rsidRDefault="000C135C" w:rsidP="00655E7F">
      <w:pPr>
        <w:pStyle w:val="Listaszerbekezds"/>
        <w:spacing w:after="0" w:line="240" w:lineRule="auto"/>
        <w:ind w:left="993"/>
        <w:jc w:val="both"/>
        <w:rPr>
          <w:rFonts w:ascii="Arial" w:hAnsi="Arial" w:cs="Arial"/>
          <w:b/>
          <w:color w:val="FF0000"/>
        </w:rPr>
      </w:pPr>
    </w:p>
    <w:p w:rsidR="00C366CE" w:rsidRPr="008B7912" w:rsidRDefault="00C366CE" w:rsidP="00655E7F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8B7912">
        <w:rPr>
          <w:rFonts w:ascii="Arial" w:eastAsia="Times New Roman" w:hAnsi="Arial" w:cs="Arial"/>
          <w:lang w:eastAsia="hu-HU"/>
        </w:rPr>
        <w:t>Az adó- és értékbizonyítvány kiállítására jellemzően bírósági végrehajtási, hagyatéki, gyámhatósági, vagyoni helyzet, természetes személyek adósságrendezési, adásvételi eljáráshoz, továbbá lakáscélú állami támogatás, illetve szociális ellátás igényléséhez kapcsolódóan kerül sor. A jegyző - az adott jogszabályi előírástól függően - az ügyfél kérelmére vagy hatóság megkeresésére állítja ki az adó- és értékbizonyítványt.</w:t>
      </w:r>
    </w:p>
    <w:p w:rsidR="00C366CE" w:rsidRPr="008B7912" w:rsidRDefault="00C366CE" w:rsidP="00C366CE">
      <w:pPr>
        <w:contextualSpacing/>
        <w:jc w:val="both"/>
        <w:rPr>
          <w:rFonts w:ascii="Arial" w:eastAsia="Times New Roman" w:hAnsi="Arial" w:cs="Arial"/>
          <w:lang w:eastAsia="hu-HU"/>
        </w:rPr>
      </w:pPr>
    </w:p>
    <w:p w:rsidR="00C366CE" w:rsidRPr="008B7912" w:rsidRDefault="00C366CE" w:rsidP="00C366CE">
      <w:pPr>
        <w:contextualSpacing/>
        <w:jc w:val="both"/>
        <w:rPr>
          <w:rFonts w:ascii="Arial" w:eastAsia="Times New Roman" w:hAnsi="Arial" w:cs="Arial"/>
          <w:lang w:eastAsia="hu-HU"/>
        </w:rPr>
      </w:pPr>
      <w:r w:rsidRPr="008B7912">
        <w:rPr>
          <w:rFonts w:ascii="Arial" w:eastAsia="Times New Roman" w:hAnsi="Arial" w:cs="Arial"/>
          <w:lang w:eastAsia="hu-HU"/>
        </w:rPr>
        <w:t>Adó- és értékbizonyítványt akkor lehet kiállítani, ha felhasználását jogszabály kötelezővé teszi, vagy szükségességét az ügyfél valószínűsíti. Tartalmát az ellenkező bizonyításáig mindenki köteles elfogadni. </w:t>
      </w:r>
    </w:p>
    <w:p w:rsidR="00C366CE" w:rsidRPr="008B7912" w:rsidRDefault="00C366CE" w:rsidP="00C366CE">
      <w:pPr>
        <w:contextualSpacing/>
        <w:jc w:val="both"/>
        <w:rPr>
          <w:rFonts w:ascii="Arial" w:eastAsia="Times New Roman" w:hAnsi="Arial" w:cs="Arial"/>
          <w:lang w:eastAsia="hu-HU"/>
        </w:rPr>
      </w:pPr>
    </w:p>
    <w:p w:rsidR="00C366CE" w:rsidRPr="008B7912" w:rsidRDefault="00C366CE" w:rsidP="00C366CE">
      <w:pPr>
        <w:contextualSpacing/>
        <w:jc w:val="both"/>
        <w:rPr>
          <w:rFonts w:ascii="Arial" w:hAnsi="Arial" w:cs="Arial"/>
        </w:rPr>
      </w:pPr>
      <w:r w:rsidRPr="008B7912">
        <w:rPr>
          <w:rFonts w:ascii="Arial" w:hAnsi="Arial" w:cs="Arial"/>
        </w:rPr>
        <w:t>A hagyatéki eljárásról szóló 2010. évi XXXVIII. törvény 26. § (1a) rendelkezése alapján 2020. február 1. napjától Kizárólag hagyatéki eljárással összefüggésben kiállított adó- és értékbizonyítvánnyal összefüggésben az öröklésben érdekeltek fellebbezéssel élhetnek.</w:t>
      </w:r>
    </w:p>
    <w:p w:rsidR="00C366CE" w:rsidRPr="008B7912" w:rsidRDefault="00C366CE" w:rsidP="00C366CE">
      <w:pPr>
        <w:contextualSpacing/>
        <w:jc w:val="both"/>
        <w:rPr>
          <w:rFonts w:ascii="Arial" w:eastAsia="Times New Roman" w:hAnsi="Arial" w:cs="Arial"/>
          <w:lang w:eastAsia="hu-HU"/>
        </w:rPr>
      </w:pPr>
    </w:p>
    <w:p w:rsidR="00C366CE" w:rsidRPr="008B7912" w:rsidRDefault="00C366CE" w:rsidP="00C366CE">
      <w:pPr>
        <w:contextualSpacing/>
        <w:jc w:val="both"/>
        <w:rPr>
          <w:rFonts w:ascii="Arial" w:eastAsia="Times New Roman" w:hAnsi="Arial" w:cs="Arial"/>
          <w:lang w:eastAsia="hu-HU"/>
        </w:rPr>
      </w:pPr>
      <w:r w:rsidRPr="008B7912">
        <w:rPr>
          <w:rFonts w:ascii="Arial" w:eastAsia="Times New Roman" w:hAnsi="Arial" w:cs="Arial"/>
          <w:lang w:eastAsia="hu-HU"/>
        </w:rPr>
        <w:t>Az ingatlanpiac tényadataihoz</w:t>
      </w:r>
      <w:r>
        <w:rPr>
          <w:rFonts w:ascii="Arial" w:eastAsia="Times New Roman" w:hAnsi="Arial" w:cs="Arial"/>
          <w:lang w:eastAsia="hu-HU"/>
        </w:rPr>
        <w:t xml:space="preserve"> továbbra is </w:t>
      </w:r>
      <w:r w:rsidRPr="008B7912">
        <w:rPr>
          <w:rFonts w:ascii="Arial" w:eastAsia="Times New Roman" w:hAnsi="Arial" w:cs="Arial"/>
          <w:lang w:eastAsia="hu-HU"/>
        </w:rPr>
        <w:t>a becsült érték táblázathoz a NAV Illetékhivatala</w:t>
      </w:r>
      <w:r w:rsidRPr="008B7912">
        <w:rPr>
          <w:rFonts w:ascii="Arial" w:eastAsia="Times New Roman" w:hAnsi="Arial" w:cs="Arial"/>
          <w:color w:val="FF0000"/>
          <w:lang w:eastAsia="hu-HU"/>
        </w:rPr>
        <w:t xml:space="preserve"> </w:t>
      </w:r>
      <w:r w:rsidRPr="008B7912">
        <w:rPr>
          <w:rFonts w:ascii="Arial" w:eastAsia="Times New Roman" w:hAnsi="Arial" w:cs="Arial"/>
          <w:lang w:eastAsia="hu-HU"/>
        </w:rPr>
        <w:t xml:space="preserve">szolgáltat alapot. Az ingatlan reális értékének megállapításához állapotfelmérés, helyszíni szemle is szükséges, amelyre a tulajdonossal történő előzetes egyeztetéssel kerül sor. </w:t>
      </w:r>
      <w:r w:rsidRPr="008B7912">
        <w:rPr>
          <w:rFonts w:ascii="Arial" w:hAnsi="Arial" w:cs="Arial"/>
        </w:rPr>
        <w:t xml:space="preserve">A helyszíni szemlével kapcsolatos eljárás jelentős többletmunkát jelent az adóügyi dolgozók esetében. </w:t>
      </w:r>
      <w:r w:rsidRPr="008B7912">
        <w:rPr>
          <w:rFonts w:ascii="Arial" w:eastAsia="Times New Roman" w:hAnsi="Arial" w:cs="Arial"/>
          <w:lang w:eastAsia="hu-HU"/>
        </w:rPr>
        <w:t>Sokszor az adatgyűjtés is nehéz a zártkerti, külterületi ingatlanoknál.</w:t>
      </w:r>
    </w:p>
    <w:p w:rsidR="00C366CE" w:rsidRPr="008B7912" w:rsidRDefault="00C366CE" w:rsidP="00C366CE">
      <w:pPr>
        <w:contextualSpacing/>
        <w:jc w:val="both"/>
        <w:rPr>
          <w:rFonts w:ascii="Arial" w:hAnsi="Arial" w:cs="Arial"/>
        </w:rPr>
      </w:pPr>
    </w:p>
    <w:p w:rsidR="00C366CE" w:rsidRPr="004C2166" w:rsidRDefault="00C366CE" w:rsidP="00C366CE">
      <w:pPr>
        <w:contextualSpacing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Az ügyszám jelentős: </w:t>
      </w:r>
      <w:r w:rsidRPr="008B7912">
        <w:rPr>
          <w:rFonts w:ascii="Arial" w:hAnsi="Arial" w:cs="Arial"/>
          <w:b/>
        </w:rPr>
        <w:t>kiadására 202</w:t>
      </w:r>
      <w:r>
        <w:rPr>
          <w:rFonts w:ascii="Arial" w:hAnsi="Arial" w:cs="Arial"/>
          <w:b/>
        </w:rPr>
        <w:t>3</w:t>
      </w:r>
      <w:r w:rsidRPr="008B7912">
        <w:rPr>
          <w:rFonts w:ascii="Arial" w:hAnsi="Arial" w:cs="Arial"/>
          <w:b/>
        </w:rPr>
        <w:t xml:space="preserve">. évben </w:t>
      </w:r>
      <w:r>
        <w:rPr>
          <w:rFonts w:ascii="Arial" w:hAnsi="Arial" w:cs="Arial"/>
          <w:b/>
        </w:rPr>
        <w:t>237</w:t>
      </w:r>
      <w:r w:rsidRPr="008B7912">
        <w:rPr>
          <w:rFonts w:ascii="Arial" w:hAnsi="Arial" w:cs="Arial"/>
          <w:b/>
        </w:rPr>
        <w:t xml:space="preserve"> esetben került sor, </w:t>
      </w:r>
      <w:r w:rsidRPr="008B7912">
        <w:rPr>
          <w:rFonts w:ascii="Arial" w:hAnsi="Arial" w:cs="Arial"/>
        </w:rPr>
        <w:t>melyet - lehetőség szerint - megelőzött helyszíni szemle és felmérés</w:t>
      </w:r>
      <w:r w:rsidRPr="008B7912">
        <w:rPr>
          <w:rFonts w:ascii="Arial" w:hAnsi="Arial" w:cs="Arial"/>
          <w:color w:val="0070C0"/>
        </w:rPr>
        <w:t xml:space="preserve">. </w:t>
      </w:r>
    </w:p>
    <w:p w:rsidR="00D23855" w:rsidRPr="00590E62" w:rsidRDefault="00D23855" w:rsidP="004C2166">
      <w:pPr>
        <w:contextualSpacing/>
        <w:jc w:val="both"/>
        <w:rPr>
          <w:rFonts w:ascii="Arial" w:hAnsi="Arial" w:cs="Arial"/>
          <w:color w:val="FF0000"/>
        </w:rPr>
      </w:pPr>
    </w:p>
    <w:p w:rsidR="003205C7" w:rsidRPr="008B7912" w:rsidRDefault="003205C7" w:rsidP="00655E7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B7912">
        <w:rPr>
          <w:rFonts w:ascii="Arial" w:hAnsi="Arial" w:cs="Arial"/>
          <w:b/>
        </w:rPr>
        <w:t>Hátralékok csökkentésére tett intézkedések</w:t>
      </w:r>
    </w:p>
    <w:p w:rsidR="003205C7" w:rsidRPr="008B7912" w:rsidRDefault="003205C7" w:rsidP="00655E7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highlight w:val="yellow"/>
        </w:rPr>
      </w:pPr>
    </w:p>
    <w:p w:rsidR="00DC20C9" w:rsidRDefault="003205C7" w:rsidP="00655E7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8B7912">
        <w:rPr>
          <w:rFonts w:ascii="Arial" w:hAnsi="Arial" w:cs="Arial"/>
        </w:rPr>
        <w:t>A</w:t>
      </w:r>
      <w:r w:rsidR="00716671">
        <w:rPr>
          <w:rFonts w:ascii="Arial" w:hAnsi="Arial" w:cs="Arial"/>
        </w:rPr>
        <w:t xml:space="preserve"> várost erősen súlytó koronavírus járvány</w:t>
      </w:r>
      <w:r w:rsidR="00A0521B">
        <w:rPr>
          <w:rFonts w:ascii="Arial" w:hAnsi="Arial" w:cs="Arial"/>
        </w:rPr>
        <w:t xml:space="preserve"> és orosz-ukrán háború</w:t>
      </w:r>
      <w:r w:rsidR="00716671">
        <w:rPr>
          <w:rFonts w:ascii="Arial" w:hAnsi="Arial" w:cs="Arial"/>
        </w:rPr>
        <w:t xml:space="preserve"> miatti gazdasági visszaesés miatt </w:t>
      </w:r>
      <w:r w:rsidRPr="008B7912">
        <w:rPr>
          <w:rFonts w:ascii="Arial" w:hAnsi="Arial" w:cs="Arial"/>
        </w:rPr>
        <w:t xml:space="preserve">továbbra is igyekszünk </w:t>
      </w:r>
      <w:r w:rsidR="00EA475A" w:rsidRPr="008B7912">
        <w:rPr>
          <w:rFonts w:ascii="Arial" w:hAnsi="Arial" w:cs="Arial"/>
        </w:rPr>
        <w:t>méltányosan</w:t>
      </w:r>
      <w:r w:rsidRPr="008B7912">
        <w:rPr>
          <w:rFonts w:ascii="Arial" w:hAnsi="Arial" w:cs="Arial"/>
        </w:rPr>
        <w:t xml:space="preserve"> kezel</w:t>
      </w:r>
      <w:r w:rsidR="005A7DEF">
        <w:rPr>
          <w:rFonts w:ascii="Arial" w:hAnsi="Arial" w:cs="Arial"/>
        </w:rPr>
        <w:t>ni</w:t>
      </w:r>
      <w:r w:rsidRPr="008B7912">
        <w:rPr>
          <w:rFonts w:ascii="Arial" w:hAnsi="Arial" w:cs="Arial"/>
        </w:rPr>
        <w:t xml:space="preserve"> az adózó</w:t>
      </w:r>
      <w:r w:rsidR="00EA475A" w:rsidRPr="008B7912">
        <w:rPr>
          <w:rFonts w:ascii="Arial" w:hAnsi="Arial" w:cs="Arial"/>
        </w:rPr>
        <w:t>k</w:t>
      </w:r>
      <w:r w:rsidRPr="008B7912">
        <w:rPr>
          <w:rFonts w:ascii="Arial" w:hAnsi="Arial" w:cs="Arial"/>
        </w:rPr>
        <w:t xml:space="preserve"> fizetési problémáit. </w:t>
      </w:r>
      <w:r w:rsidR="00A0521B">
        <w:rPr>
          <w:rFonts w:ascii="Arial" w:hAnsi="Arial" w:cs="Arial"/>
        </w:rPr>
        <w:t xml:space="preserve">A hátralékok nagysága azonban indokolta, hogy </w:t>
      </w:r>
      <w:r w:rsidR="004932EE" w:rsidRPr="008B7912">
        <w:rPr>
          <w:rFonts w:ascii="Arial" w:hAnsi="Arial" w:cs="Arial"/>
        </w:rPr>
        <w:t>202</w:t>
      </w:r>
      <w:r w:rsidR="001C3DD0">
        <w:rPr>
          <w:rFonts w:ascii="Arial" w:hAnsi="Arial" w:cs="Arial"/>
        </w:rPr>
        <w:t>3</w:t>
      </w:r>
      <w:r w:rsidR="004932EE" w:rsidRPr="008B7912">
        <w:rPr>
          <w:rFonts w:ascii="Arial" w:hAnsi="Arial" w:cs="Arial"/>
        </w:rPr>
        <w:t xml:space="preserve">. november hónapban a kintlévőségek csökkentése érdekében </w:t>
      </w:r>
      <w:r w:rsidR="006923E5">
        <w:rPr>
          <w:rFonts w:ascii="Arial" w:hAnsi="Arial" w:cs="Arial"/>
        </w:rPr>
        <w:t>424</w:t>
      </w:r>
      <w:r w:rsidR="004932EE" w:rsidRPr="008B7912">
        <w:rPr>
          <w:rFonts w:ascii="Arial" w:hAnsi="Arial" w:cs="Arial"/>
        </w:rPr>
        <w:t xml:space="preserve"> db </w:t>
      </w:r>
      <w:r w:rsidR="006923E5">
        <w:rPr>
          <w:rFonts w:ascii="Arial" w:hAnsi="Arial" w:cs="Arial"/>
        </w:rPr>
        <w:t>fizetési felszólítás</w:t>
      </w:r>
      <w:r w:rsidR="004932EE" w:rsidRPr="008B7912">
        <w:rPr>
          <w:rFonts w:ascii="Arial" w:hAnsi="Arial" w:cs="Arial"/>
        </w:rPr>
        <w:t xml:space="preserve"> </w:t>
      </w:r>
      <w:r w:rsidR="003F3728">
        <w:rPr>
          <w:rFonts w:ascii="Arial" w:hAnsi="Arial" w:cs="Arial"/>
        </w:rPr>
        <w:t>kerüljön kiküldésre</w:t>
      </w:r>
      <w:r w:rsidR="00C42C39">
        <w:rPr>
          <w:rFonts w:ascii="Arial" w:hAnsi="Arial" w:cs="Arial"/>
        </w:rPr>
        <w:t>.</w:t>
      </w:r>
      <w:r w:rsidR="004932EE" w:rsidRPr="008B7912">
        <w:rPr>
          <w:rFonts w:ascii="Arial" w:hAnsi="Arial" w:cs="Arial"/>
        </w:rPr>
        <w:t xml:space="preserve"> </w:t>
      </w:r>
      <w:r w:rsidR="00A0521B">
        <w:rPr>
          <w:rFonts w:ascii="Arial" w:hAnsi="Arial" w:cs="Arial"/>
        </w:rPr>
        <w:t xml:space="preserve">A fizetési felszólítások eredményeképpen </w:t>
      </w:r>
      <w:r w:rsidR="00DC20C9">
        <w:rPr>
          <w:rFonts w:ascii="Arial" w:hAnsi="Arial" w:cs="Arial"/>
        </w:rPr>
        <w:t xml:space="preserve">több millió forintos bevétel érkezett </w:t>
      </w:r>
      <w:r w:rsidR="00320C13">
        <w:rPr>
          <w:rFonts w:ascii="Arial" w:hAnsi="Arial" w:cs="Arial"/>
        </w:rPr>
        <w:t xml:space="preserve">2023. év </w:t>
      </w:r>
      <w:r w:rsidR="00DC20C9">
        <w:rPr>
          <w:rFonts w:ascii="Arial" w:hAnsi="Arial" w:cs="Arial"/>
        </w:rPr>
        <w:t>december</w:t>
      </w:r>
      <w:r w:rsidR="00320C13">
        <w:rPr>
          <w:rFonts w:ascii="Arial" w:hAnsi="Arial" w:cs="Arial"/>
        </w:rPr>
        <w:t xml:space="preserve"> és 2024. év január</w:t>
      </w:r>
      <w:r w:rsidR="00DC20C9">
        <w:rPr>
          <w:rFonts w:ascii="Arial" w:hAnsi="Arial" w:cs="Arial"/>
        </w:rPr>
        <w:t xml:space="preserve"> hónap</w:t>
      </w:r>
      <w:r w:rsidR="00320C13">
        <w:rPr>
          <w:rFonts w:ascii="Arial" w:hAnsi="Arial" w:cs="Arial"/>
        </w:rPr>
        <w:t>jai</w:t>
      </w:r>
      <w:r w:rsidR="00DC20C9">
        <w:rPr>
          <w:rFonts w:ascii="Arial" w:hAnsi="Arial" w:cs="Arial"/>
        </w:rPr>
        <w:t xml:space="preserve">ban. </w:t>
      </w:r>
    </w:p>
    <w:p w:rsidR="003F3728" w:rsidRDefault="003F3728" w:rsidP="00112AA4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p w:rsidR="002266A2" w:rsidRDefault="00DC20C9" w:rsidP="00112AA4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Fentieken kívül </w:t>
      </w:r>
      <w:r w:rsidR="00193B15">
        <w:rPr>
          <w:rFonts w:ascii="Arial" w:hAnsi="Arial" w:cs="Arial"/>
        </w:rPr>
        <w:t>NAV felé minden hónapban átadásra kerül az Önkormányzati köztartozások bejelentése</w:t>
      </w:r>
      <w:r w:rsidR="003F3728">
        <w:rPr>
          <w:rFonts w:ascii="Arial" w:hAnsi="Arial" w:cs="Arial"/>
        </w:rPr>
        <w:t xml:space="preserve"> (OKO nyomtatványon)</w:t>
      </w:r>
      <w:r>
        <w:rPr>
          <w:rFonts w:ascii="Arial" w:hAnsi="Arial" w:cs="Arial"/>
        </w:rPr>
        <w:t xml:space="preserve">, illetve a NAV felé továbbítjuk végrehajtásra a régebb óta behajtásra váró adótartozásokat. </w:t>
      </w:r>
    </w:p>
    <w:p w:rsidR="002266A2" w:rsidRDefault="002266A2" w:rsidP="00112AA4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p w:rsidR="003F3728" w:rsidRDefault="003F3728" w:rsidP="00112AA4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Hátralékokról az alábbi táblázat ad részletes kimutatást:</w:t>
      </w:r>
    </w:p>
    <w:p w:rsidR="003F3728" w:rsidRDefault="003F3728" w:rsidP="00112AA4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8"/>
        <w:gridCol w:w="2610"/>
        <w:gridCol w:w="1985"/>
        <w:gridCol w:w="1984"/>
      </w:tblGrid>
      <w:tr w:rsidR="00F21AFD" w:rsidRPr="00B654BC" w:rsidTr="00655E7F">
        <w:trPr>
          <w:trHeight w:val="315"/>
          <w:jc w:val="center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FD" w:rsidRPr="0067323D" w:rsidRDefault="00F21AFD" w:rsidP="00CB65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67323D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adónem</w:t>
            </w:r>
          </w:p>
        </w:tc>
        <w:tc>
          <w:tcPr>
            <w:tcW w:w="65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FD" w:rsidRPr="0067323D" w:rsidRDefault="00F21AFD" w:rsidP="00CB65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67323D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esedékes hátralék</w:t>
            </w:r>
          </w:p>
        </w:tc>
      </w:tr>
      <w:tr w:rsidR="00F21AFD" w:rsidRPr="00320C13" w:rsidTr="00655E7F">
        <w:trPr>
          <w:trHeight w:val="315"/>
          <w:jc w:val="center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FD" w:rsidRPr="0067323D" w:rsidRDefault="00F21AFD" w:rsidP="00CB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bookmarkStart w:id="3" w:name="_Hlk160630549"/>
            <w:r w:rsidRPr="0067323D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67323D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67323D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2021.12.31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67323D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67323D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2022.12.31.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320C13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20C13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2023.12.31.</w:t>
            </w:r>
          </w:p>
        </w:tc>
      </w:tr>
      <w:tr w:rsidR="00F21AFD" w:rsidRPr="00320C13" w:rsidTr="00655E7F">
        <w:trPr>
          <w:trHeight w:val="300"/>
          <w:jc w:val="center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FD" w:rsidRPr="005C144A" w:rsidRDefault="00F21AFD" w:rsidP="00CB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építményadó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5C144A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16 998 417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5C144A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highlight w:val="yellow"/>
                <w:lang w:eastAsia="hu-HU"/>
              </w:rPr>
            </w:pPr>
            <w:r w:rsidRPr="00761814">
              <w:rPr>
                <w:rFonts w:ascii="Arial" w:eastAsia="Times New Roman" w:hAnsi="Arial" w:cs="Arial"/>
                <w:color w:val="000000"/>
                <w:lang w:eastAsia="hu-HU"/>
              </w:rPr>
              <w:t>32 531 275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320C13" w:rsidRDefault="00F21AFD" w:rsidP="00F21A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20C13">
              <w:rPr>
                <w:rFonts w:ascii="Arial" w:eastAsia="Times New Roman" w:hAnsi="Arial" w:cs="Arial"/>
                <w:color w:val="000000"/>
                <w:lang w:eastAsia="hu-HU"/>
              </w:rPr>
              <w:t>51 819 130</w:t>
            </w:r>
          </w:p>
        </w:tc>
      </w:tr>
      <w:tr w:rsidR="00F21AFD" w:rsidRPr="00320C13" w:rsidTr="00655E7F">
        <w:trPr>
          <w:trHeight w:val="300"/>
          <w:jc w:val="center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FD" w:rsidRPr="005C144A" w:rsidRDefault="00F21AFD" w:rsidP="00CB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idegenforgalmi adó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5C144A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3 716 468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B654BC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highlight w:val="yellow"/>
                <w:lang w:eastAsia="hu-HU"/>
              </w:rPr>
            </w:pPr>
            <w:r w:rsidRPr="00C16586">
              <w:rPr>
                <w:rFonts w:ascii="Arial" w:eastAsia="Times New Roman" w:hAnsi="Arial" w:cs="Arial"/>
                <w:color w:val="000000"/>
                <w:lang w:eastAsia="hu-HU"/>
              </w:rPr>
              <w:t>5 161 753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320C13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20C13">
              <w:rPr>
                <w:rFonts w:ascii="Arial" w:eastAsia="Times New Roman" w:hAnsi="Arial" w:cs="Arial"/>
                <w:color w:val="000000"/>
                <w:lang w:eastAsia="hu-HU"/>
              </w:rPr>
              <w:t>8 500 193</w:t>
            </w:r>
          </w:p>
        </w:tc>
      </w:tr>
      <w:tr w:rsidR="00F21AFD" w:rsidRPr="00320C13" w:rsidTr="00655E7F">
        <w:trPr>
          <w:trHeight w:val="300"/>
          <w:jc w:val="center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FD" w:rsidRPr="005C144A" w:rsidRDefault="00F21AFD" w:rsidP="00CB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iparűzési adó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5C144A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12 122 272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C16586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16586">
              <w:rPr>
                <w:rFonts w:ascii="Arial" w:eastAsia="Times New Roman" w:hAnsi="Arial" w:cs="Arial"/>
                <w:color w:val="000000"/>
                <w:lang w:eastAsia="hu-HU"/>
              </w:rPr>
              <w:t>17 589 352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320C13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20C13">
              <w:rPr>
                <w:rFonts w:ascii="Arial" w:eastAsia="Times New Roman" w:hAnsi="Arial" w:cs="Arial"/>
                <w:color w:val="000000"/>
                <w:lang w:eastAsia="hu-HU"/>
              </w:rPr>
              <w:t>48 586 854</w:t>
            </w:r>
          </w:p>
        </w:tc>
      </w:tr>
      <w:tr w:rsidR="00F21AFD" w:rsidRPr="00320C13" w:rsidTr="00655E7F">
        <w:trPr>
          <w:trHeight w:val="300"/>
          <w:jc w:val="center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FD" w:rsidRPr="005C144A" w:rsidRDefault="00F21AFD" w:rsidP="00CB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gépjárműadó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5C144A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850 399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C16586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lang w:eastAsia="hu-HU"/>
              </w:rPr>
              <w:t>603 952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320C13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20C13">
              <w:rPr>
                <w:rFonts w:ascii="Arial" w:eastAsia="Times New Roman" w:hAnsi="Arial" w:cs="Arial"/>
                <w:color w:val="000000"/>
                <w:lang w:eastAsia="hu-HU"/>
              </w:rPr>
              <w:t>539 690</w:t>
            </w:r>
          </w:p>
        </w:tc>
      </w:tr>
      <w:tr w:rsidR="00F21AFD" w:rsidRPr="00320C13" w:rsidTr="00655E7F">
        <w:trPr>
          <w:trHeight w:val="300"/>
          <w:jc w:val="center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FD" w:rsidRPr="005C144A" w:rsidRDefault="00F21AFD" w:rsidP="00CB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késedelmi pótlék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5C144A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4 033 064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C16586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16586">
              <w:rPr>
                <w:rFonts w:ascii="Arial" w:eastAsia="Times New Roman" w:hAnsi="Arial" w:cs="Arial"/>
                <w:color w:val="000000"/>
                <w:lang w:eastAsia="hu-HU"/>
              </w:rPr>
              <w:t>9 869 623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320C13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20C13">
              <w:rPr>
                <w:rFonts w:ascii="Arial" w:eastAsia="Times New Roman" w:hAnsi="Arial" w:cs="Arial"/>
                <w:color w:val="000000"/>
                <w:lang w:eastAsia="hu-HU"/>
              </w:rPr>
              <w:t>22 320 380</w:t>
            </w:r>
          </w:p>
        </w:tc>
      </w:tr>
      <w:tr w:rsidR="00F21AFD" w:rsidRPr="00320C13" w:rsidTr="00655E7F">
        <w:trPr>
          <w:trHeight w:val="300"/>
          <w:jc w:val="center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FD" w:rsidRPr="005C144A" w:rsidRDefault="00F21AFD" w:rsidP="00CB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lastRenderedPageBreak/>
              <w:t>bírság és végrehajtási költség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5C144A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806 158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C16586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16586">
              <w:rPr>
                <w:rFonts w:ascii="Arial" w:eastAsia="Times New Roman" w:hAnsi="Arial" w:cs="Arial"/>
                <w:color w:val="000000"/>
                <w:lang w:eastAsia="hu-HU"/>
              </w:rPr>
              <w:t>639 485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320C13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20C13">
              <w:rPr>
                <w:rFonts w:ascii="Arial" w:eastAsia="Times New Roman" w:hAnsi="Arial" w:cs="Arial"/>
                <w:color w:val="000000"/>
                <w:lang w:eastAsia="hu-HU"/>
              </w:rPr>
              <w:t>1431 971</w:t>
            </w:r>
          </w:p>
        </w:tc>
      </w:tr>
      <w:tr w:rsidR="00F21AFD" w:rsidRPr="00320C13" w:rsidTr="00655E7F">
        <w:trPr>
          <w:trHeight w:val="315"/>
          <w:jc w:val="center"/>
        </w:trPr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AFD" w:rsidRPr="005C144A" w:rsidRDefault="00F21AFD" w:rsidP="00CB65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összesen: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5C144A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b/>
                <w:color w:val="000000"/>
                <w:lang w:eastAsia="hu-HU"/>
              </w:rPr>
              <w:t>38 526 778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C16586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hu-HU"/>
              </w:rPr>
              <w:t>66 395 440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AFD" w:rsidRPr="00320C13" w:rsidRDefault="00F21AFD" w:rsidP="00CB650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20C13">
              <w:rPr>
                <w:rFonts w:ascii="Arial" w:eastAsia="Times New Roman" w:hAnsi="Arial" w:cs="Arial"/>
                <w:b/>
                <w:color w:val="000000"/>
                <w:lang w:eastAsia="hu-HU"/>
              </w:rPr>
              <w:t>130 334 276</w:t>
            </w:r>
          </w:p>
        </w:tc>
      </w:tr>
    </w:tbl>
    <w:p w:rsidR="002266A2" w:rsidRPr="008B7912" w:rsidRDefault="002266A2" w:rsidP="00112AA4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bookmarkEnd w:id="3"/>
    <w:p w:rsidR="00320C13" w:rsidRDefault="00B62135" w:rsidP="002266A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táblázatból látható, hogy a befolyt adóbevételek növekedésével egyenes arányban növekedtek a hátralékok is. </w:t>
      </w:r>
      <w:r w:rsidR="00320C13">
        <w:rPr>
          <w:rFonts w:ascii="Arial" w:hAnsi="Arial" w:cs="Arial"/>
        </w:rPr>
        <w:t>A 2023. év végén kikü</w:t>
      </w:r>
      <w:r w:rsidR="00BA55EF">
        <w:rPr>
          <w:rFonts w:ascii="Arial" w:hAnsi="Arial" w:cs="Arial"/>
        </w:rPr>
        <w:t>ldött fizetési felszólítások</w:t>
      </w:r>
      <w:r w:rsidR="00434CB9">
        <w:rPr>
          <w:rFonts w:ascii="Arial" w:hAnsi="Arial" w:cs="Arial"/>
        </w:rPr>
        <w:t xml:space="preserve"> </w:t>
      </w:r>
      <w:r w:rsidR="00BA55EF">
        <w:rPr>
          <w:rFonts w:ascii="Arial" w:hAnsi="Arial" w:cs="Arial"/>
        </w:rPr>
        <w:t>eredményeképpen befolyó adótartozások</w:t>
      </w:r>
      <w:r w:rsidR="006B3FCA">
        <w:rPr>
          <w:rFonts w:ascii="Arial" w:hAnsi="Arial" w:cs="Arial"/>
        </w:rPr>
        <w:t>, illetve az elévült tételek törlé</w:t>
      </w:r>
      <w:r w:rsidR="00655E7F">
        <w:rPr>
          <w:rFonts w:ascii="Arial" w:hAnsi="Arial" w:cs="Arial"/>
        </w:rPr>
        <w:t>s</w:t>
      </w:r>
      <w:r w:rsidR="006B3FCA">
        <w:rPr>
          <w:rFonts w:ascii="Arial" w:hAnsi="Arial" w:cs="Arial"/>
        </w:rPr>
        <w:t>e</w:t>
      </w:r>
      <w:r w:rsidR="00BA55EF">
        <w:rPr>
          <w:rFonts w:ascii="Arial" w:hAnsi="Arial" w:cs="Arial"/>
        </w:rPr>
        <w:t xml:space="preserve"> a fenti kimutatásban szereplő összegeket csökkentették </w:t>
      </w:r>
      <w:r>
        <w:rPr>
          <w:rFonts w:ascii="Arial" w:hAnsi="Arial" w:cs="Arial"/>
        </w:rPr>
        <w:t xml:space="preserve">2024. év elejére </w:t>
      </w:r>
      <w:r w:rsidR="00BA55EF">
        <w:rPr>
          <w:rFonts w:ascii="Arial" w:hAnsi="Arial" w:cs="Arial"/>
        </w:rPr>
        <w:t>az alábbiak szerint:</w:t>
      </w:r>
    </w:p>
    <w:p w:rsidR="00BA55EF" w:rsidRDefault="00BA55EF" w:rsidP="002266A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701"/>
        <w:gridCol w:w="4701"/>
      </w:tblGrid>
      <w:tr w:rsidR="00BA55EF" w:rsidTr="00655E7F">
        <w:trPr>
          <w:jc w:val="center"/>
        </w:trPr>
        <w:tc>
          <w:tcPr>
            <w:tcW w:w="4701" w:type="dxa"/>
          </w:tcPr>
          <w:p w:rsidR="00BA55EF" w:rsidRPr="00BA55EF" w:rsidRDefault="00BA55EF" w:rsidP="002266A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</w:rPr>
            </w:pPr>
            <w:r w:rsidRPr="00BA55EF">
              <w:rPr>
                <w:rFonts w:ascii="Arial" w:hAnsi="Arial" w:cs="Arial"/>
                <w:b/>
              </w:rPr>
              <w:t>adónem</w:t>
            </w:r>
          </w:p>
        </w:tc>
        <w:tc>
          <w:tcPr>
            <w:tcW w:w="4701" w:type="dxa"/>
          </w:tcPr>
          <w:p w:rsidR="00BA55EF" w:rsidRPr="00BA55EF" w:rsidRDefault="00BA55EF" w:rsidP="002266A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</w:rPr>
            </w:pPr>
            <w:r w:rsidRPr="00BA55EF">
              <w:rPr>
                <w:rFonts w:ascii="Arial" w:hAnsi="Arial" w:cs="Arial"/>
                <w:b/>
              </w:rPr>
              <w:t>esedékes hátralék 2024. 03. 05. napján</w:t>
            </w:r>
          </w:p>
        </w:tc>
      </w:tr>
      <w:tr w:rsidR="00BA55EF" w:rsidTr="00655E7F">
        <w:trPr>
          <w:jc w:val="center"/>
        </w:trPr>
        <w:tc>
          <w:tcPr>
            <w:tcW w:w="4701" w:type="dxa"/>
            <w:vAlign w:val="bottom"/>
          </w:tcPr>
          <w:p w:rsidR="00BA55EF" w:rsidRPr="005C144A" w:rsidRDefault="00BA55EF" w:rsidP="00BA55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yellow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építményadó</w:t>
            </w:r>
          </w:p>
        </w:tc>
        <w:tc>
          <w:tcPr>
            <w:tcW w:w="4701" w:type="dxa"/>
          </w:tcPr>
          <w:p w:rsidR="00BA55EF" w:rsidRDefault="00BA55EF" w:rsidP="00BA55E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41 641 525</w:t>
            </w:r>
          </w:p>
        </w:tc>
      </w:tr>
      <w:tr w:rsidR="00BA55EF" w:rsidTr="00655E7F">
        <w:trPr>
          <w:jc w:val="center"/>
        </w:trPr>
        <w:tc>
          <w:tcPr>
            <w:tcW w:w="4701" w:type="dxa"/>
            <w:vAlign w:val="bottom"/>
          </w:tcPr>
          <w:p w:rsidR="00BA55EF" w:rsidRPr="005C144A" w:rsidRDefault="00BA55EF" w:rsidP="00BA55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idegenforgalmi adó</w:t>
            </w:r>
          </w:p>
        </w:tc>
        <w:tc>
          <w:tcPr>
            <w:tcW w:w="4701" w:type="dxa"/>
          </w:tcPr>
          <w:p w:rsidR="00BA55EF" w:rsidRDefault="00BA55EF" w:rsidP="00BA55E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8 822 156</w:t>
            </w:r>
          </w:p>
        </w:tc>
      </w:tr>
      <w:tr w:rsidR="00BA55EF" w:rsidTr="00655E7F">
        <w:trPr>
          <w:jc w:val="center"/>
        </w:trPr>
        <w:tc>
          <w:tcPr>
            <w:tcW w:w="4701" w:type="dxa"/>
            <w:vAlign w:val="bottom"/>
          </w:tcPr>
          <w:p w:rsidR="00BA55EF" w:rsidRPr="005C144A" w:rsidRDefault="00BA55EF" w:rsidP="00BA55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iparűzési adó</w:t>
            </w:r>
          </w:p>
        </w:tc>
        <w:tc>
          <w:tcPr>
            <w:tcW w:w="4701" w:type="dxa"/>
          </w:tcPr>
          <w:p w:rsidR="00BA55EF" w:rsidRDefault="00BA55EF" w:rsidP="00BA55E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10 806 445</w:t>
            </w:r>
          </w:p>
        </w:tc>
      </w:tr>
      <w:tr w:rsidR="00BA55EF" w:rsidTr="00655E7F">
        <w:trPr>
          <w:jc w:val="center"/>
        </w:trPr>
        <w:tc>
          <w:tcPr>
            <w:tcW w:w="4701" w:type="dxa"/>
          </w:tcPr>
          <w:p w:rsidR="00BA55EF" w:rsidRDefault="00BA55EF" w:rsidP="002266A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gépjárműadó</w:t>
            </w:r>
          </w:p>
        </w:tc>
        <w:tc>
          <w:tcPr>
            <w:tcW w:w="4701" w:type="dxa"/>
          </w:tcPr>
          <w:p w:rsidR="00BA55EF" w:rsidRDefault="00BA55EF" w:rsidP="00BA55E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230 417</w:t>
            </w:r>
          </w:p>
        </w:tc>
      </w:tr>
      <w:tr w:rsidR="00BA55EF" w:rsidTr="00655E7F">
        <w:trPr>
          <w:jc w:val="center"/>
        </w:trPr>
        <w:tc>
          <w:tcPr>
            <w:tcW w:w="4701" w:type="dxa"/>
          </w:tcPr>
          <w:p w:rsidR="00BA55EF" w:rsidRPr="005C144A" w:rsidRDefault="00BA55EF" w:rsidP="002266A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késedelmi pótlék</w:t>
            </w:r>
          </w:p>
        </w:tc>
        <w:tc>
          <w:tcPr>
            <w:tcW w:w="4701" w:type="dxa"/>
          </w:tcPr>
          <w:p w:rsidR="00BA55EF" w:rsidRDefault="00BA55EF" w:rsidP="00BA55E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19 222 722</w:t>
            </w:r>
          </w:p>
        </w:tc>
      </w:tr>
      <w:tr w:rsidR="00BA55EF" w:rsidTr="00655E7F">
        <w:trPr>
          <w:jc w:val="center"/>
        </w:trPr>
        <w:tc>
          <w:tcPr>
            <w:tcW w:w="4701" w:type="dxa"/>
            <w:vAlign w:val="bottom"/>
          </w:tcPr>
          <w:p w:rsidR="00BA55EF" w:rsidRPr="005C144A" w:rsidRDefault="00BA55EF" w:rsidP="00BA55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color w:val="000000"/>
                <w:lang w:eastAsia="hu-HU"/>
              </w:rPr>
              <w:t>bírság és végrehajtási költség</w:t>
            </w:r>
          </w:p>
        </w:tc>
        <w:tc>
          <w:tcPr>
            <w:tcW w:w="4701" w:type="dxa"/>
          </w:tcPr>
          <w:p w:rsidR="00BA55EF" w:rsidRDefault="00BA55EF" w:rsidP="00BA55E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949 613</w:t>
            </w:r>
          </w:p>
        </w:tc>
      </w:tr>
      <w:tr w:rsidR="00BA55EF" w:rsidTr="00655E7F">
        <w:trPr>
          <w:jc w:val="center"/>
        </w:trPr>
        <w:tc>
          <w:tcPr>
            <w:tcW w:w="4701" w:type="dxa"/>
            <w:vAlign w:val="bottom"/>
          </w:tcPr>
          <w:p w:rsidR="00BA55EF" w:rsidRPr="005C144A" w:rsidRDefault="00BA55EF" w:rsidP="00BA55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C144A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összesen:</w:t>
            </w:r>
          </w:p>
        </w:tc>
        <w:tc>
          <w:tcPr>
            <w:tcW w:w="4701" w:type="dxa"/>
          </w:tcPr>
          <w:p w:rsidR="00BA55EF" w:rsidRPr="00BA55EF" w:rsidRDefault="00BA55EF" w:rsidP="00BA55E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BA55EF">
              <w:rPr>
                <w:rFonts w:ascii="Arial" w:hAnsi="Arial" w:cs="Arial"/>
                <w:b/>
              </w:rPr>
              <w:t>81 672878</w:t>
            </w:r>
          </w:p>
        </w:tc>
      </w:tr>
    </w:tbl>
    <w:p w:rsidR="00320C13" w:rsidRPr="00320C13" w:rsidRDefault="00320C13" w:rsidP="002266A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2266A2" w:rsidRPr="009855FF" w:rsidRDefault="00C42C39" w:rsidP="003F37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A55EF">
        <w:rPr>
          <w:rFonts w:ascii="Arial" w:hAnsi="Arial" w:cs="Arial"/>
        </w:rPr>
        <w:t>A hátralékból felszámolónak átad</w:t>
      </w:r>
      <w:r w:rsidR="002346F8" w:rsidRPr="00BA55EF">
        <w:rPr>
          <w:rFonts w:ascii="Arial" w:hAnsi="Arial" w:cs="Arial"/>
        </w:rPr>
        <w:t>ásra került</w:t>
      </w:r>
      <w:r w:rsidRPr="00BA55EF">
        <w:rPr>
          <w:rFonts w:ascii="Arial" w:hAnsi="Arial" w:cs="Arial"/>
        </w:rPr>
        <w:t xml:space="preserve"> 21 051 645 Ft</w:t>
      </w:r>
      <w:r w:rsidR="002346F8" w:rsidRPr="00BA55EF">
        <w:rPr>
          <w:rFonts w:ascii="Arial" w:hAnsi="Arial" w:cs="Arial"/>
        </w:rPr>
        <w:t>,</w:t>
      </w:r>
      <w:r w:rsidRPr="00BA55EF">
        <w:rPr>
          <w:rFonts w:ascii="Arial" w:hAnsi="Arial" w:cs="Arial"/>
        </w:rPr>
        <w:t xml:space="preserve"> NAV</w:t>
      </w:r>
      <w:r w:rsidR="002346F8" w:rsidRPr="00BA55EF">
        <w:rPr>
          <w:rFonts w:ascii="Arial" w:hAnsi="Arial" w:cs="Arial"/>
        </w:rPr>
        <w:t xml:space="preserve"> felé</w:t>
      </w:r>
      <w:r w:rsidR="00911A1F" w:rsidRPr="00BA55EF">
        <w:rPr>
          <w:rFonts w:ascii="Arial" w:hAnsi="Arial" w:cs="Arial"/>
        </w:rPr>
        <w:t xml:space="preserve"> </w:t>
      </w:r>
      <w:r w:rsidRPr="00BA55EF">
        <w:rPr>
          <w:rFonts w:ascii="Arial" w:hAnsi="Arial" w:cs="Arial"/>
        </w:rPr>
        <w:t>végrehajtás</w:t>
      </w:r>
      <w:r w:rsidR="00911A1F" w:rsidRPr="00BA55EF">
        <w:rPr>
          <w:rFonts w:ascii="Arial" w:hAnsi="Arial" w:cs="Arial"/>
        </w:rPr>
        <w:t>ra</w:t>
      </w:r>
      <w:r w:rsidRPr="00BA55EF">
        <w:rPr>
          <w:rFonts w:ascii="Arial" w:hAnsi="Arial" w:cs="Arial"/>
        </w:rPr>
        <w:t xml:space="preserve"> </w:t>
      </w:r>
      <w:r w:rsidR="00911A1F" w:rsidRPr="00BA55EF">
        <w:rPr>
          <w:rFonts w:ascii="Arial" w:hAnsi="Arial" w:cs="Arial"/>
        </w:rPr>
        <w:t>átad</w:t>
      </w:r>
      <w:r w:rsidR="002346F8" w:rsidRPr="00BA55EF">
        <w:rPr>
          <w:rFonts w:ascii="Arial" w:hAnsi="Arial" w:cs="Arial"/>
        </w:rPr>
        <w:t>ásra került</w:t>
      </w:r>
      <w:r w:rsidRPr="00BA55EF">
        <w:rPr>
          <w:rFonts w:ascii="Arial" w:hAnsi="Arial" w:cs="Arial"/>
        </w:rPr>
        <w:t xml:space="preserve"> </w:t>
      </w:r>
      <w:r w:rsidR="00911A1F" w:rsidRPr="00BA55EF">
        <w:rPr>
          <w:rFonts w:ascii="Arial" w:hAnsi="Arial" w:cs="Arial"/>
        </w:rPr>
        <w:t>6 230 322 Ft.</w:t>
      </w:r>
      <w:r w:rsidR="003D2512">
        <w:rPr>
          <w:rFonts w:ascii="Arial" w:hAnsi="Arial" w:cs="Arial"/>
        </w:rPr>
        <w:t xml:space="preserve"> </w:t>
      </w:r>
      <w:r w:rsidR="003D2512" w:rsidRPr="009855FF">
        <w:rPr>
          <w:rFonts w:ascii="Arial" w:hAnsi="Arial" w:cs="Arial"/>
        </w:rPr>
        <w:t>Az adó</w:t>
      </w:r>
      <w:r w:rsidR="0060591B" w:rsidRPr="009855FF">
        <w:rPr>
          <w:rFonts w:ascii="Arial" w:hAnsi="Arial" w:cs="Arial"/>
        </w:rPr>
        <w:t xml:space="preserve">k </w:t>
      </w:r>
      <w:r w:rsidR="003D2512" w:rsidRPr="009855FF">
        <w:rPr>
          <w:rFonts w:ascii="Arial" w:hAnsi="Arial" w:cs="Arial"/>
        </w:rPr>
        <w:t>kintlévőség</w:t>
      </w:r>
      <w:r w:rsidR="0060591B" w:rsidRPr="009855FF">
        <w:rPr>
          <w:rFonts w:ascii="Arial" w:hAnsi="Arial" w:cs="Arial"/>
        </w:rPr>
        <w:t>ének</w:t>
      </w:r>
      <w:r w:rsidR="003D2512" w:rsidRPr="009855FF">
        <w:rPr>
          <w:rFonts w:ascii="Arial" w:hAnsi="Arial" w:cs="Arial"/>
        </w:rPr>
        <w:t xml:space="preserve"> aránya</w:t>
      </w:r>
      <w:r w:rsidR="0060591B" w:rsidRPr="009855FF">
        <w:rPr>
          <w:rFonts w:ascii="Arial" w:hAnsi="Arial" w:cs="Arial"/>
        </w:rPr>
        <w:t>,</w:t>
      </w:r>
      <w:r w:rsidR="003D2512" w:rsidRPr="009855FF">
        <w:rPr>
          <w:rFonts w:ascii="Arial" w:hAnsi="Arial" w:cs="Arial"/>
        </w:rPr>
        <w:t xml:space="preserve"> így 5 % alatti. </w:t>
      </w:r>
    </w:p>
    <w:p w:rsidR="00716671" w:rsidRPr="003D2512" w:rsidRDefault="00716671" w:rsidP="003F372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70C0"/>
        </w:rPr>
      </w:pPr>
    </w:p>
    <w:p w:rsidR="003F3728" w:rsidRPr="008B7912" w:rsidRDefault="003F3728" w:rsidP="003F372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FF0000"/>
        </w:rPr>
      </w:pPr>
    </w:p>
    <w:p w:rsidR="003205C7" w:rsidRPr="008B7912" w:rsidRDefault="003205C7" w:rsidP="003F3728">
      <w:pPr>
        <w:pStyle w:val="Listaszerbekezds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 w:rsidRPr="008B7912">
        <w:rPr>
          <w:rFonts w:ascii="Arial" w:hAnsi="Arial" w:cs="Arial"/>
          <w:b/>
        </w:rPr>
        <w:t>Fizetési könnyítéses eljárások</w:t>
      </w:r>
    </w:p>
    <w:p w:rsidR="003205C7" w:rsidRPr="00DB7F90" w:rsidRDefault="003205C7" w:rsidP="003F3728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205C7" w:rsidRPr="008B7912" w:rsidRDefault="003205C7" w:rsidP="003F3728">
      <w:pPr>
        <w:spacing w:after="0" w:line="240" w:lineRule="auto"/>
        <w:jc w:val="both"/>
        <w:rPr>
          <w:rFonts w:ascii="Arial" w:hAnsi="Arial" w:cs="Arial"/>
        </w:rPr>
      </w:pPr>
      <w:r w:rsidRPr="00DB7F90">
        <w:rPr>
          <w:rFonts w:ascii="Arial" w:hAnsi="Arial" w:cs="Arial"/>
        </w:rPr>
        <w:t xml:space="preserve">Az elmúlt évben </w:t>
      </w:r>
      <w:r w:rsidR="00DB7F90">
        <w:rPr>
          <w:rFonts w:ascii="Arial" w:hAnsi="Arial" w:cs="Arial"/>
        </w:rPr>
        <w:t>11</w:t>
      </w:r>
      <w:r w:rsidRPr="00DB7F90">
        <w:rPr>
          <w:rFonts w:ascii="Arial" w:hAnsi="Arial" w:cs="Arial"/>
        </w:rPr>
        <w:t xml:space="preserve"> magánszemély és </w:t>
      </w:r>
      <w:r w:rsidR="0067323D" w:rsidRPr="00DB7F90">
        <w:rPr>
          <w:rFonts w:ascii="Arial" w:hAnsi="Arial" w:cs="Arial"/>
        </w:rPr>
        <w:t>2</w:t>
      </w:r>
      <w:r w:rsidRPr="00DB7F90">
        <w:rPr>
          <w:rFonts w:ascii="Arial" w:hAnsi="Arial" w:cs="Arial"/>
        </w:rPr>
        <w:t xml:space="preserve"> gazdasági társaság kért fizetési halasztást, illetve fizetési könnyítést. Adóhatóság </w:t>
      </w:r>
      <w:r w:rsidR="00DB7F90" w:rsidRPr="00DB7F90">
        <w:rPr>
          <w:rFonts w:ascii="Arial" w:hAnsi="Arial" w:cs="Arial"/>
        </w:rPr>
        <w:t>1</w:t>
      </w:r>
      <w:r w:rsidR="00DB7F90">
        <w:rPr>
          <w:rFonts w:ascii="Arial" w:hAnsi="Arial" w:cs="Arial"/>
        </w:rPr>
        <w:t>3</w:t>
      </w:r>
      <w:r w:rsidRPr="00DB7F90">
        <w:rPr>
          <w:rFonts w:ascii="Arial" w:hAnsi="Arial" w:cs="Arial"/>
        </w:rPr>
        <w:t xml:space="preserve"> esetben engedélyezte az adó részletekben való megfizetését. </w:t>
      </w:r>
    </w:p>
    <w:p w:rsidR="004932EE" w:rsidRDefault="004932EE" w:rsidP="003F3728">
      <w:pPr>
        <w:spacing w:after="0" w:line="240" w:lineRule="auto"/>
        <w:jc w:val="both"/>
        <w:rPr>
          <w:rFonts w:ascii="Arial" w:hAnsi="Arial" w:cs="Arial"/>
        </w:rPr>
      </w:pPr>
    </w:p>
    <w:p w:rsidR="00655E7F" w:rsidRPr="008B7912" w:rsidRDefault="00655E7F" w:rsidP="003F3728">
      <w:pPr>
        <w:spacing w:after="0" w:line="240" w:lineRule="auto"/>
        <w:jc w:val="both"/>
        <w:rPr>
          <w:rFonts w:ascii="Arial" w:hAnsi="Arial" w:cs="Arial"/>
        </w:rPr>
      </w:pPr>
    </w:p>
    <w:p w:rsidR="00F409E3" w:rsidRDefault="00974D54" w:rsidP="003F3728">
      <w:pPr>
        <w:pStyle w:val="Listaszerbekezds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 w:rsidRPr="00A0521B">
        <w:rPr>
          <w:rFonts w:ascii="Arial" w:hAnsi="Arial" w:cs="Arial"/>
          <w:b/>
        </w:rPr>
        <w:t xml:space="preserve"> </w:t>
      </w:r>
      <w:r w:rsidR="00693687" w:rsidRPr="00A0521B">
        <w:rPr>
          <w:rFonts w:ascii="Arial" w:hAnsi="Arial" w:cs="Arial"/>
          <w:b/>
        </w:rPr>
        <w:t>E</w:t>
      </w:r>
      <w:r w:rsidR="00F409E3" w:rsidRPr="00A0521B">
        <w:rPr>
          <w:rFonts w:ascii="Arial" w:hAnsi="Arial" w:cs="Arial"/>
          <w:b/>
        </w:rPr>
        <w:t xml:space="preserve">llenőrzési tevékenység helyi adók vonatkozásában </w:t>
      </w:r>
    </w:p>
    <w:p w:rsidR="00655E7F" w:rsidRPr="00A0521B" w:rsidRDefault="00655E7F" w:rsidP="003F3728">
      <w:pPr>
        <w:pStyle w:val="Listaszerbekezds"/>
        <w:spacing w:after="0" w:line="240" w:lineRule="auto"/>
        <w:ind w:left="1440"/>
        <w:jc w:val="both"/>
        <w:rPr>
          <w:rFonts w:ascii="Arial" w:hAnsi="Arial" w:cs="Arial"/>
          <w:b/>
        </w:rPr>
      </w:pPr>
    </w:p>
    <w:p w:rsidR="00571A52" w:rsidRPr="00A0521B" w:rsidRDefault="00AB5899" w:rsidP="003F3728">
      <w:pPr>
        <w:spacing w:after="0" w:line="240" w:lineRule="auto"/>
        <w:jc w:val="both"/>
        <w:rPr>
          <w:rFonts w:ascii="Arial" w:hAnsi="Arial" w:cs="Arial"/>
        </w:rPr>
      </w:pPr>
      <w:r w:rsidRPr="00A0521B">
        <w:rPr>
          <w:rFonts w:ascii="Arial" w:hAnsi="Arial" w:cs="Arial"/>
        </w:rPr>
        <w:t xml:space="preserve">Az adóigazgatás fontos területe az adóellenőrzés. </w:t>
      </w:r>
    </w:p>
    <w:p w:rsidR="00571A52" w:rsidRDefault="00571A52" w:rsidP="003F3728">
      <w:pPr>
        <w:spacing w:after="0" w:line="240" w:lineRule="auto"/>
        <w:jc w:val="both"/>
        <w:rPr>
          <w:rFonts w:ascii="Arial" w:hAnsi="Arial" w:cs="Arial"/>
        </w:rPr>
      </w:pPr>
    </w:p>
    <w:p w:rsidR="003F3728" w:rsidRDefault="003F3728" w:rsidP="003F3728">
      <w:pPr>
        <w:spacing w:after="0" w:line="240" w:lineRule="auto"/>
        <w:jc w:val="both"/>
        <w:rPr>
          <w:rFonts w:ascii="Arial" w:hAnsi="Arial" w:cs="Arial"/>
        </w:rPr>
      </w:pPr>
    </w:p>
    <w:p w:rsidR="00B14D67" w:rsidRDefault="00F409E3" w:rsidP="003F3728">
      <w:pPr>
        <w:spacing w:after="0" w:line="240" w:lineRule="auto"/>
        <w:ind w:left="1134"/>
        <w:jc w:val="both"/>
        <w:rPr>
          <w:rFonts w:ascii="Arial" w:hAnsi="Arial" w:cs="Arial"/>
          <w:b/>
        </w:rPr>
      </w:pPr>
      <w:r w:rsidRPr="00B654BC">
        <w:rPr>
          <w:rFonts w:ascii="Arial" w:hAnsi="Arial" w:cs="Arial"/>
          <w:b/>
        </w:rPr>
        <w:t xml:space="preserve">6.1. </w:t>
      </w:r>
      <w:r w:rsidR="00974D54" w:rsidRPr="00B654BC">
        <w:rPr>
          <w:rFonts w:ascii="Arial" w:hAnsi="Arial" w:cs="Arial"/>
          <w:b/>
        </w:rPr>
        <w:t xml:space="preserve">    </w:t>
      </w:r>
      <w:r w:rsidRPr="00B654BC">
        <w:rPr>
          <w:rFonts w:ascii="Arial" w:hAnsi="Arial" w:cs="Arial"/>
          <w:b/>
        </w:rPr>
        <w:t>Építményadó ellenőrzés</w:t>
      </w:r>
    </w:p>
    <w:p w:rsidR="00655E7F" w:rsidRPr="00B654BC" w:rsidRDefault="00655E7F" w:rsidP="003F3728">
      <w:pPr>
        <w:spacing w:after="0" w:line="240" w:lineRule="auto"/>
        <w:jc w:val="both"/>
        <w:rPr>
          <w:rFonts w:ascii="Arial" w:hAnsi="Arial" w:cs="Arial"/>
          <w:b/>
        </w:rPr>
      </w:pPr>
    </w:p>
    <w:p w:rsidR="004E421E" w:rsidRDefault="00A02FE1" w:rsidP="003F3728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hu-HU"/>
        </w:rPr>
        <w:t>202</w:t>
      </w:r>
      <w:r w:rsidR="00004D99">
        <w:rPr>
          <w:rFonts w:ascii="Arial" w:eastAsia="Times New Roman" w:hAnsi="Arial" w:cs="Arial"/>
          <w:lang w:eastAsia="hu-HU"/>
        </w:rPr>
        <w:t>3</w:t>
      </w:r>
      <w:r>
        <w:rPr>
          <w:rFonts w:ascii="Arial" w:eastAsia="Times New Roman" w:hAnsi="Arial" w:cs="Arial"/>
          <w:lang w:eastAsia="hu-HU"/>
        </w:rPr>
        <w:t xml:space="preserve">. évben </w:t>
      </w:r>
      <w:r w:rsidR="00004D99">
        <w:rPr>
          <w:rFonts w:ascii="Arial" w:eastAsia="Times New Roman" w:hAnsi="Arial" w:cs="Arial"/>
          <w:lang w:eastAsia="hu-HU"/>
        </w:rPr>
        <w:t xml:space="preserve">folytatódott </w:t>
      </w:r>
      <w:r>
        <w:rPr>
          <w:rFonts w:ascii="Arial" w:eastAsia="Times New Roman" w:hAnsi="Arial" w:cs="Arial"/>
          <w:lang w:eastAsia="hu-HU"/>
        </w:rPr>
        <w:t>az önkormányzati adóhatóság részéről</w:t>
      </w:r>
      <w:r w:rsidR="000801EA">
        <w:rPr>
          <w:rFonts w:ascii="Arial" w:eastAsia="Times New Roman" w:hAnsi="Arial" w:cs="Arial"/>
          <w:lang w:eastAsia="hu-HU"/>
        </w:rPr>
        <w:t xml:space="preserve"> megkezdett</w:t>
      </w:r>
      <w:r>
        <w:rPr>
          <w:rFonts w:ascii="Arial" w:eastAsia="Times New Roman" w:hAnsi="Arial" w:cs="Arial"/>
          <w:lang w:eastAsia="hu-HU"/>
        </w:rPr>
        <w:t xml:space="preserve"> célvizsgálat az építményadó bevallási kötelezettség ellenőrzésére.</w:t>
      </w:r>
      <w:r w:rsidRPr="00B654BC">
        <w:rPr>
          <w:rFonts w:ascii="Arial" w:hAnsi="Arial" w:cs="Arial"/>
        </w:rPr>
        <w:t xml:space="preserve"> </w:t>
      </w:r>
      <w:r w:rsidR="00BB6EE0" w:rsidRPr="00B654BC">
        <w:rPr>
          <w:rFonts w:ascii="Arial" w:hAnsi="Arial" w:cs="Arial"/>
        </w:rPr>
        <w:t xml:space="preserve">Az adózásból kimaradt ingatlanok és adózók felderítése </w:t>
      </w:r>
      <w:r>
        <w:rPr>
          <w:rFonts w:ascii="Arial" w:hAnsi="Arial" w:cs="Arial"/>
        </w:rPr>
        <w:t>kiemelt feladatként zajl</w:t>
      </w:r>
      <w:r w:rsidR="000801EA">
        <w:rPr>
          <w:rFonts w:ascii="Arial" w:hAnsi="Arial" w:cs="Arial"/>
        </w:rPr>
        <w:t>ott tavaly</w:t>
      </w:r>
      <w:r w:rsidR="00BB6EE0" w:rsidRPr="00B654BC">
        <w:rPr>
          <w:rFonts w:ascii="Arial" w:hAnsi="Arial" w:cs="Arial"/>
        </w:rPr>
        <w:t xml:space="preserve"> az ingatlanügyi hatóság által biztosított nyilvántartás </w:t>
      </w:r>
      <w:proofErr w:type="spellStart"/>
      <w:r w:rsidR="00BB6EE0" w:rsidRPr="00B654BC">
        <w:rPr>
          <w:rFonts w:ascii="Arial" w:hAnsi="Arial" w:cs="Arial"/>
        </w:rPr>
        <w:t>kivonatos</w:t>
      </w:r>
      <w:proofErr w:type="spellEnd"/>
      <w:r w:rsidR="00BB6EE0" w:rsidRPr="00B654BC">
        <w:rPr>
          <w:rFonts w:ascii="Arial" w:hAnsi="Arial" w:cs="Arial"/>
        </w:rPr>
        <w:t xml:space="preserve"> formája a Földkönyv, (</w:t>
      </w:r>
      <w:proofErr w:type="spellStart"/>
      <w:r w:rsidR="00BB6EE0" w:rsidRPr="00B654BC">
        <w:rPr>
          <w:rFonts w:ascii="Arial" w:hAnsi="Arial" w:cs="Arial"/>
        </w:rPr>
        <w:t>txt</w:t>
      </w:r>
      <w:proofErr w:type="spellEnd"/>
      <w:r w:rsidR="00BB6EE0" w:rsidRPr="00B654BC">
        <w:rPr>
          <w:rFonts w:ascii="Arial" w:hAnsi="Arial" w:cs="Arial"/>
        </w:rPr>
        <w:t xml:space="preserve"> fájl) illetve a TAKARNET rendszer által. A minden évben ingyenesen rendelkezésünkre bocsájtott Földkönyvi adatok összevetése az adóhatóság nyilvántartásával munkánk </w:t>
      </w:r>
      <w:r>
        <w:rPr>
          <w:rFonts w:ascii="Arial" w:hAnsi="Arial" w:cs="Arial"/>
        </w:rPr>
        <w:t>preferált</w:t>
      </w:r>
      <w:r w:rsidR="00BB6EE0" w:rsidRPr="00B654BC">
        <w:rPr>
          <w:rFonts w:ascii="Arial" w:hAnsi="Arial" w:cs="Arial"/>
        </w:rPr>
        <w:t xml:space="preserve"> részét képezi. Ezáltal több nem adóztatott építmény kerül</w:t>
      </w:r>
      <w:r>
        <w:rPr>
          <w:rFonts w:ascii="Arial" w:hAnsi="Arial" w:cs="Arial"/>
        </w:rPr>
        <w:t>t</w:t>
      </w:r>
      <w:r w:rsidR="00BB6EE0" w:rsidRPr="00B654BC">
        <w:rPr>
          <w:rFonts w:ascii="Arial" w:hAnsi="Arial" w:cs="Arial"/>
        </w:rPr>
        <w:t xml:space="preserve"> felderítésre, több esetben 5 évre visszamenőleg kellett megállapítani az eddig be nem vallott adót. </w:t>
      </w:r>
    </w:p>
    <w:p w:rsidR="004E421E" w:rsidRDefault="004E421E" w:rsidP="00F921C6">
      <w:pPr>
        <w:pStyle w:val="Listaszerbekezds"/>
        <w:spacing w:after="120" w:line="276" w:lineRule="auto"/>
        <w:ind w:left="0"/>
        <w:jc w:val="both"/>
        <w:rPr>
          <w:rFonts w:ascii="Arial" w:hAnsi="Arial" w:cs="Arial"/>
        </w:rPr>
      </w:pPr>
    </w:p>
    <w:p w:rsidR="00850780" w:rsidRDefault="003205C7" w:rsidP="00F921C6">
      <w:pPr>
        <w:pStyle w:val="Listaszerbekezds"/>
        <w:spacing w:after="120" w:line="276" w:lineRule="auto"/>
        <w:ind w:left="0"/>
        <w:jc w:val="both"/>
        <w:rPr>
          <w:rFonts w:ascii="Arial" w:hAnsi="Arial" w:cs="Arial"/>
          <w:b/>
        </w:rPr>
      </w:pPr>
      <w:r w:rsidRPr="00DB7F90">
        <w:rPr>
          <w:rFonts w:ascii="Arial" w:hAnsi="Arial" w:cs="Arial"/>
          <w:b/>
        </w:rPr>
        <w:t>202</w:t>
      </w:r>
      <w:r w:rsidR="00004D99" w:rsidRPr="00DB7F90">
        <w:rPr>
          <w:rFonts w:ascii="Arial" w:hAnsi="Arial" w:cs="Arial"/>
          <w:b/>
        </w:rPr>
        <w:t>3</w:t>
      </w:r>
      <w:r w:rsidRPr="00DB7F90">
        <w:rPr>
          <w:rFonts w:ascii="Arial" w:hAnsi="Arial" w:cs="Arial"/>
          <w:b/>
        </w:rPr>
        <w:t xml:space="preserve">. évben </w:t>
      </w:r>
      <w:r w:rsidR="00004D99" w:rsidRPr="00DB7F90">
        <w:rPr>
          <w:rFonts w:ascii="Arial" w:hAnsi="Arial" w:cs="Arial"/>
          <w:b/>
        </w:rPr>
        <w:t xml:space="preserve">1564 </w:t>
      </w:r>
      <w:r w:rsidRPr="00DB7F90">
        <w:rPr>
          <w:rFonts w:ascii="Arial" w:hAnsi="Arial" w:cs="Arial"/>
          <w:b/>
        </w:rPr>
        <w:t>esetben bocsátottunk ki felhívást az adóalanyok részére</w:t>
      </w:r>
      <w:r w:rsidRPr="00DB7F90">
        <w:rPr>
          <w:rFonts w:ascii="Arial" w:hAnsi="Arial" w:cs="Arial"/>
        </w:rPr>
        <w:t>.</w:t>
      </w:r>
      <w:r w:rsidR="00850780" w:rsidRPr="00DB7F90">
        <w:rPr>
          <w:rFonts w:ascii="Arial" w:hAnsi="Arial" w:cs="Arial"/>
        </w:rPr>
        <w:t xml:space="preserve"> A felhívásokra </w:t>
      </w:r>
      <w:r w:rsidR="00DB7F90" w:rsidRPr="00DB7F90">
        <w:rPr>
          <w:rFonts w:ascii="Arial" w:hAnsi="Arial" w:cs="Arial"/>
        </w:rPr>
        <w:t>1673</w:t>
      </w:r>
      <w:r w:rsidR="00850780" w:rsidRPr="00DB7F90">
        <w:rPr>
          <w:rFonts w:ascii="Arial" w:hAnsi="Arial" w:cs="Arial"/>
        </w:rPr>
        <w:t xml:space="preserve"> bevallás érkezett be, az elkészült határozatok közül </w:t>
      </w:r>
      <w:r w:rsidR="00DB7F90" w:rsidRPr="00DB7F90">
        <w:rPr>
          <w:rFonts w:ascii="Arial" w:hAnsi="Arial" w:cs="Arial"/>
        </w:rPr>
        <w:t>401</w:t>
      </w:r>
      <w:r w:rsidR="00850780" w:rsidRPr="00DB7F90">
        <w:rPr>
          <w:rFonts w:ascii="Arial" w:hAnsi="Arial" w:cs="Arial"/>
        </w:rPr>
        <w:t xml:space="preserve"> db adómentességről szóló határozat került kibocsátásra. </w:t>
      </w:r>
      <w:r w:rsidR="001E460B" w:rsidRPr="00DB7F90">
        <w:rPr>
          <w:rFonts w:ascii="Arial" w:hAnsi="Arial" w:cs="Arial"/>
        </w:rPr>
        <w:t xml:space="preserve">A kibocsátott felhívások következtében benyújtott adatbejelentések alapján </w:t>
      </w:r>
      <w:r w:rsidR="001E460B" w:rsidRPr="00DB7F90">
        <w:rPr>
          <w:rFonts w:ascii="Arial" w:hAnsi="Arial" w:cs="Arial"/>
          <w:b/>
        </w:rPr>
        <w:t>a</w:t>
      </w:r>
      <w:r w:rsidR="00850780" w:rsidRPr="00DB7F90">
        <w:rPr>
          <w:rFonts w:ascii="Arial" w:hAnsi="Arial" w:cs="Arial"/>
          <w:b/>
        </w:rPr>
        <w:t xml:space="preserve">dókötelezettséget </w:t>
      </w:r>
      <w:r w:rsidR="00DB7F90" w:rsidRPr="00DB7F90">
        <w:rPr>
          <w:rFonts w:ascii="Arial" w:hAnsi="Arial" w:cs="Arial"/>
          <w:b/>
        </w:rPr>
        <w:t>1272</w:t>
      </w:r>
      <w:r w:rsidR="00850780" w:rsidRPr="00DB7F90">
        <w:rPr>
          <w:rFonts w:ascii="Arial" w:hAnsi="Arial" w:cs="Arial"/>
          <w:b/>
        </w:rPr>
        <w:t xml:space="preserve"> esetben írtunk elő összesen </w:t>
      </w:r>
      <w:r w:rsidR="00DB7F90" w:rsidRPr="00DB7F90">
        <w:rPr>
          <w:rFonts w:ascii="Arial" w:hAnsi="Arial" w:cs="Arial"/>
          <w:b/>
        </w:rPr>
        <w:t xml:space="preserve">55 898 503 </w:t>
      </w:r>
      <w:r w:rsidR="00850780" w:rsidRPr="00DB7F90">
        <w:rPr>
          <w:rFonts w:ascii="Arial" w:hAnsi="Arial" w:cs="Arial"/>
          <w:b/>
        </w:rPr>
        <w:t>Ft értékben.</w:t>
      </w:r>
    </w:p>
    <w:p w:rsidR="001E460B" w:rsidRPr="001E460B" w:rsidRDefault="001E460B" w:rsidP="00F921C6">
      <w:pPr>
        <w:pStyle w:val="Listaszerbekezds"/>
        <w:spacing w:after="120" w:line="276" w:lineRule="auto"/>
        <w:ind w:left="0"/>
        <w:jc w:val="both"/>
        <w:rPr>
          <w:rFonts w:ascii="Arial" w:hAnsi="Arial" w:cs="Arial"/>
          <w:b/>
        </w:rPr>
      </w:pPr>
    </w:p>
    <w:p w:rsidR="00BB6EE0" w:rsidRDefault="00BB6EE0" w:rsidP="00F921C6">
      <w:pPr>
        <w:pStyle w:val="Listaszerbekezds"/>
        <w:spacing w:after="120" w:line="276" w:lineRule="auto"/>
        <w:ind w:left="0"/>
        <w:jc w:val="both"/>
        <w:rPr>
          <w:rFonts w:ascii="Arial" w:hAnsi="Arial" w:cs="Arial"/>
        </w:rPr>
      </w:pPr>
      <w:r w:rsidRPr="00B654BC">
        <w:rPr>
          <w:rFonts w:ascii="Arial" w:hAnsi="Arial" w:cs="Arial"/>
        </w:rPr>
        <w:t>Az esetek túlnyomó többségében (90% felett) a felhívásban megjelölt határidőben teljesítették bevallási kötelezettségüket</w:t>
      </w:r>
      <w:r w:rsidR="004E421E">
        <w:rPr>
          <w:rFonts w:ascii="Arial" w:hAnsi="Arial" w:cs="Arial"/>
        </w:rPr>
        <w:t xml:space="preserve"> az adózó</w:t>
      </w:r>
      <w:r w:rsidR="001E460B">
        <w:rPr>
          <w:rFonts w:ascii="Arial" w:hAnsi="Arial" w:cs="Arial"/>
        </w:rPr>
        <w:t>k</w:t>
      </w:r>
      <w:r w:rsidRPr="00B654BC">
        <w:rPr>
          <w:rFonts w:ascii="Arial" w:hAnsi="Arial" w:cs="Arial"/>
        </w:rPr>
        <w:t>. A fennmaradó esetekben az ismételt felhívás</w:t>
      </w:r>
      <w:r w:rsidR="005912AE">
        <w:rPr>
          <w:rFonts w:ascii="Arial" w:hAnsi="Arial" w:cs="Arial"/>
        </w:rPr>
        <w:t>t küldtünk ki, illetve második felhívást követően mulasztási bírság kiszabására is sor került.</w:t>
      </w:r>
    </w:p>
    <w:p w:rsidR="004E421E" w:rsidRPr="00B654BC" w:rsidRDefault="004E421E" w:rsidP="00F921C6">
      <w:pPr>
        <w:pStyle w:val="Listaszerbekezds"/>
        <w:spacing w:after="120" w:line="276" w:lineRule="auto"/>
        <w:ind w:left="0"/>
        <w:jc w:val="both"/>
        <w:rPr>
          <w:rFonts w:ascii="Arial" w:hAnsi="Arial" w:cs="Arial"/>
        </w:rPr>
      </w:pPr>
    </w:p>
    <w:p w:rsidR="000E5BA6" w:rsidRDefault="00BB6EE0" w:rsidP="001811FA">
      <w:pPr>
        <w:pStyle w:val="Listaszerbekezds"/>
        <w:spacing w:after="120" w:line="276" w:lineRule="auto"/>
        <w:ind w:left="0"/>
        <w:jc w:val="both"/>
        <w:rPr>
          <w:rFonts w:ascii="Arial" w:hAnsi="Arial" w:cs="Arial"/>
        </w:rPr>
      </w:pPr>
      <w:r w:rsidRPr="00B654BC">
        <w:rPr>
          <w:rFonts w:ascii="Arial" w:hAnsi="Arial" w:cs="Arial"/>
        </w:rPr>
        <w:t xml:space="preserve">Amennyiben nem áll rendelkezésre az ingatlanról – a hasznos alapterület pontos megállapítását segítő – tervdokumentáció, vagy a benyújtott bevallások és a saját nyilvántartásban lévő adatok </w:t>
      </w:r>
      <w:r w:rsidRPr="00B654BC">
        <w:rPr>
          <w:rFonts w:ascii="Arial" w:hAnsi="Arial" w:cs="Arial"/>
        </w:rPr>
        <w:lastRenderedPageBreak/>
        <w:t>között eltérés tapasztalható, akkor az ügyintéző helyszíni szemle során lézeres mérőműszer segítségével felméri az ingatlan hasznos alapterületét, ezzel segítve az ingatlantulajdonost a pontos bevallás megtétele érdekében. A helyszíni szemléről jegyzőkönyv készül, melynek hitelesített példányát adózó a kivető határozattal együtt megkapja. A felmérések eredményei az adóhatóság saját nyilvántartásában rögzítésre kerülnek.</w:t>
      </w:r>
    </w:p>
    <w:p w:rsidR="001811FA" w:rsidRPr="001811FA" w:rsidRDefault="001811FA" w:rsidP="001811FA">
      <w:pPr>
        <w:pStyle w:val="Listaszerbekezds"/>
        <w:spacing w:after="120" w:line="276" w:lineRule="auto"/>
        <w:ind w:left="0"/>
        <w:jc w:val="both"/>
        <w:rPr>
          <w:rFonts w:ascii="Arial" w:hAnsi="Arial" w:cs="Arial"/>
        </w:rPr>
      </w:pPr>
    </w:p>
    <w:p w:rsidR="0000014E" w:rsidRPr="00C86E48" w:rsidRDefault="0000014E" w:rsidP="00C86E48">
      <w:pPr>
        <w:pStyle w:val="Listaszerbekezds"/>
        <w:numPr>
          <w:ilvl w:val="1"/>
          <w:numId w:val="13"/>
        </w:numPr>
        <w:spacing w:after="0" w:line="240" w:lineRule="auto"/>
        <w:ind w:left="1560"/>
        <w:rPr>
          <w:rFonts w:ascii="Arial" w:hAnsi="Arial" w:cs="Arial"/>
          <w:b/>
        </w:rPr>
      </w:pPr>
      <w:r w:rsidRPr="00C86E48">
        <w:rPr>
          <w:rFonts w:ascii="Arial" w:hAnsi="Arial" w:cs="Arial"/>
          <w:b/>
        </w:rPr>
        <w:t>Idegenforgalmi adóellenőrzés</w:t>
      </w:r>
    </w:p>
    <w:p w:rsidR="00D73659" w:rsidRPr="000801EA" w:rsidRDefault="00D73659" w:rsidP="00C86E48">
      <w:pPr>
        <w:pStyle w:val="Listaszerbekezds"/>
        <w:spacing w:after="0" w:line="240" w:lineRule="auto"/>
        <w:ind w:left="1560"/>
        <w:rPr>
          <w:rFonts w:ascii="Arial" w:hAnsi="Arial" w:cs="Arial"/>
          <w:b/>
          <w:color w:val="FF0000"/>
        </w:rPr>
      </w:pPr>
    </w:p>
    <w:p w:rsidR="00C86E48" w:rsidRDefault="00C86E48" w:rsidP="00C86E48">
      <w:pPr>
        <w:spacing w:after="0" w:line="240" w:lineRule="auto"/>
        <w:jc w:val="both"/>
        <w:rPr>
          <w:rFonts w:ascii="Arial" w:hAnsi="Arial" w:cs="Arial"/>
        </w:rPr>
      </w:pPr>
      <w:r w:rsidRPr="00C86E48">
        <w:rPr>
          <w:rFonts w:ascii="Arial" w:hAnsi="Arial" w:cs="Arial"/>
        </w:rPr>
        <w:t xml:space="preserve">Az idegenforgalmi adóellenőrzéshez főállású adóellenőr nem </w:t>
      </w:r>
      <w:r>
        <w:rPr>
          <w:rFonts w:ascii="Arial" w:hAnsi="Arial" w:cs="Arial"/>
        </w:rPr>
        <w:t xml:space="preserve">került </w:t>
      </w:r>
      <w:r w:rsidRPr="00C86E48">
        <w:rPr>
          <w:rFonts w:ascii="Arial" w:hAnsi="Arial" w:cs="Arial"/>
        </w:rPr>
        <w:t>foglalkozta</w:t>
      </w:r>
      <w:r>
        <w:rPr>
          <w:rFonts w:ascii="Arial" w:hAnsi="Arial" w:cs="Arial"/>
        </w:rPr>
        <w:t>tásra</w:t>
      </w:r>
      <w:r w:rsidRPr="00C86E48">
        <w:rPr>
          <w:rFonts w:ascii="Arial" w:hAnsi="Arial" w:cs="Arial"/>
        </w:rPr>
        <w:t xml:space="preserve">. </w:t>
      </w:r>
    </w:p>
    <w:p w:rsidR="00B153C2" w:rsidRPr="00C86E48" w:rsidRDefault="00B153C2" w:rsidP="00C86E48">
      <w:pPr>
        <w:spacing w:after="0" w:line="240" w:lineRule="auto"/>
        <w:jc w:val="both"/>
        <w:rPr>
          <w:rFonts w:ascii="Arial" w:hAnsi="Arial" w:cs="Arial"/>
        </w:rPr>
      </w:pPr>
    </w:p>
    <w:p w:rsidR="00C86E48" w:rsidRPr="00C86E48" w:rsidRDefault="00C86E48" w:rsidP="00C86E48">
      <w:pPr>
        <w:spacing w:after="0" w:line="240" w:lineRule="auto"/>
        <w:jc w:val="both"/>
        <w:rPr>
          <w:rFonts w:ascii="Arial" w:hAnsi="Arial" w:cs="Arial"/>
        </w:rPr>
      </w:pPr>
      <w:r w:rsidRPr="00C86E48">
        <w:rPr>
          <w:rFonts w:ascii="Arial" w:hAnsi="Arial" w:cs="Arial"/>
        </w:rPr>
        <w:t>2023-ban főként az NTAK részére is lejelentett hatósági ellenőrzések adózóit ellenőriztük.</w:t>
      </w:r>
    </w:p>
    <w:p w:rsidR="00C86E48" w:rsidRDefault="00C86E48" w:rsidP="00C86E48">
      <w:pPr>
        <w:spacing w:after="0" w:line="240" w:lineRule="auto"/>
        <w:jc w:val="both"/>
        <w:rPr>
          <w:rFonts w:ascii="Arial" w:hAnsi="Arial" w:cs="Arial"/>
        </w:rPr>
      </w:pPr>
    </w:p>
    <w:p w:rsidR="00C86E48" w:rsidRDefault="00C86E48" w:rsidP="00C86E48">
      <w:pPr>
        <w:spacing w:after="0" w:line="240" w:lineRule="auto"/>
        <w:jc w:val="both"/>
        <w:rPr>
          <w:rFonts w:ascii="Arial" w:hAnsi="Arial" w:cs="Arial"/>
        </w:rPr>
      </w:pPr>
      <w:r w:rsidRPr="00C86E48">
        <w:rPr>
          <w:rFonts w:ascii="Arial" w:hAnsi="Arial" w:cs="Arial"/>
        </w:rPr>
        <w:t xml:space="preserve">2023. évben a vendégéjszakák nyilvántartása kötelezően már csak elektronikus nyilvántartó szoftveren keresztül folyt, papír alapú idegenforgalmi adó nyilvántartó könyvet nem kellett vezetni, ezért a helyszíni ellenőrzéssel szemben a hivatalban történő ellenőrzést részesítettük előnyben. </w:t>
      </w:r>
    </w:p>
    <w:p w:rsidR="00C86E48" w:rsidRDefault="00C86E48" w:rsidP="00C86E48">
      <w:pPr>
        <w:spacing w:after="0" w:line="240" w:lineRule="auto"/>
        <w:jc w:val="both"/>
        <w:rPr>
          <w:rFonts w:ascii="Arial" w:hAnsi="Arial" w:cs="Arial"/>
        </w:rPr>
      </w:pPr>
    </w:p>
    <w:p w:rsidR="00C86E48" w:rsidRDefault="00C86E48" w:rsidP="00C86E48">
      <w:pPr>
        <w:spacing w:after="0" w:line="240" w:lineRule="auto"/>
        <w:jc w:val="both"/>
        <w:rPr>
          <w:rFonts w:ascii="Arial" w:hAnsi="Arial" w:cs="Arial"/>
        </w:rPr>
      </w:pPr>
      <w:r w:rsidRPr="00C86E48">
        <w:rPr>
          <w:rFonts w:ascii="Arial" w:hAnsi="Arial" w:cs="Arial"/>
        </w:rPr>
        <w:t xml:space="preserve">Ellenőriztük az NTAK adatszolgáltatáson kívül </w:t>
      </w:r>
      <w:r w:rsidR="00B153C2">
        <w:rPr>
          <w:rFonts w:ascii="Arial" w:hAnsi="Arial" w:cs="Arial"/>
        </w:rPr>
        <w:t xml:space="preserve">a </w:t>
      </w:r>
      <w:r w:rsidRPr="00C86E48">
        <w:rPr>
          <w:rFonts w:ascii="Arial" w:hAnsi="Arial" w:cs="Arial"/>
        </w:rPr>
        <w:t xml:space="preserve">szálláshely portálok vendégvéleményeit, az adóbevallások meglétét, adóbefizetések teljesítését (nem kizárólag idegenforgalmi adó tekintetében). Amennyiben eltérés volt, felhívtuk az adózók figyelmét az esetleges adóegyenleg eltérésekre, hiányosságok pótlására, illetve szükség esetén önellenőrzésre. </w:t>
      </w:r>
    </w:p>
    <w:p w:rsidR="00655E7F" w:rsidRPr="00980F8A" w:rsidRDefault="00655E7F" w:rsidP="00655E7F">
      <w:pPr>
        <w:spacing w:after="0" w:line="240" w:lineRule="auto"/>
        <w:jc w:val="both"/>
        <w:rPr>
          <w:rFonts w:ascii="Arial" w:hAnsi="Arial" w:cs="Arial"/>
          <w:b/>
          <w:iCs/>
          <w:color w:val="FF0000"/>
        </w:rPr>
      </w:pPr>
    </w:p>
    <w:p w:rsidR="00334062" w:rsidRPr="00B45EB9" w:rsidRDefault="00334062" w:rsidP="00655E7F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Arial" w:hAnsi="Arial" w:cs="Arial"/>
          <w:b/>
          <w:iCs/>
        </w:rPr>
      </w:pPr>
      <w:r w:rsidRPr="00B45EB9">
        <w:rPr>
          <w:rFonts w:ascii="Arial" w:hAnsi="Arial" w:cs="Arial"/>
          <w:b/>
          <w:iCs/>
        </w:rPr>
        <w:t>Jogorvoslati eljárás</w:t>
      </w:r>
    </w:p>
    <w:p w:rsidR="00FB0978" w:rsidRPr="00B45EB9" w:rsidRDefault="00FB0978" w:rsidP="00655E7F">
      <w:pPr>
        <w:spacing w:after="0" w:line="240" w:lineRule="auto"/>
        <w:jc w:val="both"/>
        <w:rPr>
          <w:rFonts w:ascii="Arial" w:hAnsi="Arial" w:cs="Arial"/>
          <w:b/>
          <w:iCs/>
        </w:rPr>
      </w:pPr>
    </w:p>
    <w:p w:rsidR="00B45EB9" w:rsidRDefault="005A4A05" w:rsidP="002E46B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2023 évben építményadó kivetés kapcsán 2 esetben történ fellebbezés. Mindkét esetben </w:t>
      </w:r>
      <w:r w:rsidRPr="00B654BC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benyújtott bevallás alapján, a </w:t>
      </w:r>
      <w:r w:rsidRPr="00B654BC">
        <w:rPr>
          <w:rFonts w:ascii="Arial" w:hAnsi="Arial" w:cs="Arial"/>
        </w:rPr>
        <w:t xml:space="preserve">TAKARNET rendszer </w:t>
      </w:r>
      <w:r>
        <w:rPr>
          <w:rFonts w:ascii="Arial" w:hAnsi="Arial" w:cs="Arial"/>
        </w:rPr>
        <w:t xml:space="preserve">és a </w:t>
      </w:r>
      <w:r w:rsidRPr="00B654BC">
        <w:rPr>
          <w:rFonts w:ascii="Arial" w:hAnsi="Arial" w:cs="Arial"/>
        </w:rPr>
        <w:t>rendelkezésünkre bocsájtott Földkönyvi adatok összevetés</w:t>
      </w:r>
      <w:r>
        <w:rPr>
          <w:rFonts w:ascii="Arial" w:hAnsi="Arial" w:cs="Arial"/>
        </w:rPr>
        <w:t>ével történt az adó kivetése. Az adózók a nyilvántartási hibákra hivatkozva fellebbezték meg a kivetett összeg mértéket, vagy az adózóikötelezettség kezdeti dátumát. Másodfokú adóhat</w:t>
      </w:r>
      <w:r w:rsidR="000066DB">
        <w:rPr>
          <w:rFonts w:ascii="Arial" w:hAnsi="Arial" w:cs="Arial"/>
        </w:rPr>
        <w:t>óság</w:t>
      </w:r>
      <w:r>
        <w:rPr>
          <w:rFonts w:ascii="Arial" w:hAnsi="Arial" w:cs="Arial"/>
        </w:rPr>
        <w:t xml:space="preserve"> részéről még nem érkezett válasz az érintett ügyekben. </w:t>
      </w:r>
    </w:p>
    <w:p w:rsidR="00456E18" w:rsidRDefault="00456E18" w:rsidP="002E46BB">
      <w:pPr>
        <w:spacing w:after="0" w:line="240" w:lineRule="auto"/>
        <w:jc w:val="both"/>
        <w:rPr>
          <w:rFonts w:ascii="Arial" w:hAnsi="Arial" w:cs="Arial"/>
          <w:iCs/>
        </w:rPr>
      </w:pPr>
    </w:p>
    <w:p w:rsidR="00456E18" w:rsidRPr="005A4A05" w:rsidRDefault="00456E18" w:rsidP="002E46BB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Egy fellebbezés adó- és értékbizonyítvány ügyében érkezett. A fellebbezés alapján a kiállított adó- és értékbizonyítvány felülvizsgálatra került és tekintettel arra, hogy módosítása, visszavonása nem volt indokolt, a benne foglaltakat fenntartottuk, a fellebbezést felterjesztettük a Kormányhivatal részére. A másodfokú hatóság az adó- és értékbizonyítványban szereplő értéket kis mértékben módosította.</w:t>
      </w:r>
    </w:p>
    <w:p w:rsidR="00B47029" w:rsidRDefault="00B47029" w:rsidP="002E46BB">
      <w:pPr>
        <w:spacing w:after="0" w:line="240" w:lineRule="auto"/>
        <w:jc w:val="both"/>
        <w:rPr>
          <w:rFonts w:ascii="Arial" w:hAnsi="Arial" w:cs="Arial"/>
          <w:iCs/>
          <w:color w:val="FF0000"/>
        </w:rPr>
      </w:pPr>
    </w:p>
    <w:p w:rsidR="00655E7F" w:rsidRPr="00980F8A" w:rsidRDefault="00655E7F" w:rsidP="002E46BB">
      <w:pPr>
        <w:spacing w:after="0" w:line="240" w:lineRule="auto"/>
        <w:jc w:val="both"/>
        <w:rPr>
          <w:rFonts w:ascii="Arial" w:hAnsi="Arial" w:cs="Arial"/>
          <w:iCs/>
          <w:color w:val="FF0000"/>
        </w:rPr>
      </w:pPr>
    </w:p>
    <w:p w:rsidR="00FE24C8" w:rsidRPr="00B45EB9" w:rsidRDefault="00FE24C8" w:rsidP="002E46B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B45EB9">
        <w:rPr>
          <w:rFonts w:ascii="Arial" w:hAnsi="Arial" w:cs="Arial"/>
          <w:b/>
        </w:rPr>
        <w:t>Ellenőrzések</w:t>
      </w:r>
      <w:r w:rsidR="006B1542" w:rsidRPr="00B45EB9">
        <w:rPr>
          <w:rFonts w:ascii="Arial" w:hAnsi="Arial" w:cs="Arial"/>
          <w:b/>
        </w:rPr>
        <w:t xml:space="preserve"> külső szervek részéről</w:t>
      </w:r>
    </w:p>
    <w:p w:rsidR="000443EA" w:rsidRPr="003D6464" w:rsidRDefault="000443EA" w:rsidP="002E46BB">
      <w:pPr>
        <w:spacing w:after="0" w:line="240" w:lineRule="auto"/>
        <w:jc w:val="both"/>
        <w:rPr>
          <w:rFonts w:ascii="Arial" w:hAnsi="Arial" w:cs="Arial"/>
          <w:b/>
        </w:rPr>
      </w:pPr>
    </w:p>
    <w:p w:rsidR="00E647BB" w:rsidRDefault="005A4A05" w:rsidP="002E46B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2023 évben a </w:t>
      </w:r>
      <w:r w:rsidRPr="005A4A05">
        <w:rPr>
          <w:rFonts w:ascii="Arial" w:hAnsi="Arial" w:cs="Arial"/>
        </w:rPr>
        <w:t>Zala Vármegyei Kormányhivatal Hatósági Főosztály</w:t>
      </w:r>
      <w:r>
        <w:rPr>
          <w:rFonts w:ascii="Arial" w:hAnsi="Arial" w:cs="Arial"/>
        </w:rPr>
        <w:t xml:space="preserve"> adóigazgatási tevékenységben ellenőrzést végzett Önkormányzatunknál. </w:t>
      </w:r>
      <w:r w:rsidR="00E647BB">
        <w:rPr>
          <w:rFonts w:ascii="Arial" w:hAnsi="Arial" w:cs="Arial"/>
        </w:rPr>
        <w:t>Építményadó esetében szúrópróbaszerűen kiválasztott 100 db ügyirat vizsgálata történt meg.</w:t>
      </w:r>
    </w:p>
    <w:p w:rsidR="000066DB" w:rsidRDefault="000066DB" w:rsidP="002E46BB">
      <w:pPr>
        <w:spacing w:after="0" w:line="240" w:lineRule="auto"/>
        <w:jc w:val="both"/>
        <w:rPr>
          <w:rFonts w:ascii="Arial" w:hAnsi="Arial" w:cs="Arial"/>
        </w:rPr>
      </w:pPr>
    </w:p>
    <w:p w:rsidR="00655E7F" w:rsidRDefault="00E647BB" w:rsidP="002E46BB">
      <w:pPr>
        <w:spacing w:after="0" w:line="240" w:lineRule="auto"/>
        <w:jc w:val="both"/>
        <w:rPr>
          <w:rFonts w:ascii="Arial" w:hAnsi="Arial" w:cs="Arial"/>
        </w:rPr>
      </w:pPr>
      <w:r w:rsidRPr="00E647BB">
        <w:rPr>
          <w:rFonts w:ascii="Arial" w:hAnsi="Arial" w:cs="Arial"/>
        </w:rPr>
        <w:t>Az ellenőrzés által feltárt hibák alapján megállapít</w:t>
      </w:r>
      <w:r>
        <w:rPr>
          <w:rFonts w:ascii="Arial" w:hAnsi="Arial" w:cs="Arial"/>
        </w:rPr>
        <w:t>ották</w:t>
      </w:r>
      <w:r w:rsidRPr="00E647BB">
        <w:rPr>
          <w:rFonts w:ascii="Arial" w:hAnsi="Arial" w:cs="Arial"/>
        </w:rPr>
        <w:t>, hogy összeségében helyesen alkalmazz</w:t>
      </w:r>
      <w:r>
        <w:rPr>
          <w:rFonts w:ascii="Arial" w:hAnsi="Arial" w:cs="Arial"/>
        </w:rPr>
        <w:t>uk</w:t>
      </w:r>
      <w:r w:rsidRPr="00E647BB">
        <w:rPr>
          <w:rFonts w:ascii="Arial" w:hAnsi="Arial" w:cs="Arial"/>
        </w:rPr>
        <w:t xml:space="preserve"> az adójogszabályokat,</w:t>
      </w:r>
      <w:r>
        <w:rPr>
          <w:rFonts w:ascii="Arial" w:hAnsi="Arial" w:cs="Arial"/>
        </w:rPr>
        <w:t xml:space="preserve"> az egyedi esetekben elő fordult hibákat javítottuk, a határozatokat átvizsgáltuk és pontosítottuk. </w:t>
      </w:r>
    </w:p>
    <w:p w:rsidR="002E46BB" w:rsidRDefault="002E46BB" w:rsidP="002E46BB">
      <w:pPr>
        <w:spacing w:after="0" w:line="240" w:lineRule="auto"/>
        <w:jc w:val="both"/>
        <w:rPr>
          <w:rFonts w:ascii="Arial" w:hAnsi="Arial" w:cs="Arial"/>
        </w:rPr>
      </w:pPr>
    </w:p>
    <w:p w:rsidR="002E46BB" w:rsidRPr="003D6464" w:rsidRDefault="002E46BB" w:rsidP="002E46BB">
      <w:pPr>
        <w:spacing w:after="0" w:line="240" w:lineRule="auto"/>
        <w:jc w:val="both"/>
        <w:rPr>
          <w:rFonts w:ascii="Arial" w:hAnsi="Arial" w:cs="Arial"/>
        </w:rPr>
      </w:pPr>
    </w:p>
    <w:p w:rsidR="00854726" w:rsidRPr="009855FF" w:rsidRDefault="009B6B70" w:rsidP="002E46B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iCs/>
        </w:rPr>
      </w:pPr>
      <w:r w:rsidRPr="009855FF">
        <w:rPr>
          <w:rFonts w:ascii="Arial" w:hAnsi="Arial" w:cs="Arial"/>
          <w:b/>
          <w:iCs/>
        </w:rPr>
        <w:t xml:space="preserve">Aktualitás </w:t>
      </w:r>
    </w:p>
    <w:p w:rsidR="007553F2" w:rsidRPr="009855FF" w:rsidRDefault="007553F2" w:rsidP="002E46BB">
      <w:pPr>
        <w:tabs>
          <w:tab w:val="center" w:pos="7088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="Arial" w:hAnsi="Arial" w:cs="Arial"/>
          <w:iCs/>
        </w:rPr>
      </w:pPr>
    </w:p>
    <w:p w:rsidR="007553F2" w:rsidRPr="009855FF" w:rsidRDefault="007553F2" w:rsidP="007553F2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9855FF">
        <w:rPr>
          <w:rFonts w:ascii="Arial" w:hAnsi="Arial" w:cs="Arial"/>
          <w:iCs/>
          <w:u w:val="single"/>
        </w:rPr>
        <w:t>Jegyzői összefoglaló:</w:t>
      </w:r>
      <w:r w:rsidRPr="009855FF">
        <w:rPr>
          <w:rFonts w:ascii="Arial" w:hAnsi="Arial" w:cs="Arial"/>
          <w:iCs/>
        </w:rPr>
        <w:t xml:space="preserve"> </w:t>
      </w:r>
    </w:p>
    <w:p w:rsidR="007553F2" w:rsidRPr="009855FF" w:rsidRDefault="007553F2" w:rsidP="007553F2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</w:p>
    <w:p w:rsidR="00AF42BD" w:rsidRPr="009855FF" w:rsidRDefault="007553F2" w:rsidP="007553F2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9855FF">
        <w:rPr>
          <w:rFonts w:ascii="Arial" w:hAnsi="Arial" w:cs="Arial"/>
          <w:iCs/>
        </w:rPr>
        <w:t>A 2022.</w:t>
      </w:r>
      <w:r w:rsidR="0064375F" w:rsidRPr="009855FF">
        <w:rPr>
          <w:rFonts w:ascii="Arial" w:hAnsi="Arial" w:cs="Arial"/>
          <w:iCs/>
        </w:rPr>
        <w:t xml:space="preserve"> évi adóztatásról</w:t>
      </w:r>
      <w:r w:rsidRPr="009855FF">
        <w:rPr>
          <w:rFonts w:ascii="Arial" w:hAnsi="Arial" w:cs="Arial"/>
          <w:iCs/>
        </w:rPr>
        <w:t xml:space="preserve"> szóló előterjesztésben jelzett feladatokat: építményadó kötelezettség felülvizsgálat</w:t>
      </w:r>
      <w:r w:rsidR="0064375F" w:rsidRPr="009855FF">
        <w:rPr>
          <w:rFonts w:ascii="Arial" w:hAnsi="Arial" w:cs="Arial"/>
          <w:iCs/>
        </w:rPr>
        <w:t>ára</w:t>
      </w:r>
      <w:r w:rsidRPr="009855FF">
        <w:rPr>
          <w:rFonts w:ascii="Arial" w:hAnsi="Arial" w:cs="Arial"/>
          <w:iCs/>
        </w:rPr>
        <w:t>, a COVID következményeként csökkent adózói fegyelem</w:t>
      </w:r>
      <w:r w:rsidR="0064375F" w:rsidRPr="009855FF">
        <w:rPr>
          <w:rFonts w:ascii="Arial" w:hAnsi="Arial" w:cs="Arial"/>
          <w:iCs/>
        </w:rPr>
        <w:t xml:space="preserve">, </w:t>
      </w:r>
      <w:r w:rsidRPr="009855FF">
        <w:rPr>
          <w:rFonts w:ascii="Arial" w:hAnsi="Arial" w:cs="Arial"/>
          <w:iCs/>
        </w:rPr>
        <w:t>bevallási, adófizetési pontosság</w:t>
      </w:r>
      <w:r w:rsidR="0064375F" w:rsidRPr="009855FF">
        <w:rPr>
          <w:rFonts w:ascii="Arial" w:hAnsi="Arial" w:cs="Arial"/>
          <w:iCs/>
        </w:rPr>
        <w:t xml:space="preserve"> </w:t>
      </w:r>
      <w:r w:rsidRPr="009855FF">
        <w:rPr>
          <w:rFonts w:ascii="Arial" w:hAnsi="Arial" w:cs="Arial"/>
          <w:iCs/>
        </w:rPr>
        <w:t>helyreállítására megtettük,</w:t>
      </w:r>
      <w:r w:rsidR="0064375F" w:rsidRPr="009855FF">
        <w:rPr>
          <w:rFonts w:ascii="Arial" w:hAnsi="Arial" w:cs="Arial"/>
          <w:iCs/>
        </w:rPr>
        <w:t xml:space="preserve"> az</w:t>
      </w:r>
      <w:r w:rsidRPr="009855FF">
        <w:rPr>
          <w:rFonts w:ascii="Arial" w:hAnsi="Arial" w:cs="Arial"/>
          <w:iCs/>
        </w:rPr>
        <w:t xml:space="preserve"> idegenforgalmi adót és NTAK kötelezettségeket ellenőriztük. </w:t>
      </w:r>
    </w:p>
    <w:p w:rsidR="00AF42BD" w:rsidRPr="009855FF" w:rsidRDefault="00AF42BD" w:rsidP="007553F2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</w:p>
    <w:p w:rsidR="00AF42BD" w:rsidRPr="009855FF" w:rsidRDefault="007553F2" w:rsidP="007553F2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9855FF">
        <w:rPr>
          <w:rFonts w:ascii="Arial" w:hAnsi="Arial" w:cs="Arial"/>
          <w:iCs/>
        </w:rPr>
        <w:lastRenderedPageBreak/>
        <w:t xml:space="preserve">Az adóigazgatási területen dolgozók pontos és nagy mennyiségű munkát végeztek. Köszönet érte! </w:t>
      </w:r>
    </w:p>
    <w:p w:rsidR="00AF42BD" w:rsidRPr="009855FF" w:rsidRDefault="00AF42BD" w:rsidP="007553F2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</w:p>
    <w:p w:rsidR="007553F2" w:rsidRPr="009855FF" w:rsidRDefault="007553F2" w:rsidP="007553F2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9855FF">
        <w:rPr>
          <w:rFonts w:ascii="Arial" w:hAnsi="Arial" w:cs="Arial"/>
          <w:iCs/>
        </w:rPr>
        <w:t xml:space="preserve">Feladat </w:t>
      </w:r>
      <w:r w:rsidR="0064375F" w:rsidRPr="009855FF">
        <w:rPr>
          <w:rFonts w:ascii="Arial" w:hAnsi="Arial" w:cs="Arial"/>
          <w:iCs/>
        </w:rPr>
        <w:t xml:space="preserve">– és folyamatos ellenőrzési tevékenység - </w:t>
      </w:r>
      <w:r w:rsidRPr="009855FF">
        <w:rPr>
          <w:rFonts w:ascii="Arial" w:hAnsi="Arial" w:cs="Arial"/>
          <w:iCs/>
        </w:rPr>
        <w:t xml:space="preserve">továbbra is lesz e területeken. </w:t>
      </w:r>
    </w:p>
    <w:p w:rsidR="007553F2" w:rsidRPr="009855FF" w:rsidRDefault="007553F2" w:rsidP="007553F2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</w:p>
    <w:p w:rsidR="007553F2" w:rsidRPr="009855FF" w:rsidRDefault="00AF42BD" w:rsidP="007553F2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9855FF">
        <w:rPr>
          <w:rFonts w:ascii="Arial" w:hAnsi="Arial" w:cs="Arial"/>
          <w:iCs/>
        </w:rPr>
        <w:t>2024. évben a</w:t>
      </w:r>
      <w:r w:rsidR="007553F2" w:rsidRPr="009855FF">
        <w:rPr>
          <w:rFonts w:ascii="Arial" w:hAnsi="Arial" w:cs="Arial"/>
          <w:iCs/>
        </w:rPr>
        <w:t xml:space="preserve">z adótartozások vonatkozásában </w:t>
      </w:r>
      <w:r w:rsidRPr="009855FF">
        <w:rPr>
          <w:rFonts w:ascii="Arial" w:hAnsi="Arial" w:cs="Arial"/>
          <w:iCs/>
        </w:rPr>
        <w:t xml:space="preserve">fogunk több és erősebb intézkedést tenni a kintlévőség csökkentése érdekében, kiemelten együttműködve a </w:t>
      </w:r>
      <w:r w:rsidR="007553F2" w:rsidRPr="009855FF">
        <w:rPr>
          <w:rFonts w:ascii="Arial" w:hAnsi="Arial" w:cs="Arial"/>
          <w:iCs/>
        </w:rPr>
        <w:t>Nemzeti Adó</w:t>
      </w:r>
      <w:r w:rsidRPr="009855FF">
        <w:rPr>
          <w:rFonts w:ascii="Arial" w:hAnsi="Arial" w:cs="Arial"/>
          <w:iCs/>
        </w:rPr>
        <w:t>- és Vámhivatallal.</w:t>
      </w:r>
    </w:p>
    <w:p w:rsidR="007553F2" w:rsidRPr="009855FF" w:rsidRDefault="007553F2" w:rsidP="002E46BB">
      <w:pPr>
        <w:tabs>
          <w:tab w:val="center" w:pos="7088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="Arial" w:hAnsi="Arial" w:cs="Arial"/>
          <w:iCs/>
        </w:rPr>
      </w:pPr>
    </w:p>
    <w:p w:rsidR="006C1FB8" w:rsidRPr="00655E7F" w:rsidRDefault="006C1FB8" w:rsidP="002E46BB">
      <w:pPr>
        <w:tabs>
          <w:tab w:val="center" w:pos="7088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="Arial" w:hAnsi="Arial" w:cs="Arial"/>
          <w:iCs/>
        </w:rPr>
      </w:pPr>
    </w:p>
    <w:p w:rsidR="001101F2" w:rsidRPr="00655E7F" w:rsidRDefault="001101F2" w:rsidP="002E46BB">
      <w:pPr>
        <w:tabs>
          <w:tab w:val="center" w:pos="7088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="Arial" w:hAnsi="Arial" w:cs="Arial"/>
          <w:b/>
          <w:iCs/>
        </w:rPr>
      </w:pPr>
      <w:r w:rsidRPr="00655E7F">
        <w:rPr>
          <w:rFonts w:ascii="Arial" w:hAnsi="Arial" w:cs="Arial"/>
          <w:b/>
          <w:iCs/>
        </w:rPr>
        <w:t>Tisztelt Képviselő-testületet!</w:t>
      </w:r>
    </w:p>
    <w:p w:rsidR="00F2142D" w:rsidRPr="00655E7F" w:rsidRDefault="00F2142D" w:rsidP="002E46BB">
      <w:pPr>
        <w:tabs>
          <w:tab w:val="center" w:pos="7088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="Arial" w:hAnsi="Arial" w:cs="Arial"/>
          <w:b/>
          <w:iCs/>
        </w:rPr>
      </w:pPr>
    </w:p>
    <w:p w:rsidR="00AC0513" w:rsidRPr="00655E7F" w:rsidRDefault="001274F8" w:rsidP="002E46BB">
      <w:pPr>
        <w:spacing w:after="0" w:line="240" w:lineRule="auto"/>
        <w:jc w:val="both"/>
        <w:rPr>
          <w:rFonts w:ascii="Arial" w:hAnsi="Arial" w:cs="Arial"/>
          <w:iCs/>
        </w:rPr>
      </w:pPr>
      <w:r w:rsidRPr="00655E7F">
        <w:rPr>
          <w:rFonts w:ascii="Arial" w:hAnsi="Arial" w:cs="Arial"/>
          <w:iCs/>
        </w:rPr>
        <w:t>Kérem az előterjesztés</w:t>
      </w:r>
      <w:r w:rsidR="004538E0" w:rsidRPr="00655E7F">
        <w:rPr>
          <w:rFonts w:ascii="Arial" w:hAnsi="Arial" w:cs="Arial"/>
          <w:iCs/>
        </w:rPr>
        <w:t xml:space="preserve"> megvitatását.</w:t>
      </w:r>
      <w:r w:rsidR="00735D46" w:rsidRPr="00655E7F">
        <w:rPr>
          <w:rFonts w:ascii="Arial" w:hAnsi="Arial" w:cs="Arial"/>
          <w:iCs/>
        </w:rPr>
        <w:t xml:space="preserve"> </w:t>
      </w:r>
      <w:r w:rsidR="004538E0" w:rsidRPr="00655E7F">
        <w:rPr>
          <w:rFonts w:ascii="Arial" w:hAnsi="Arial" w:cs="Arial"/>
          <w:iCs/>
        </w:rPr>
        <w:t>A dönté</w:t>
      </w:r>
      <w:r w:rsidR="00AC0513" w:rsidRPr="00655E7F">
        <w:rPr>
          <w:rFonts w:ascii="Arial" w:hAnsi="Arial" w:cs="Arial"/>
          <w:iCs/>
        </w:rPr>
        <w:t>s egyszerű szótöbbséget igényel.</w:t>
      </w:r>
    </w:p>
    <w:p w:rsidR="00AC0513" w:rsidRPr="00A0521B" w:rsidRDefault="00AC0513" w:rsidP="002E46BB">
      <w:pPr>
        <w:spacing w:after="0" w:line="240" w:lineRule="auto"/>
        <w:jc w:val="both"/>
        <w:rPr>
          <w:rFonts w:ascii="Arial" w:hAnsi="Arial" w:cs="Arial"/>
          <w:iCs/>
          <w:color w:val="FF0000"/>
        </w:rPr>
      </w:pPr>
    </w:p>
    <w:p w:rsidR="00AC0513" w:rsidRPr="00A0521B" w:rsidRDefault="00AC0513" w:rsidP="00BB6EE0">
      <w:pPr>
        <w:spacing w:after="0"/>
        <w:jc w:val="both"/>
        <w:rPr>
          <w:rFonts w:ascii="Arial" w:hAnsi="Arial" w:cs="Arial"/>
          <w:iCs/>
          <w:color w:val="FF0000"/>
        </w:rPr>
      </w:pPr>
    </w:p>
    <w:p w:rsidR="00694DB0" w:rsidRPr="00980F8A" w:rsidRDefault="00694DB0">
      <w:pPr>
        <w:spacing w:after="0" w:line="240" w:lineRule="auto"/>
        <w:rPr>
          <w:rFonts w:ascii="Arial" w:hAnsi="Arial" w:cs="Arial"/>
          <w:iCs/>
          <w:color w:val="FF0000"/>
        </w:rPr>
      </w:pPr>
      <w:r w:rsidRPr="00980F8A">
        <w:rPr>
          <w:rFonts w:ascii="Arial" w:hAnsi="Arial" w:cs="Arial"/>
          <w:iCs/>
          <w:color w:val="FF0000"/>
        </w:rPr>
        <w:br w:type="page"/>
      </w:r>
    </w:p>
    <w:p w:rsidR="00AC0513" w:rsidRPr="00B45EB9" w:rsidRDefault="00AC0513" w:rsidP="00BB6EE0">
      <w:pPr>
        <w:spacing w:after="0"/>
        <w:jc w:val="both"/>
        <w:rPr>
          <w:rFonts w:ascii="Arial" w:hAnsi="Arial" w:cs="Arial"/>
          <w:iCs/>
        </w:rPr>
      </w:pPr>
    </w:p>
    <w:p w:rsidR="002830E0" w:rsidRPr="00B45EB9" w:rsidRDefault="002830E0" w:rsidP="00BB6EE0">
      <w:pPr>
        <w:spacing w:after="0"/>
        <w:jc w:val="center"/>
        <w:rPr>
          <w:rFonts w:ascii="Arial" w:hAnsi="Arial" w:cs="Arial"/>
          <w:iCs/>
        </w:rPr>
      </w:pPr>
      <w:r w:rsidRPr="00B45EB9">
        <w:rPr>
          <w:rFonts w:ascii="Arial" w:hAnsi="Arial" w:cs="Arial"/>
          <w:b/>
          <w:sz w:val="24"/>
          <w:szCs w:val="24"/>
        </w:rPr>
        <w:t>2.</w:t>
      </w:r>
    </w:p>
    <w:p w:rsidR="00735D46" w:rsidRPr="00B45EB9" w:rsidRDefault="00735D46" w:rsidP="00BB6EE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35D46" w:rsidRPr="00B45EB9" w:rsidRDefault="00735D46" w:rsidP="00BB6EE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45EB9">
        <w:rPr>
          <w:rFonts w:ascii="Arial" w:hAnsi="Arial" w:cs="Arial"/>
          <w:b/>
          <w:sz w:val="24"/>
          <w:szCs w:val="24"/>
        </w:rPr>
        <w:t>Határozati javaslat</w:t>
      </w:r>
    </w:p>
    <w:p w:rsidR="002830E0" w:rsidRPr="00B45EB9" w:rsidRDefault="002830E0" w:rsidP="00BB6EE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830E0" w:rsidRPr="009855FF" w:rsidRDefault="002222E5" w:rsidP="00BB6EE0">
      <w:pPr>
        <w:spacing w:after="0"/>
        <w:jc w:val="both"/>
        <w:rPr>
          <w:rFonts w:ascii="Arial" w:hAnsi="Arial" w:cs="Arial"/>
        </w:rPr>
      </w:pPr>
      <w:r w:rsidRPr="009855FF">
        <w:rPr>
          <w:rFonts w:ascii="Arial" w:hAnsi="Arial" w:cs="Arial"/>
        </w:rPr>
        <w:t xml:space="preserve">1. </w:t>
      </w:r>
      <w:r w:rsidR="002830E0" w:rsidRPr="009855FF">
        <w:rPr>
          <w:rFonts w:ascii="Arial" w:hAnsi="Arial" w:cs="Arial"/>
        </w:rPr>
        <w:t>Hévíz Város Önkormá</w:t>
      </w:r>
      <w:r w:rsidR="00B32CE8" w:rsidRPr="009855FF">
        <w:rPr>
          <w:rFonts w:ascii="Arial" w:hAnsi="Arial" w:cs="Arial"/>
        </w:rPr>
        <w:t>nyzat Képviselő-testülete a</w:t>
      </w:r>
      <w:r w:rsidR="00EA475A" w:rsidRPr="009855FF">
        <w:rPr>
          <w:rFonts w:ascii="Arial" w:hAnsi="Arial" w:cs="Arial"/>
        </w:rPr>
        <w:t xml:space="preserve"> jegyző, mint önkormányzati adóhatóság</w:t>
      </w:r>
      <w:r w:rsidR="00B32CE8" w:rsidRPr="009855FF">
        <w:rPr>
          <w:rFonts w:ascii="Arial" w:hAnsi="Arial" w:cs="Arial"/>
        </w:rPr>
        <w:t xml:space="preserve"> 20</w:t>
      </w:r>
      <w:r w:rsidR="00E40359" w:rsidRPr="009855FF">
        <w:rPr>
          <w:rFonts w:ascii="Arial" w:hAnsi="Arial" w:cs="Arial"/>
        </w:rPr>
        <w:t>2</w:t>
      </w:r>
      <w:r w:rsidR="00A66982" w:rsidRPr="009855FF">
        <w:rPr>
          <w:rFonts w:ascii="Arial" w:hAnsi="Arial" w:cs="Arial"/>
        </w:rPr>
        <w:t>3</w:t>
      </w:r>
      <w:r w:rsidR="002830E0" w:rsidRPr="009855FF">
        <w:rPr>
          <w:rFonts w:ascii="Arial" w:hAnsi="Arial" w:cs="Arial"/>
        </w:rPr>
        <w:t>. évi adó</w:t>
      </w:r>
      <w:r w:rsidR="003501E1" w:rsidRPr="009855FF">
        <w:rPr>
          <w:rFonts w:ascii="Arial" w:hAnsi="Arial" w:cs="Arial"/>
        </w:rPr>
        <w:t xml:space="preserve">igazgatási tevékenységről szóló </w:t>
      </w:r>
      <w:r w:rsidR="002830E0" w:rsidRPr="009855FF">
        <w:rPr>
          <w:rFonts w:ascii="Arial" w:hAnsi="Arial" w:cs="Arial"/>
        </w:rPr>
        <w:t>beszámoló</w:t>
      </w:r>
      <w:r w:rsidR="00EA475A" w:rsidRPr="009855FF">
        <w:rPr>
          <w:rFonts w:ascii="Arial" w:hAnsi="Arial" w:cs="Arial"/>
        </w:rPr>
        <w:t>ját</w:t>
      </w:r>
      <w:r w:rsidR="002830E0" w:rsidRPr="009855FF">
        <w:rPr>
          <w:rFonts w:ascii="Arial" w:hAnsi="Arial" w:cs="Arial"/>
        </w:rPr>
        <w:t xml:space="preserve"> </w:t>
      </w:r>
      <w:r w:rsidR="00EA475A" w:rsidRPr="009855FF">
        <w:rPr>
          <w:rFonts w:ascii="Arial" w:hAnsi="Arial" w:cs="Arial"/>
        </w:rPr>
        <w:t>megtárgyal</w:t>
      </w:r>
      <w:r w:rsidR="00DC2B1F" w:rsidRPr="009855FF">
        <w:rPr>
          <w:rFonts w:ascii="Arial" w:hAnsi="Arial" w:cs="Arial"/>
        </w:rPr>
        <w:t xml:space="preserve">va ellenőrizte az adóztatást </w:t>
      </w:r>
      <w:r w:rsidR="00857B4F" w:rsidRPr="009855FF">
        <w:rPr>
          <w:rFonts w:ascii="Arial" w:hAnsi="Arial" w:cs="Arial"/>
        </w:rPr>
        <w:t xml:space="preserve">és </w:t>
      </w:r>
      <w:r w:rsidR="00DC2B1F" w:rsidRPr="009855FF">
        <w:rPr>
          <w:rFonts w:ascii="Arial" w:hAnsi="Arial" w:cs="Arial"/>
        </w:rPr>
        <w:t xml:space="preserve">a beszámolót </w:t>
      </w:r>
      <w:r w:rsidR="002830E0" w:rsidRPr="009855FF">
        <w:rPr>
          <w:rFonts w:ascii="Arial" w:hAnsi="Arial" w:cs="Arial"/>
        </w:rPr>
        <w:t>elfogadja.</w:t>
      </w:r>
    </w:p>
    <w:p w:rsidR="002222E5" w:rsidRDefault="002222E5" w:rsidP="00BB6EE0">
      <w:pPr>
        <w:spacing w:after="0"/>
        <w:jc w:val="both"/>
        <w:rPr>
          <w:rFonts w:ascii="Arial" w:hAnsi="Arial" w:cs="Arial"/>
        </w:rPr>
      </w:pPr>
    </w:p>
    <w:p w:rsidR="00264046" w:rsidRPr="009855FF" w:rsidRDefault="002222E5" w:rsidP="00BB6EE0">
      <w:pPr>
        <w:spacing w:after="0"/>
        <w:jc w:val="both"/>
        <w:rPr>
          <w:rFonts w:ascii="Arial" w:hAnsi="Arial" w:cs="Arial"/>
        </w:rPr>
      </w:pPr>
      <w:r w:rsidRPr="009855FF">
        <w:rPr>
          <w:rFonts w:ascii="Arial" w:hAnsi="Arial" w:cs="Arial"/>
        </w:rPr>
        <w:t xml:space="preserve">2. A Képviselő-testület a </w:t>
      </w:r>
      <w:hyperlink r:id="rId15" w:history="1">
        <w:r w:rsidR="00DC2B1F" w:rsidRPr="008F6AB9">
          <w:rPr>
            <w:rStyle w:val="Hiperhivatkozs"/>
            <w:rFonts w:ascii="Arial" w:hAnsi="Arial" w:cs="Arial"/>
          </w:rPr>
          <w:t>www.onkormanyzat.heviz.hu</w:t>
        </w:r>
      </w:hyperlink>
      <w:r w:rsidR="00264046">
        <w:rPr>
          <w:rFonts w:ascii="Arial" w:hAnsi="Arial" w:cs="Arial"/>
          <w:color w:val="0070C0"/>
        </w:rPr>
        <w:t xml:space="preserve"> </w:t>
      </w:r>
      <w:r w:rsidR="00264046" w:rsidRPr="009855FF">
        <w:rPr>
          <w:rFonts w:ascii="Arial" w:hAnsi="Arial" w:cs="Arial"/>
        </w:rPr>
        <w:t>honlapon az</w:t>
      </w:r>
      <w:r w:rsidR="00DC2B1F" w:rsidRPr="009855FF">
        <w:rPr>
          <w:rFonts w:ascii="Arial" w:hAnsi="Arial" w:cs="Arial"/>
        </w:rPr>
        <w:t xml:space="preserve"> </w:t>
      </w:r>
      <w:r w:rsidR="00264046" w:rsidRPr="009855FF">
        <w:rPr>
          <w:rFonts w:ascii="Arial" w:hAnsi="Arial" w:cs="Arial"/>
        </w:rPr>
        <w:t>előterjesztés közzétételével tájékoztatja a lakosságot a helyi adókból származó bevételek összegéről.</w:t>
      </w:r>
    </w:p>
    <w:p w:rsidR="00264046" w:rsidRPr="009855FF" w:rsidRDefault="00264046" w:rsidP="00BB6EE0">
      <w:pPr>
        <w:spacing w:after="0"/>
        <w:jc w:val="both"/>
        <w:rPr>
          <w:rFonts w:ascii="Arial" w:hAnsi="Arial" w:cs="Arial"/>
        </w:rPr>
      </w:pPr>
    </w:p>
    <w:p w:rsidR="00264046" w:rsidRPr="009855FF" w:rsidRDefault="00264046" w:rsidP="00264046">
      <w:pPr>
        <w:spacing w:after="0"/>
        <w:ind w:firstLine="708"/>
        <w:jc w:val="both"/>
        <w:rPr>
          <w:rFonts w:ascii="Arial" w:hAnsi="Arial" w:cs="Arial"/>
        </w:rPr>
      </w:pPr>
      <w:r w:rsidRPr="009855FF">
        <w:rPr>
          <w:rFonts w:ascii="Arial" w:hAnsi="Arial" w:cs="Arial"/>
          <w:u w:val="single"/>
        </w:rPr>
        <w:t>Felelős:</w:t>
      </w:r>
      <w:r w:rsidRPr="009855FF">
        <w:rPr>
          <w:rFonts w:ascii="Arial" w:hAnsi="Arial" w:cs="Arial"/>
        </w:rPr>
        <w:t xml:space="preserve"> dr. Tüske Róbert jegyző</w:t>
      </w:r>
    </w:p>
    <w:p w:rsidR="00264046" w:rsidRPr="009855FF" w:rsidRDefault="00264046" w:rsidP="00264046">
      <w:pPr>
        <w:spacing w:after="0"/>
        <w:ind w:firstLine="708"/>
        <w:jc w:val="both"/>
        <w:rPr>
          <w:rFonts w:ascii="Arial" w:hAnsi="Arial" w:cs="Arial"/>
        </w:rPr>
      </w:pPr>
      <w:r w:rsidRPr="009855FF">
        <w:rPr>
          <w:rFonts w:ascii="Arial" w:hAnsi="Arial" w:cs="Arial"/>
          <w:u w:val="single"/>
        </w:rPr>
        <w:t>Határidő</w:t>
      </w:r>
      <w:r w:rsidRPr="009855FF">
        <w:rPr>
          <w:rFonts w:ascii="Arial" w:hAnsi="Arial" w:cs="Arial"/>
        </w:rPr>
        <w:t xml:space="preserve">: 2024. április 1. </w:t>
      </w:r>
    </w:p>
    <w:p w:rsidR="00264046" w:rsidRPr="00264046" w:rsidRDefault="00264046" w:rsidP="00BB6EE0">
      <w:pPr>
        <w:spacing w:after="0"/>
        <w:jc w:val="both"/>
        <w:rPr>
          <w:rFonts w:ascii="Arial" w:hAnsi="Arial" w:cs="Arial"/>
          <w:color w:val="0070C0"/>
        </w:rPr>
      </w:pPr>
    </w:p>
    <w:p w:rsidR="00DC2B1F" w:rsidRDefault="00DC2B1F">
      <w:pPr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color w:val="7030A0"/>
          <w:sz w:val="24"/>
          <w:szCs w:val="24"/>
        </w:rPr>
        <w:br w:type="page"/>
      </w:r>
      <w:bookmarkStart w:id="4" w:name="_GoBack"/>
      <w:bookmarkEnd w:id="4"/>
    </w:p>
    <w:p w:rsidR="00157B65" w:rsidRPr="007874CC" w:rsidRDefault="00157B65" w:rsidP="00157B65">
      <w:pPr>
        <w:spacing w:after="0" w:line="240" w:lineRule="auto"/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E03983" w:rsidRPr="00867E47" w:rsidRDefault="00157B65" w:rsidP="00F704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E47">
        <w:rPr>
          <w:rFonts w:ascii="Arial" w:hAnsi="Arial" w:cs="Arial"/>
          <w:b/>
          <w:sz w:val="24"/>
          <w:szCs w:val="24"/>
        </w:rPr>
        <w:t>5</w:t>
      </w:r>
      <w:r w:rsidR="00F7042A" w:rsidRPr="00867E47">
        <w:rPr>
          <w:rFonts w:ascii="Arial" w:hAnsi="Arial" w:cs="Arial"/>
          <w:b/>
          <w:sz w:val="24"/>
          <w:szCs w:val="24"/>
        </w:rPr>
        <w:t>.</w:t>
      </w:r>
    </w:p>
    <w:p w:rsidR="00F7042A" w:rsidRPr="00867E47" w:rsidRDefault="00F7042A" w:rsidP="00F704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D22ED" w:rsidRPr="00867E47" w:rsidRDefault="006D22ED" w:rsidP="00F704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E47">
        <w:rPr>
          <w:rFonts w:ascii="Arial" w:hAnsi="Arial" w:cs="Arial"/>
          <w:b/>
          <w:sz w:val="24"/>
          <w:szCs w:val="24"/>
        </w:rPr>
        <w:t>Felülvizsgálatok - egyeztetések</w:t>
      </w:r>
    </w:p>
    <w:p w:rsidR="00E03983" w:rsidRPr="00867E47" w:rsidRDefault="00E03983" w:rsidP="007A5695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67E47" w:rsidRPr="00867E47">
        <w:tc>
          <w:tcPr>
            <w:tcW w:w="9959" w:type="dxa"/>
            <w:gridSpan w:val="4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67E47" w:rsidRPr="00867E47">
        <w:trPr>
          <w:trHeight w:val="422"/>
        </w:trPr>
        <w:tc>
          <w:tcPr>
            <w:tcW w:w="2303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67E47" w:rsidRPr="00AC0513">
        <w:trPr>
          <w:trHeight w:val="697"/>
        </w:trPr>
        <w:tc>
          <w:tcPr>
            <w:tcW w:w="2303" w:type="dxa"/>
          </w:tcPr>
          <w:p w:rsidR="000812FC" w:rsidRPr="00AC0513" w:rsidRDefault="00B45EB9" w:rsidP="002339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83" w:type="dxa"/>
          </w:tcPr>
          <w:p w:rsidR="000812FC" w:rsidRPr="00AC0513" w:rsidRDefault="000812FC" w:rsidP="00DC4F3D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hatósági osztályvezető</w:t>
            </w:r>
          </w:p>
        </w:tc>
        <w:tc>
          <w:tcPr>
            <w:tcW w:w="1843" w:type="dxa"/>
          </w:tcPr>
          <w:p w:rsidR="000812FC" w:rsidRPr="00AC0513" w:rsidRDefault="000812FC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0812FC" w:rsidRPr="00AC0513" w:rsidRDefault="000812FC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7E47" w:rsidRPr="00AC0513">
        <w:trPr>
          <w:trHeight w:val="697"/>
        </w:trPr>
        <w:tc>
          <w:tcPr>
            <w:tcW w:w="2303" w:type="dxa"/>
          </w:tcPr>
          <w:p w:rsidR="00363CAA" w:rsidRPr="00AC0513" w:rsidRDefault="00A25494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Pángerné Toplak Éva</w:t>
            </w:r>
          </w:p>
        </w:tc>
        <w:tc>
          <w:tcPr>
            <w:tcW w:w="2483" w:type="dxa"/>
          </w:tcPr>
          <w:p w:rsidR="00363CAA" w:rsidRPr="00AC0513" w:rsidRDefault="00A25494" w:rsidP="00DC4F3D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idegenforgalmi adóügyintéző</w:t>
            </w:r>
          </w:p>
        </w:tc>
        <w:tc>
          <w:tcPr>
            <w:tcW w:w="1843" w:type="dxa"/>
          </w:tcPr>
          <w:p w:rsidR="00363CAA" w:rsidRPr="00AC0513" w:rsidRDefault="00363CAA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363CAA" w:rsidRPr="00AC0513" w:rsidRDefault="00363CAA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7E47" w:rsidRPr="00AC0513">
        <w:trPr>
          <w:trHeight w:val="697"/>
        </w:trPr>
        <w:tc>
          <w:tcPr>
            <w:tcW w:w="2303" w:type="dxa"/>
          </w:tcPr>
          <w:p w:rsidR="00363CAA" w:rsidRPr="00AC0513" w:rsidRDefault="00A25494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Németh Hajnalka</w:t>
            </w:r>
          </w:p>
        </w:tc>
        <w:tc>
          <w:tcPr>
            <w:tcW w:w="2483" w:type="dxa"/>
          </w:tcPr>
          <w:p w:rsidR="00363CAA" w:rsidRPr="00AC0513" w:rsidRDefault="004C21F4" w:rsidP="00DC4F3D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iparűzési adó ügyintéző</w:t>
            </w:r>
          </w:p>
        </w:tc>
        <w:tc>
          <w:tcPr>
            <w:tcW w:w="1843" w:type="dxa"/>
          </w:tcPr>
          <w:p w:rsidR="00363CAA" w:rsidRPr="00AC0513" w:rsidRDefault="00363CAA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363CAA" w:rsidRPr="00AC0513" w:rsidRDefault="00363CAA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02207" w:rsidRPr="00AC0513">
        <w:trPr>
          <w:trHeight w:val="697"/>
        </w:trPr>
        <w:tc>
          <w:tcPr>
            <w:tcW w:w="2303" w:type="dxa"/>
          </w:tcPr>
          <w:p w:rsidR="00002207" w:rsidRPr="00002207" w:rsidRDefault="00002207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002207">
              <w:rPr>
                <w:rFonts w:ascii="Arial" w:hAnsi="Arial" w:cs="Arial"/>
              </w:rPr>
              <w:t>Strausz Nikolett</w:t>
            </w:r>
          </w:p>
        </w:tc>
        <w:tc>
          <w:tcPr>
            <w:tcW w:w="2483" w:type="dxa"/>
          </w:tcPr>
          <w:p w:rsidR="00002207" w:rsidRPr="00AC0513" w:rsidRDefault="00DC4F3D" w:rsidP="00DC4F3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adóügyi </w:t>
            </w:r>
            <w:r w:rsidR="00B0576B">
              <w:rPr>
                <w:rFonts w:ascii="Arial" w:hAnsi="Arial" w:cs="Arial"/>
              </w:rPr>
              <w:t>ügyintéző</w:t>
            </w:r>
          </w:p>
        </w:tc>
        <w:tc>
          <w:tcPr>
            <w:tcW w:w="1843" w:type="dxa"/>
          </w:tcPr>
          <w:p w:rsidR="00002207" w:rsidRPr="00AC0513" w:rsidRDefault="00002207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002207" w:rsidRPr="00AC0513" w:rsidRDefault="00002207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A5695" w:rsidRPr="00AC0513">
        <w:tc>
          <w:tcPr>
            <w:tcW w:w="2303" w:type="dxa"/>
          </w:tcPr>
          <w:p w:rsidR="007A5695" w:rsidRPr="00AC0513" w:rsidRDefault="007A5695" w:rsidP="00476DD3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7A5695" w:rsidRPr="00AC0513" w:rsidRDefault="007A5695" w:rsidP="00DC4F3D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 xml:space="preserve">törvényességi felülvizsgálat </w:t>
            </w:r>
          </w:p>
          <w:p w:rsidR="007A5695" w:rsidRPr="00AC0513" w:rsidRDefault="007A5695" w:rsidP="00DC4F3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7A5695" w:rsidRPr="00AC0513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7A5695" w:rsidRPr="00AC0513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A5695" w:rsidRPr="00AC0513" w:rsidRDefault="007A5695" w:rsidP="007A5695">
      <w:pPr>
        <w:jc w:val="center"/>
        <w:rPr>
          <w:rFonts w:ascii="Arial" w:hAnsi="Arial" w:cs="Arial"/>
        </w:rPr>
      </w:pPr>
    </w:p>
    <w:p w:rsidR="004F003C" w:rsidRPr="00867E47" w:rsidRDefault="004F003C" w:rsidP="00B42B93">
      <w:pPr>
        <w:ind w:left="360"/>
        <w:rPr>
          <w:rFonts w:ascii="Arial" w:hAnsi="Arial" w:cs="Arial"/>
        </w:rPr>
      </w:pPr>
    </w:p>
    <w:p w:rsidR="004F003C" w:rsidRPr="00867E47" w:rsidRDefault="004F003C" w:rsidP="00B42B93">
      <w:pPr>
        <w:ind w:left="360"/>
        <w:rPr>
          <w:rFonts w:ascii="Arial" w:hAnsi="Arial" w:cs="Arial"/>
        </w:rPr>
      </w:pPr>
    </w:p>
    <w:p w:rsidR="004F003C" w:rsidRPr="00867E47" w:rsidRDefault="004F003C" w:rsidP="00B42B93">
      <w:pPr>
        <w:ind w:left="360"/>
        <w:rPr>
          <w:rFonts w:ascii="Arial" w:hAnsi="Arial" w:cs="Arial"/>
        </w:rPr>
      </w:pPr>
    </w:p>
    <w:p w:rsidR="004F003C" w:rsidRPr="00867E47" w:rsidRDefault="004F003C" w:rsidP="00B42B93">
      <w:pPr>
        <w:ind w:left="360"/>
        <w:rPr>
          <w:rFonts w:ascii="Arial" w:hAnsi="Arial" w:cs="Arial"/>
        </w:rPr>
      </w:pPr>
    </w:p>
    <w:p w:rsidR="00EC17CA" w:rsidRPr="00867E47" w:rsidRDefault="00EC17CA" w:rsidP="00EC17CA">
      <w:pPr>
        <w:jc w:val="center"/>
        <w:rPr>
          <w:rFonts w:ascii="Arial" w:hAnsi="Arial" w:cs="Arial"/>
          <w:b/>
          <w:sz w:val="24"/>
          <w:szCs w:val="24"/>
        </w:rPr>
      </w:pPr>
    </w:p>
    <w:sectPr w:rsidR="00EC17CA" w:rsidRPr="00867E47" w:rsidSect="00E63E43">
      <w:footerReference w:type="even" r:id="rId16"/>
      <w:footerReference w:type="default" r:id="rId17"/>
      <w:headerReference w:type="first" r:id="rId18"/>
      <w:pgSz w:w="11906" w:h="16838" w:code="9"/>
      <w:pgMar w:top="907" w:right="1247" w:bottom="907" w:left="124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3F2" w:rsidRDefault="007553F2" w:rsidP="00980239">
      <w:pPr>
        <w:spacing w:after="0" w:line="240" w:lineRule="auto"/>
      </w:pPr>
      <w:r>
        <w:separator/>
      </w:r>
    </w:p>
  </w:endnote>
  <w:endnote w:type="continuationSeparator" w:id="0">
    <w:p w:rsidR="007553F2" w:rsidRDefault="007553F2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3F2" w:rsidRDefault="007553F2" w:rsidP="0008017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553F2" w:rsidRDefault="007553F2">
    <w:pPr>
      <w:pStyle w:val="llb"/>
    </w:pPr>
  </w:p>
  <w:p w:rsidR="007553F2" w:rsidRDefault="007553F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3F2" w:rsidRDefault="007553F2" w:rsidP="0008017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7553F2" w:rsidRDefault="007553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3F2" w:rsidRDefault="007553F2" w:rsidP="00980239">
      <w:pPr>
        <w:spacing w:after="0" w:line="240" w:lineRule="auto"/>
      </w:pPr>
      <w:r>
        <w:separator/>
      </w:r>
    </w:p>
  </w:footnote>
  <w:footnote w:type="continuationSeparator" w:id="0">
    <w:p w:rsidR="007553F2" w:rsidRDefault="007553F2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3F2" w:rsidRDefault="007553F2" w:rsidP="00B12CDF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750" cy="1257300"/>
          <wp:effectExtent l="0" t="0" r="0" b="0"/>
          <wp:wrapNone/>
          <wp:docPr id="1" name="Kép 1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53F2" w:rsidRDefault="007553F2" w:rsidP="00B12CDF">
    <w:pPr>
      <w:pStyle w:val="lfej"/>
      <w:tabs>
        <w:tab w:val="clear" w:pos="4536"/>
        <w:tab w:val="clear" w:pos="9072"/>
      </w:tabs>
    </w:pPr>
  </w:p>
  <w:p w:rsidR="007553F2" w:rsidRDefault="007553F2" w:rsidP="00B12CDF">
    <w:pPr>
      <w:pStyle w:val="lfej"/>
      <w:tabs>
        <w:tab w:val="clear" w:pos="4536"/>
        <w:tab w:val="clear" w:pos="9072"/>
      </w:tabs>
    </w:pPr>
  </w:p>
  <w:p w:rsidR="007553F2" w:rsidRDefault="007553F2" w:rsidP="00B12CDF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ext Box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53F2" w:rsidRPr="00C05199" w:rsidRDefault="007553F2" w:rsidP="00B12CDF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JEGYZŐJE</w:t>
                          </w:r>
                        </w:p>
                        <w:p w:rsidR="007553F2" w:rsidRDefault="007553F2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7553F2" w:rsidRDefault="007553F2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53F2" w:rsidRPr="00AB14F3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53F2" w:rsidRPr="00A101F2" w:rsidRDefault="007553F2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553F2" w:rsidRPr="00D15388" w:rsidRDefault="007553F2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53F2" w:rsidRPr="00D15388" w:rsidRDefault="007553F2" w:rsidP="00A101F2">
                                <w:pPr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553F2" w:rsidRDefault="007553F2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7553F2" w:rsidRPr="00763423" w:rsidRDefault="007553F2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1kEgQ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" stroked="f">
              <o:lock v:ext="edit" aspectratio="t"/>
              <v:textbox inset="0,0,0,0">
                <w:txbxContent>
                  <w:p w:rsidR="007553F2" w:rsidRPr="00C05199" w:rsidRDefault="007553F2" w:rsidP="00B12CDF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JEGYZŐJE</w:t>
                    </w:r>
                  </w:p>
                  <w:p w:rsidR="007553F2" w:rsidRDefault="007553F2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7553F2" w:rsidRDefault="007553F2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53F2" w:rsidRPr="00AB14F3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53F2" w:rsidRPr="00A101F2" w:rsidRDefault="007553F2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/>
                              <w:color w:val="808080"/>
                              <w:spacing w:val="6"/>
                            </w:rPr>
                          </w:pPr>
                        </w:p>
                        <w:p w:rsidR="007553F2" w:rsidRPr="00D15388" w:rsidRDefault="007553F2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7553F2" w:rsidRPr="00D15388" w:rsidRDefault="007553F2" w:rsidP="00A101F2">
                          <w:pPr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553F2" w:rsidRDefault="007553F2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7553F2" w:rsidRPr="00763423" w:rsidRDefault="007553F2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7553F2" w:rsidRDefault="007553F2" w:rsidP="00B12CDF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0FE3"/>
    <w:multiLevelType w:val="multilevel"/>
    <w:tmpl w:val="D6FE6C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" w15:restartNumberingAfterBreak="0">
    <w:nsid w:val="039A4B4F"/>
    <w:multiLevelType w:val="hybridMultilevel"/>
    <w:tmpl w:val="96D4E7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A9B"/>
    <w:multiLevelType w:val="hybridMultilevel"/>
    <w:tmpl w:val="A2066E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B33BE"/>
    <w:multiLevelType w:val="hybridMultilevel"/>
    <w:tmpl w:val="891207D2"/>
    <w:lvl w:ilvl="0" w:tplc="BE5AF8CE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0176FD3"/>
    <w:multiLevelType w:val="multilevel"/>
    <w:tmpl w:val="ACFCB6FA"/>
    <w:lvl w:ilvl="0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5" w15:restartNumberingAfterBreak="0">
    <w:nsid w:val="101F1EAE"/>
    <w:multiLevelType w:val="hybridMultilevel"/>
    <w:tmpl w:val="A636D4F0"/>
    <w:lvl w:ilvl="0" w:tplc="D736F21C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309A2"/>
    <w:multiLevelType w:val="hybridMultilevel"/>
    <w:tmpl w:val="EF3EA796"/>
    <w:lvl w:ilvl="0" w:tplc="E294FAB0">
      <w:start w:val="202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C7947"/>
    <w:multiLevelType w:val="hybridMultilevel"/>
    <w:tmpl w:val="67325AF0"/>
    <w:lvl w:ilvl="0" w:tplc="E294FAB0">
      <w:start w:val="202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80F94"/>
    <w:multiLevelType w:val="hybridMultilevel"/>
    <w:tmpl w:val="095C544A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20E56"/>
    <w:multiLevelType w:val="hybridMultilevel"/>
    <w:tmpl w:val="4A0E89FE"/>
    <w:lvl w:ilvl="0" w:tplc="6E7889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0219F"/>
    <w:multiLevelType w:val="hybridMultilevel"/>
    <w:tmpl w:val="EC8AF0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5209B"/>
    <w:multiLevelType w:val="hybridMultilevel"/>
    <w:tmpl w:val="6D48E8B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6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A18D6"/>
    <w:multiLevelType w:val="hybridMultilevel"/>
    <w:tmpl w:val="F0C8E9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05060"/>
    <w:multiLevelType w:val="hybridMultilevel"/>
    <w:tmpl w:val="F7F640E8"/>
    <w:lvl w:ilvl="0" w:tplc="C85CFC4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5C5FCC"/>
    <w:multiLevelType w:val="hybridMultilevel"/>
    <w:tmpl w:val="3D6A86E0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F77D7"/>
    <w:multiLevelType w:val="multilevel"/>
    <w:tmpl w:val="AB100C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CA6639B"/>
    <w:multiLevelType w:val="multilevel"/>
    <w:tmpl w:val="191A49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0BC1DCA"/>
    <w:multiLevelType w:val="hybridMultilevel"/>
    <w:tmpl w:val="A732A4FA"/>
    <w:lvl w:ilvl="0" w:tplc="65A023B8">
      <w:start w:val="202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2988"/>
    <w:multiLevelType w:val="hybridMultilevel"/>
    <w:tmpl w:val="8C6A4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A224B2"/>
    <w:multiLevelType w:val="multilevel"/>
    <w:tmpl w:val="07AA4A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4A851828"/>
    <w:multiLevelType w:val="multilevel"/>
    <w:tmpl w:val="90360B6E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CE4785"/>
    <w:multiLevelType w:val="hybridMultilevel"/>
    <w:tmpl w:val="06A8A3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1F6E"/>
    <w:multiLevelType w:val="multilevel"/>
    <w:tmpl w:val="DECCB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3" w15:restartNumberingAfterBreak="0">
    <w:nsid w:val="5A374440"/>
    <w:multiLevelType w:val="multilevel"/>
    <w:tmpl w:val="ACFCB6FA"/>
    <w:lvl w:ilvl="0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24" w15:restartNumberingAfterBreak="0">
    <w:nsid w:val="5BE06C5F"/>
    <w:multiLevelType w:val="hybridMultilevel"/>
    <w:tmpl w:val="8CD06C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42A8B"/>
    <w:multiLevelType w:val="hybridMultilevel"/>
    <w:tmpl w:val="1AE401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B15E1"/>
    <w:multiLevelType w:val="hybridMultilevel"/>
    <w:tmpl w:val="9B269FD0"/>
    <w:lvl w:ilvl="0" w:tplc="4D6A456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B0F7D"/>
    <w:multiLevelType w:val="hybridMultilevel"/>
    <w:tmpl w:val="DB3C4FCE"/>
    <w:lvl w:ilvl="0" w:tplc="E294FAB0">
      <w:start w:val="202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82F65"/>
    <w:multiLevelType w:val="hybridMultilevel"/>
    <w:tmpl w:val="939090D8"/>
    <w:lvl w:ilvl="0" w:tplc="206AFA44">
      <w:start w:val="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BC32DE"/>
    <w:multiLevelType w:val="hybridMultilevel"/>
    <w:tmpl w:val="584A90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BD3747"/>
    <w:multiLevelType w:val="multilevel"/>
    <w:tmpl w:val="D7E295C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1" w15:restartNumberingAfterBreak="0">
    <w:nsid w:val="7AB0060C"/>
    <w:multiLevelType w:val="multilevel"/>
    <w:tmpl w:val="64E05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B53DC3"/>
    <w:multiLevelType w:val="hybridMultilevel"/>
    <w:tmpl w:val="373458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F5D78"/>
    <w:multiLevelType w:val="multilevel"/>
    <w:tmpl w:val="3AA6635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5E5CEA"/>
    <w:multiLevelType w:val="hybridMultilevel"/>
    <w:tmpl w:val="6B12EEFC"/>
    <w:lvl w:ilvl="0" w:tplc="E294FAB0">
      <w:start w:val="202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4"/>
  </w:num>
  <w:num w:numId="4">
    <w:abstractNumId w:val="16"/>
  </w:num>
  <w:num w:numId="5">
    <w:abstractNumId w:val="19"/>
  </w:num>
  <w:num w:numId="6">
    <w:abstractNumId w:val="9"/>
  </w:num>
  <w:num w:numId="7">
    <w:abstractNumId w:val="18"/>
  </w:num>
  <w:num w:numId="8">
    <w:abstractNumId w:val="21"/>
  </w:num>
  <w:num w:numId="9">
    <w:abstractNumId w:val="2"/>
  </w:num>
  <w:num w:numId="10">
    <w:abstractNumId w:val="26"/>
  </w:num>
  <w:num w:numId="11">
    <w:abstractNumId w:val="11"/>
  </w:num>
  <w:num w:numId="12">
    <w:abstractNumId w:val="14"/>
  </w:num>
  <w:num w:numId="13">
    <w:abstractNumId w:val="15"/>
  </w:num>
  <w:num w:numId="1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5"/>
  </w:num>
  <w:num w:numId="17">
    <w:abstractNumId w:val="5"/>
  </w:num>
  <w:num w:numId="18">
    <w:abstractNumId w:val="20"/>
  </w:num>
  <w:num w:numId="19">
    <w:abstractNumId w:val="33"/>
  </w:num>
  <w:num w:numId="20">
    <w:abstractNumId w:val="13"/>
  </w:num>
  <w:num w:numId="21">
    <w:abstractNumId w:val="26"/>
  </w:num>
  <w:num w:numId="22">
    <w:abstractNumId w:val="22"/>
  </w:num>
  <w:num w:numId="23">
    <w:abstractNumId w:val="0"/>
  </w:num>
  <w:num w:numId="24">
    <w:abstractNumId w:val="10"/>
  </w:num>
  <w:num w:numId="25">
    <w:abstractNumId w:val="12"/>
  </w:num>
  <w:num w:numId="26">
    <w:abstractNumId w:val="29"/>
  </w:num>
  <w:num w:numId="27">
    <w:abstractNumId w:val="6"/>
  </w:num>
  <w:num w:numId="28">
    <w:abstractNumId w:val="23"/>
  </w:num>
  <w:num w:numId="29">
    <w:abstractNumId w:val="17"/>
  </w:num>
  <w:num w:numId="30">
    <w:abstractNumId w:val="3"/>
  </w:num>
  <w:num w:numId="31">
    <w:abstractNumId w:val="24"/>
  </w:num>
  <w:num w:numId="32">
    <w:abstractNumId w:val="34"/>
  </w:num>
  <w:num w:numId="33">
    <w:abstractNumId w:val="27"/>
  </w:num>
  <w:num w:numId="34">
    <w:abstractNumId w:val="7"/>
  </w:num>
  <w:num w:numId="35">
    <w:abstractNumId w:val="31"/>
  </w:num>
  <w:num w:numId="36">
    <w:abstractNumId w:val="1"/>
  </w:num>
  <w:num w:numId="37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014E"/>
    <w:rsid w:val="00002207"/>
    <w:rsid w:val="00002F1F"/>
    <w:rsid w:val="00004D99"/>
    <w:rsid w:val="000066DB"/>
    <w:rsid w:val="00010EBB"/>
    <w:rsid w:val="00011EF7"/>
    <w:rsid w:val="0001430F"/>
    <w:rsid w:val="000145E7"/>
    <w:rsid w:val="0001485D"/>
    <w:rsid w:val="00015917"/>
    <w:rsid w:val="00015F74"/>
    <w:rsid w:val="000174EF"/>
    <w:rsid w:val="0002289E"/>
    <w:rsid w:val="000229C0"/>
    <w:rsid w:val="00023AC4"/>
    <w:rsid w:val="000241F8"/>
    <w:rsid w:val="000267B9"/>
    <w:rsid w:val="00035D9E"/>
    <w:rsid w:val="00036C0F"/>
    <w:rsid w:val="00040599"/>
    <w:rsid w:val="00042B2A"/>
    <w:rsid w:val="000443EA"/>
    <w:rsid w:val="00046614"/>
    <w:rsid w:val="00046E13"/>
    <w:rsid w:val="00052F87"/>
    <w:rsid w:val="000542EE"/>
    <w:rsid w:val="00054B8A"/>
    <w:rsid w:val="000550DD"/>
    <w:rsid w:val="00056345"/>
    <w:rsid w:val="00056E5B"/>
    <w:rsid w:val="000575F8"/>
    <w:rsid w:val="00057FB7"/>
    <w:rsid w:val="00061317"/>
    <w:rsid w:val="00062E44"/>
    <w:rsid w:val="00065464"/>
    <w:rsid w:val="000660BC"/>
    <w:rsid w:val="0006724C"/>
    <w:rsid w:val="00067C84"/>
    <w:rsid w:val="00070BE7"/>
    <w:rsid w:val="00070E2B"/>
    <w:rsid w:val="000710C8"/>
    <w:rsid w:val="000730B1"/>
    <w:rsid w:val="00073719"/>
    <w:rsid w:val="00076910"/>
    <w:rsid w:val="00080171"/>
    <w:rsid w:val="000801EA"/>
    <w:rsid w:val="000804B3"/>
    <w:rsid w:val="000812FC"/>
    <w:rsid w:val="00081E2A"/>
    <w:rsid w:val="00083F6B"/>
    <w:rsid w:val="00085129"/>
    <w:rsid w:val="00085919"/>
    <w:rsid w:val="00087840"/>
    <w:rsid w:val="000878BA"/>
    <w:rsid w:val="000930E7"/>
    <w:rsid w:val="00095936"/>
    <w:rsid w:val="00095969"/>
    <w:rsid w:val="000969E2"/>
    <w:rsid w:val="00096B08"/>
    <w:rsid w:val="00096CEA"/>
    <w:rsid w:val="000A0B42"/>
    <w:rsid w:val="000A0CA6"/>
    <w:rsid w:val="000A1A87"/>
    <w:rsid w:val="000A3591"/>
    <w:rsid w:val="000A5CBB"/>
    <w:rsid w:val="000B05F1"/>
    <w:rsid w:val="000B07DC"/>
    <w:rsid w:val="000B0CB2"/>
    <w:rsid w:val="000B2296"/>
    <w:rsid w:val="000B3B3D"/>
    <w:rsid w:val="000B5999"/>
    <w:rsid w:val="000B638B"/>
    <w:rsid w:val="000C0C45"/>
    <w:rsid w:val="000C135C"/>
    <w:rsid w:val="000C22D8"/>
    <w:rsid w:val="000C64AD"/>
    <w:rsid w:val="000D2A6E"/>
    <w:rsid w:val="000D5866"/>
    <w:rsid w:val="000D6570"/>
    <w:rsid w:val="000E138D"/>
    <w:rsid w:val="000E2BA3"/>
    <w:rsid w:val="000E4C5D"/>
    <w:rsid w:val="000E5BA6"/>
    <w:rsid w:val="000E7C51"/>
    <w:rsid w:val="000F070E"/>
    <w:rsid w:val="000F190C"/>
    <w:rsid w:val="000F3457"/>
    <w:rsid w:val="000F753F"/>
    <w:rsid w:val="00100C93"/>
    <w:rsid w:val="001024FE"/>
    <w:rsid w:val="00104A07"/>
    <w:rsid w:val="00106F00"/>
    <w:rsid w:val="001078F9"/>
    <w:rsid w:val="00107986"/>
    <w:rsid w:val="001101F2"/>
    <w:rsid w:val="001122BD"/>
    <w:rsid w:val="00112AA4"/>
    <w:rsid w:val="00113C9E"/>
    <w:rsid w:val="00113CBB"/>
    <w:rsid w:val="001149A3"/>
    <w:rsid w:val="00114B5A"/>
    <w:rsid w:val="00117905"/>
    <w:rsid w:val="001234F3"/>
    <w:rsid w:val="00124B85"/>
    <w:rsid w:val="00125429"/>
    <w:rsid w:val="00126B56"/>
    <w:rsid w:val="001274F8"/>
    <w:rsid w:val="00127572"/>
    <w:rsid w:val="001312C5"/>
    <w:rsid w:val="0013372E"/>
    <w:rsid w:val="00133945"/>
    <w:rsid w:val="00133FB4"/>
    <w:rsid w:val="00134427"/>
    <w:rsid w:val="0013487C"/>
    <w:rsid w:val="00136334"/>
    <w:rsid w:val="001408ED"/>
    <w:rsid w:val="001410DC"/>
    <w:rsid w:val="00141493"/>
    <w:rsid w:val="001449C9"/>
    <w:rsid w:val="00150F54"/>
    <w:rsid w:val="00151E7D"/>
    <w:rsid w:val="00152328"/>
    <w:rsid w:val="001529EF"/>
    <w:rsid w:val="00154584"/>
    <w:rsid w:val="00155238"/>
    <w:rsid w:val="001557C6"/>
    <w:rsid w:val="0015722B"/>
    <w:rsid w:val="00157B65"/>
    <w:rsid w:val="00162823"/>
    <w:rsid w:val="0016436E"/>
    <w:rsid w:val="00165CD7"/>
    <w:rsid w:val="001668EB"/>
    <w:rsid w:val="0017067F"/>
    <w:rsid w:val="00171256"/>
    <w:rsid w:val="001728AE"/>
    <w:rsid w:val="001729A0"/>
    <w:rsid w:val="00174509"/>
    <w:rsid w:val="001805A0"/>
    <w:rsid w:val="001811FA"/>
    <w:rsid w:val="00181402"/>
    <w:rsid w:val="00183CC1"/>
    <w:rsid w:val="00184378"/>
    <w:rsid w:val="00185189"/>
    <w:rsid w:val="001871B5"/>
    <w:rsid w:val="00187CCB"/>
    <w:rsid w:val="00190441"/>
    <w:rsid w:val="00190DAB"/>
    <w:rsid w:val="00192550"/>
    <w:rsid w:val="001925F2"/>
    <w:rsid w:val="00193B15"/>
    <w:rsid w:val="00194223"/>
    <w:rsid w:val="00194B82"/>
    <w:rsid w:val="001970A4"/>
    <w:rsid w:val="001A0FA3"/>
    <w:rsid w:val="001A2530"/>
    <w:rsid w:val="001A5F13"/>
    <w:rsid w:val="001B108A"/>
    <w:rsid w:val="001B1145"/>
    <w:rsid w:val="001B2599"/>
    <w:rsid w:val="001B3060"/>
    <w:rsid w:val="001B35E5"/>
    <w:rsid w:val="001B374A"/>
    <w:rsid w:val="001B3C83"/>
    <w:rsid w:val="001C11DC"/>
    <w:rsid w:val="001C18D0"/>
    <w:rsid w:val="001C3DD0"/>
    <w:rsid w:val="001C4CAE"/>
    <w:rsid w:val="001C6557"/>
    <w:rsid w:val="001D009A"/>
    <w:rsid w:val="001D1128"/>
    <w:rsid w:val="001D2FEF"/>
    <w:rsid w:val="001D34E7"/>
    <w:rsid w:val="001D3734"/>
    <w:rsid w:val="001D3C25"/>
    <w:rsid w:val="001D45C7"/>
    <w:rsid w:val="001D751E"/>
    <w:rsid w:val="001E00D4"/>
    <w:rsid w:val="001E2B7D"/>
    <w:rsid w:val="001E32D4"/>
    <w:rsid w:val="001E460B"/>
    <w:rsid w:val="001E4A52"/>
    <w:rsid w:val="001E53F4"/>
    <w:rsid w:val="001E59C4"/>
    <w:rsid w:val="001E5EA2"/>
    <w:rsid w:val="001E6D84"/>
    <w:rsid w:val="001E77AA"/>
    <w:rsid w:val="001F05B8"/>
    <w:rsid w:val="001F2350"/>
    <w:rsid w:val="001F2428"/>
    <w:rsid w:val="0020008B"/>
    <w:rsid w:val="00201AA1"/>
    <w:rsid w:val="00202025"/>
    <w:rsid w:val="0020310B"/>
    <w:rsid w:val="00203500"/>
    <w:rsid w:val="00203C59"/>
    <w:rsid w:val="00203DDF"/>
    <w:rsid w:val="00203F1B"/>
    <w:rsid w:val="00204FAF"/>
    <w:rsid w:val="00205040"/>
    <w:rsid w:val="00205E44"/>
    <w:rsid w:val="0021072B"/>
    <w:rsid w:val="00214490"/>
    <w:rsid w:val="00220CA0"/>
    <w:rsid w:val="002211D2"/>
    <w:rsid w:val="002222E5"/>
    <w:rsid w:val="00222AC3"/>
    <w:rsid w:val="00222F9C"/>
    <w:rsid w:val="002232DB"/>
    <w:rsid w:val="00223A87"/>
    <w:rsid w:val="00224295"/>
    <w:rsid w:val="0022472D"/>
    <w:rsid w:val="00224B96"/>
    <w:rsid w:val="00224DAA"/>
    <w:rsid w:val="002266A2"/>
    <w:rsid w:val="00227CE7"/>
    <w:rsid w:val="002303CE"/>
    <w:rsid w:val="0023059D"/>
    <w:rsid w:val="002311B0"/>
    <w:rsid w:val="00233246"/>
    <w:rsid w:val="00233492"/>
    <w:rsid w:val="00233670"/>
    <w:rsid w:val="00233937"/>
    <w:rsid w:val="002339CB"/>
    <w:rsid w:val="00233AC1"/>
    <w:rsid w:val="002343AC"/>
    <w:rsid w:val="002346F8"/>
    <w:rsid w:val="00234FA2"/>
    <w:rsid w:val="00235A97"/>
    <w:rsid w:val="002361AF"/>
    <w:rsid w:val="0023721A"/>
    <w:rsid w:val="002410F7"/>
    <w:rsid w:val="00246584"/>
    <w:rsid w:val="00246B33"/>
    <w:rsid w:val="00246B3E"/>
    <w:rsid w:val="00250A8C"/>
    <w:rsid w:val="00251389"/>
    <w:rsid w:val="00253E43"/>
    <w:rsid w:val="00253F1D"/>
    <w:rsid w:val="00254F0D"/>
    <w:rsid w:val="002566B7"/>
    <w:rsid w:val="00257C78"/>
    <w:rsid w:val="0026024A"/>
    <w:rsid w:val="002605F5"/>
    <w:rsid w:val="00263FDA"/>
    <w:rsid w:val="00264046"/>
    <w:rsid w:val="00264A7E"/>
    <w:rsid w:val="002658C0"/>
    <w:rsid w:val="0026793D"/>
    <w:rsid w:val="00267CD8"/>
    <w:rsid w:val="00270FEC"/>
    <w:rsid w:val="002710F9"/>
    <w:rsid w:val="00271301"/>
    <w:rsid w:val="00271447"/>
    <w:rsid w:val="002719F5"/>
    <w:rsid w:val="00271BD0"/>
    <w:rsid w:val="00272531"/>
    <w:rsid w:val="00273AA1"/>
    <w:rsid w:val="002830E0"/>
    <w:rsid w:val="0028388D"/>
    <w:rsid w:val="00284834"/>
    <w:rsid w:val="00284A96"/>
    <w:rsid w:val="00285EC8"/>
    <w:rsid w:val="002860D4"/>
    <w:rsid w:val="00287240"/>
    <w:rsid w:val="0029175B"/>
    <w:rsid w:val="00293921"/>
    <w:rsid w:val="00294C84"/>
    <w:rsid w:val="00295741"/>
    <w:rsid w:val="002A36AE"/>
    <w:rsid w:val="002A4ECF"/>
    <w:rsid w:val="002A589C"/>
    <w:rsid w:val="002B076F"/>
    <w:rsid w:val="002B240F"/>
    <w:rsid w:val="002B286F"/>
    <w:rsid w:val="002B43B9"/>
    <w:rsid w:val="002B789F"/>
    <w:rsid w:val="002C1DC6"/>
    <w:rsid w:val="002C30E8"/>
    <w:rsid w:val="002C7472"/>
    <w:rsid w:val="002D015E"/>
    <w:rsid w:val="002D13A9"/>
    <w:rsid w:val="002D20D3"/>
    <w:rsid w:val="002D2D27"/>
    <w:rsid w:val="002D30F1"/>
    <w:rsid w:val="002D48E6"/>
    <w:rsid w:val="002D4BC8"/>
    <w:rsid w:val="002D6593"/>
    <w:rsid w:val="002D7842"/>
    <w:rsid w:val="002E1F3C"/>
    <w:rsid w:val="002E20CB"/>
    <w:rsid w:val="002E28A0"/>
    <w:rsid w:val="002E2C07"/>
    <w:rsid w:val="002E382B"/>
    <w:rsid w:val="002E46BB"/>
    <w:rsid w:val="002E5DA2"/>
    <w:rsid w:val="002E5E97"/>
    <w:rsid w:val="002E782A"/>
    <w:rsid w:val="002F1734"/>
    <w:rsid w:val="002F2A5F"/>
    <w:rsid w:val="002F4C75"/>
    <w:rsid w:val="002F5BF7"/>
    <w:rsid w:val="002F640C"/>
    <w:rsid w:val="002F6B2E"/>
    <w:rsid w:val="002F753E"/>
    <w:rsid w:val="002F7754"/>
    <w:rsid w:val="00300F02"/>
    <w:rsid w:val="00301B74"/>
    <w:rsid w:val="00301D08"/>
    <w:rsid w:val="0030569A"/>
    <w:rsid w:val="00305916"/>
    <w:rsid w:val="00305B4C"/>
    <w:rsid w:val="00305FB2"/>
    <w:rsid w:val="003064B0"/>
    <w:rsid w:val="003072C8"/>
    <w:rsid w:val="00310FAB"/>
    <w:rsid w:val="00311CFA"/>
    <w:rsid w:val="00312F56"/>
    <w:rsid w:val="00313F0B"/>
    <w:rsid w:val="00314078"/>
    <w:rsid w:val="003154D7"/>
    <w:rsid w:val="00316216"/>
    <w:rsid w:val="00316E5E"/>
    <w:rsid w:val="00316EE0"/>
    <w:rsid w:val="003205C7"/>
    <w:rsid w:val="00320C13"/>
    <w:rsid w:val="00321437"/>
    <w:rsid w:val="00321E50"/>
    <w:rsid w:val="00322C90"/>
    <w:rsid w:val="00323106"/>
    <w:rsid w:val="00326435"/>
    <w:rsid w:val="003275ED"/>
    <w:rsid w:val="00330729"/>
    <w:rsid w:val="00330E8F"/>
    <w:rsid w:val="0033152D"/>
    <w:rsid w:val="003315D9"/>
    <w:rsid w:val="003315DD"/>
    <w:rsid w:val="003337DE"/>
    <w:rsid w:val="00334062"/>
    <w:rsid w:val="00334504"/>
    <w:rsid w:val="00334FEB"/>
    <w:rsid w:val="003358A5"/>
    <w:rsid w:val="00336B04"/>
    <w:rsid w:val="00336F0D"/>
    <w:rsid w:val="00337052"/>
    <w:rsid w:val="00340B91"/>
    <w:rsid w:val="003413F1"/>
    <w:rsid w:val="003415C5"/>
    <w:rsid w:val="00341AD4"/>
    <w:rsid w:val="003439AA"/>
    <w:rsid w:val="003439EC"/>
    <w:rsid w:val="00344CEF"/>
    <w:rsid w:val="00345D98"/>
    <w:rsid w:val="00345EF9"/>
    <w:rsid w:val="003501E1"/>
    <w:rsid w:val="00350FD8"/>
    <w:rsid w:val="003541A8"/>
    <w:rsid w:val="0035452D"/>
    <w:rsid w:val="00354A1C"/>
    <w:rsid w:val="00355AE6"/>
    <w:rsid w:val="003571B9"/>
    <w:rsid w:val="003610B3"/>
    <w:rsid w:val="00361BEF"/>
    <w:rsid w:val="00363037"/>
    <w:rsid w:val="003635C0"/>
    <w:rsid w:val="00363963"/>
    <w:rsid w:val="00363C4C"/>
    <w:rsid w:val="00363CAA"/>
    <w:rsid w:val="00366CD9"/>
    <w:rsid w:val="00372231"/>
    <w:rsid w:val="003727F6"/>
    <w:rsid w:val="00372B12"/>
    <w:rsid w:val="00373EF5"/>
    <w:rsid w:val="0037659B"/>
    <w:rsid w:val="00376824"/>
    <w:rsid w:val="00377B85"/>
    <w:rsid w:val="00380396"/>
    <w:rsid w:val="003816EC"/>
    <w:rsid w:val="00382C40"/>
    <w:rsid w:val="003835A3"/>
    <w:rsid w:val="00385871"/>
    <w:rsid w:val="003864B0"/>
    <w:rsid w:val="0039063E"/>
    <w:rsid w:val="003909B6"/>
    <w:rsid w:val="00392AB1"/>
    <w:rsid w:val="0039792B"/>
    <w:rsid w:val="00397D06"/>
    <w:rsid w:val="003A06EF"/>
    <w:rsid w:val="003A0C2C"/>
    <w:rsid w:val="003A1770"/>
    <w:rsid w:val="003A1834"/>
    <w:rsid w:val="003A1AC4"/>
    <w:rsid w:val="003A7928"/>
    <w:rsid w:val="003B0E0D"/>
    <w:rsid w:val="003B16A1"/>
    <w:rsid w:val="003B401C"/>
    <w:rsid w:val="003B4638"/>
    <w:rsid w:val="003B4830"/>
    <w:rsid w:val="003B4F7E"/>
    <w:rsid w:val="003B5241"/>
    <w:rsid w:val="003B6806"/>
    <w:rsid w:val="003C33A3"/>
    <w:rsid w:val="003C7342"/>
    <w:rsid w:val="003C7E03"/>
    <w:rsid w:val="003D0B29"/>
    <w:rsid w:val="003D14F5"/>
    <w:rsid w:val="003D1965"/>
    <w:rsid w:val="003D22D3"/>
    <w:rsid w:val="003D2512"/>
    <w:rsid w:val="003D2BFD"/>
    <w:rsid w:val="003D3EFE"/>
    <w:rsid w:val="003D5C9B"/>
    <w:rsid w:val="003D6422"/>
    <w:rsid w:val="003D6464"/>
    <w:rsid w:val="003E2ED9"/>
    <w:rsid w:val="003E2F49"/>
    <w:rsid w:val="003E329B"/>
    <w:rsid w:val="003E4CE7"/>
    <w:rsid w:val="003E5685"/>
    <w:rsid w:val="003E6E14"/>
    <w:rsid w:val="003F1F72"/>
    <w:rsid w:val="003F349C"/>
    <w:rsid w:val="003F3728"/>
    <w:rsid w:val="003F4419"/>
    <w:rsid w:val="003F5EF4"/>
    <w:rsid w:val="003F7713"/>
    <w:rsid w:val="003F7C9C"/>
    <w:rsid w:val="004035AC"/>
    <w:rsid w:val="00404B69"/>
    <w:rsid w:val="00404CB2"/>
    <w:rsid w:val="004070E4"/>
    <w:rsid w:val="0040792D"/>
    <w:rsid w:val="0041379B"/>
    <w:rsid w:val="00415B63"/>
    <w:rsid w:val="004163BF"/>
    <w:rsid w:val="00416625"/>
    <w:rsid w:val="00416BC4"/>
    <w:rsid w:val="0041752E"/>
    <w:rsid w:val="00417A6E"/>
    <w:rsid w:val="00421778"/>
    <w:rsid w:val="004219A7"/>
    <w:rsid w:val="00421D30"/>
    <w:rsid w:val="0042251B"/>
    <w:rsid w:val="00423473"/>
    <w:rsid w:val="00424824"/>
    <w:rsid w:val="00425B50"/>
    <w:rsid w:val="004269B1"/>
    <w:rsid w:val="00427C16"/>
    <w:rsid w:val="00427FF7"/>
    <w:rsid w:val="00430653"/>
    <w:rsid w:val="00433A8D"/>
    <w:rsid w:val="0043409E"/>
    <w:rsid w:val="0043410F"/>
    <w:rsid w:val="00434CB9"/>
    <w:rsid w:val="0043571D"/>
    <w:rsid w:val="00435BC8"/>
    <w:rsid w:val="0043730F"/>
    <w:rsid w:val="004406A2"/>
    <w:rsid w:val="00442BE1"/>
    <w:rsid w:val="0044521B"/>
    <w:rsid w:val="004467F5"/>
    <w:rsid w:val="00446E47"/>
    <w:rsid w:val="00446FBC"/>
    <w:rsid w:val="00447105"/>
    <w:rsid w:val="0044715E"/>
    <w:rsid w:val="00447CC7"/>
    <w:rsid w:val="004538E0"/>
    <w:rsid w:val="00454601"/>
    <w:rsid w:val="00455198"/>
    <w:rsid w:val="00455841"/>
    <w:rsid w:val="004563DA"/>
    <w:rsid w:val="00456E18"/>
    <w:rsid w:val="0046246C"/>
    <w:rsid w:val="004630B0"/>
    <w:rsid w:val="004632BE"/>
    <w:rsid w:val="00463DE9"/>
    <w:rsid w:val="004643E5"/>
    <w:rsid w:val="00465B21"/>
    <w:rsid w:val="00467DAC"/>
    <w:rsid w:val="004740C0"/>
    <w:rsid w:val="00476DD3"/>
    <w:rsid w:val="00481E83"/>
    <w:rsid w:val="00482534"/>
    <w:rsid w:val="00483308"/>
    <w:rsid w:val="00483E9E"/>
    <w:rsid w:val="00484847"/>
    <w:rsid w:val="00484899"/>
    <w:rsid w:val="004873E7"/>
    <w:rsid w:val="00490B6E"/>
    <w:rsid w:val="004932EE"/>
    <w:rsid w:val="00493C37"/>
    <w:rsid w:val="00494555"/>
    <w:rsid w:val="0049484E"/>
    <w:rsid w:val="004956F5"/>
    <w:rsid w:val="00496C66"/>
    <w:rsid w:val="004A04E2"/>
    <w:rsid w:val="004A0503"/>
    <w:rsid w:val="004A3700"/>
    <w:rsid w:val="004B05F8"/>
    <w:rsid w:val="004B34DE"/>
    <w:rsid w:val="004B3870"/>
    <w:rsid w:val="004C125B"/>
    <w:rsid w:val="004C2166"/>
    <w:rsid w:val="004C21F4"/>
    <w:rsid w:val="004C3A0F"/>
    <w:rsid w:val="004C40FF"/>
    <w:rsid w:val="004C47AE"/>
    <w:rsid w:val="004C5C4B"/>
    <w:rsid w:val="004C6329"/>
    <w:rsid w:val="004D1381"/>
    <w:rsid w:val="004D4AE4"/>
    <w:rsid w:val="004D4BE5"/>
    <w:rsid w:val="004D4D8B"/>
    <w:rsid w:val="004D4F2E"/>
    <w:rsid w:val="004D56A5"/>
    <w:rsid w:val="004D5E66"/>
    <w:rsid w:val="004D699C"/>
    <w:rsid w:val="004D69EE"/>
    <w:rsid w:val="004D7143"/>
    <w:rsid w:val="004E0DEE"/>
    <w:rsid w:val="004E1A45"/>
    <w:rsid w:val="004E1A59"/>
    <w:rsid w:val="004E2778"/>
    <w:rsid w:val="004E27EE"/>
    <w:rsid w:val="004E3182"/>
    <w:rsid w:val="004E421E"/>
    <w:rsid w:val="004E4AA6"/>
    <w:rsid w:val="004E7993"/>
    <w:rsid w:val="004F003C"/>
    <w:rsid w:val="004F2B70"/>
    <w:rsid w:val="004F37C2"/>
    <w:rsid w:val="004F4B68"/>
    <w:rsid w:val="004F705E"/>
    <w:rsid w:val="004F761B"/>
    <w:rsid w:val="00501D93"/>
    <w:rsid w:val="0050204E"/>
    <w:rsid w:val="005025CF"/>
    <w:rsid w:val="0050344A"/>
    <w:rsid w:val="0050354A"/>
    <w:rsid w:val="00505F17"/>
    <w:rsid w:val="0050698C"/>
    <w:rsid w:val="00507982"/>
    <w:rsid w:val="005101BA"/>
    <w:rsid w:val="00510825"/>
    <w:rsid w:val="00515760"/>
    <w:rsid w:val="00517464"/>
    <w:rsid w:val="00520498"/>
    <w:rsid w:val="00520613"/>
    <w:rsid w:val="005219BC"/>
    <w:rsid w:val="00524660"/>
    <w:rsid w:val="0052542B"/>
    <w:rsid w:val="005254E7"/>
    <w:rsid w:val="0052586D"/>
    <w:rsid w:val="005263EC"/>
    <w:rsid w:val="00526985"/>
    <w:rsid w:val="00527774"/>
    <w:rsid w:val="0052787B"/>
    <w:rsid w:val="00527C58"/>
    <w:rsid w:val="00530B99"/>
    <w:rsid w:val="00530DF8"/>
    <w:rsid w:val="005349E2"/>
    <w:rsid w:val="00535DB8"/>
    <w:rsid w:val="00536752"/>
    <w:rsid w:val="0054315A"/>
    <w:rsid w:val="00546EBF"/>
    <w:rsid w:val="005477C3"/>
    <w:rsid w:val="005510AA"/>
    <w:rsid w:val="005539E0"/>
    <w:rsid w:val="00554343"/>
    <w:rsid w:val="00554B52"/>
    <w:rsid w:val="00555725"/>
    <w:rsid w:val="00555F70"/>
    <w:rsid w:val="00556083"/>
    <w:rsid w:val="00557692"/>
    <w:rsid w:val="005628C3"/>
    <w:rsid w:val="00562EED"/>
    <w:rsid w:val="00564F6B"/>
    <w:rsid w:val="00565994"/>
    <w:rsid w:val="00567512"/>
    <w:rsid w:val="00571A52"/>
    <w:rsid w:val="00571A68"/>
    <w:rsid w:val="00572ECF"/>
    <w:rsid w:val="00573C38"/>
    <w:rsid w:val="0057493C"/>
    <w:rsid w:val="00576470"/>
    <w:rsid w:val="00581F3E"/>
    <w:rsid w:val="005821CA"/>
    <w:rsid w:val="00582961"/>
    <w:rsid w:val="00582DB0"/>
    <w:rsid w:val="00583421"/>
    <w:rsid w:val="00583457"/>
    <w:rsid w:val="005851C0"/>
    <w:rsid w:val="00585DF0"/>
    <w:rsid w:val="00586684"/>
    <w:rsid w:val="00587AC7"/>
    <w:rsid w:val="0059067F"/>
    <w:rsid w:val="00590E62"/>
    <w:rsid w:val="005912AE"/>
    <w:rsid w:val="00592606"/>
    <w:rsid w:val="00592C56"/>
    <w:rsid w:val="0059349D"/>
    <w:rsid w:val="005944DE"/>
    <w:rsid w:val="005958C7"/>
    <w:rsid w:val="0059736F"/>
    <w:rsid w:val="005A0CB7"/>
    <w:rsid w:val="005A0F3A"/>
    <w:rsid w:val="005A18C5"/>
    <w:rsid w:val="005A32CA"/>
    <w:rsid w:val="005A4956"/>
    <w:rsid w:val="005A4A05"/>
    <w:rsid w:val="005A4B5C"/>
    <w:rsid w:val="005A5ACE"/>
    <w:rsid w:val="005A6AF5"/>
    <w:rsid w:val="005A7815"/>
    <w:rsid w:val="005A7DEF"/>
    <w:rsid w:val="005B2748"/>
    <w:rsid w:val="005B34CD"/>
    <w:rsid w:val="005B56DC"/>
    <w:rsid w:val="005B7635"/>
    <w:rsid w:val="005C144A"/>
    <w:rsid w:val="005C5527"/>
    <w:rsid w:val="005C6960"/>
    <w:rsid w:val="005D02AA"/>
    <w:rsid w:val="005D1106"/>
    <w:rsid w:val="005D231E"/>
    <w:rsid w:val="005D2532"/>
    <w:rsid w:val="005D3A98"/>
    <w:rsid w:val="005D44FA"/>
    <w:rsid w:val="005D4BCD"/>
    <w:rsid w:val="005D70AA"/>
    <w:rsid w:val="005E145E"/>
    <w:rsid w:val="005E3128"/>
    <w:rsid w:val="005E3988"/>
    <w:rsid w:val="005E5083"/>
    <w:rsid w:val="005E54AA"/>
    <w:rsid w:val="005E67D8"/>
    <w:rsid w:val="005E6A44"/>
    <w:rsid w:val="005E7441"/>
    <w:rsid w:val="005F051C"/>
    <w:rsid w:val="005F1647"/>
    <w:rsid w:val="005F1BAC"/>
    <w:rsid w:val="005F2CD3"/>
    <w:rsid w:val="005F4770"/>
    <w:rsid w:val="005F5282"/>
    <w:rsid w:val="005F5EBB"/>
    <w:rsid w:val="006017E2"/>
    <w:rsid w:val="00601809"/>
    <w:rsid w:val="00602606"/>
    <w:rsid w:val="00603995"/>
    <w:rsid w:val="0060591B"/>
    <w:rsid w:val="00605CFE"/>
    <w:rsid w:val="00605F48"/>
    <w:rsid w:val="0060731E"/>
    <w:rsid w:val="006073C3"/>
    <w:rsid w:val="006111F5"/>
    <w:rsid w:val="006112E4"/>
    <w:rsid w:val="00612861"/>
    <w:rsid w:val="0062074C"/>
    <w:rsid w:val="0062106E"/>
    <w:rsid w:val="006220AB"/>
    <w:rsid w:val="00622327"/>
    <w:rsid w:val="00624A95"/>
    <w:rsid w:val="00624CBE"/>
    <w:rsid w:val="00626241"/>
    <w:rsid w:val="00626A10"/>
    <w:rsid w:val="00627CB2"/>
    <w:rsid w:val="00631411"/>
    <w:rsid w:val="00632522"/>
    <w:rsid w:val="00633A53"/>
    <w:rsid w:val="006341B7"/>
    <w:rsid w:val="00637421"/>
    <w:rsid w:val="00637E00"/>
    <w:rsid w:val="0064283F"/>
    <w:rsid w:val="0064375F"/>
    <w:rsid w:val="00643A03"/>
    <w:rsid w:val="00643F7D"/>
    <w:rsid w:val="00644844"/>
    <w:rsid w:val="00644C3F"/>
    <w:rsid w:val="006471AD"/>
    <w:rsid w:val="006552B8"/>
    <w:rsid w:val="00655E7F"/>
    <w:rsid w:val="00657011"/>
    <w:rsid w:val="0065721C"/>
    <w:rsid w:val="00662300"/>
    <w:rsid w:val="00662918"/>
    <w:rsid w:val="00664269"/>
    <w:rsid w:val="00666A1B"/>
    <w:rsid w:val="00670425"/>
    <w:rsid w:val="00671041"/>
    <w:rsid w:val="0067323D"/>
    <w:rsid w:val="00673BA4"/>
    <w:rsid w:val="00674173"/>
    <w:rsid w:val="00677896"/>
    <w:rsid w:val="006833A9"/>
    <w:rsid w:val="006838F2"/>
    <w:rsid w:val="00684514"/>
    <w:rsid w:val="0068568C"/>
    <w:rsid w:val="00686FC2"/>
    <w:rsid w:val="0068781A"/>
    <w:rsid w:val="006908A6"/>
    <w:rsid w:val="006910C0"/>
    <w:rsid w:val="00691940"/>
    <w:rsid w:val="006923E5"/>
    <w:rsid w:val="00692F6D"/>
    <w:rsid w:val="00693687"/>
    <w:rsid w:val="006938D7"/>
    <w:rsid w:val="00694DB0"/>
    <w:rsid w:val="00696256"/>
    <w:rsid w:val="006976B8"/>
    <w:rsid w:val="00697BEB"/>
    <w:rsid w:val="006A1891"/>
    <w:rsid w:val="006A3F95"/>
    <w:rsid w:val="006A55A5"/>
    <w:rsid w:val="006A6031"/>
    <w:rsid w:val="006A769A"/>
    <w:rsid w:val="006B1542"/>
    <w:rsid w:val="006B15F9"/>
    <w:rsid w:val="006B1AF1"/>
    <w:rsid w:val="006B213D"/>
    <w:rsid w:val="006B24FC"/>
    <w:rsid w:val="006B3FCA"/>
    <w:rsid w:val="006C1FB8"/>
    <w:rsid w:val="006C2AAE"/>
    <w:rsid w:val="006C4C08"/>
    <w:rsid w:val="006C4F87"/>
    <w:rsid w:val="006C5A42"/>
    <w:rsid w:val="006C6020"/>
    <w:rsid w:val="006C74B5"/>
    <w:rsid w:val="006D03BD"/>
    <w:rsid w:val="006D0C2A"/>
    <w:rsid w:val="006D22ED"/>
    <w:rsid w:val="006D26AD"/>
    <w:rsid w:val="006D2CE0"/>
    <w:rsid w:val="006D356B"/>
    <w:rsid w:val="006D381C"/>
    <w:rsid w:val="006D533A"/>
    <w:rsid w:val="006E3672"/>
    <w:rsid w:val="006E395B"/>
    <w:rsid w:val="006E3F83"/>
    <w:rsid w:val="006E4422"/>
    <w:rsid w:val="006E56DF"/>
    <w:rsid w:val="006F0A60"/>
    <w:rsid w:val="006F1727"/>
    <w:rsid w:val="006F5BC3"/>
    <w:rsid w:val="00700097"/>
    <w:rsid w:val="00700F49"/>
    <w:rsid w:val="007013DE"/>
    <w:rsid w:val="007015D6"/>
    <w:rsid w:val="007027A9"/>
    <w:rsid w:val="00702D22"/>
    <w:rsid w:val="00703463"/>
    <w:rsid w:val="007110E1"/>
    <w:rsid w:val="007111E6"/>
    <w:rsid w:val="00712065"/>
    <w:rsid w:val="00712B37"/>
    <w:rsid w:val="00712DC0"/>
    <w:rsid w:val="00716671"/>
    <w:rsid w:val="00716D24"/>
    <w:rsid w:val="00720021"/>
    <w:rsid w:val="00720FB6"/>
    <w:rsid w:val="00723C3E"/>
    <w:rsid w:val="00724786"/>
    <w:rsid w:val="00724AC6"/>
    <w:rsid w:val="007263C8"/>
    <w:rsid w:val="00726C57"/>
    <w:rsid w:val="00726E54"/>
    <w:rsid w:val="00731291"/>
    <w:rsid w:val="007314F3"/>
    <w:rsid w:val="00732456"/>
    <w:rsid w:val="00735D46"/>
    <w:rsid w:val="007364EB"/>
    <w:rsid w:val="00737931"/>
    <w:rsid w:val="007422F8"/>
    <w:rsid w:val="00743209"/>
    <w:rsid w:val="00743668"/>
    <w:rsid w:val="00743B3C"/>
    <w:rsid w:val="0074435B"/>
    <w:rsid w:val="00744713"/>
    <w:rsid w:val="007502D3"/>
    <w:rsid w:val="00751699"/>
    <w:rsid w:val="007526A0"/>
    <w:rsid w:val="007553F2"/>
    <w:rsid w:val="00756B05"/>
    <w:rsid w:val="00756EEB"/>
    <w:rsid w:val="0075754A"/>
    <w:rsid w:val="00760654"/>
    <w:rsid w:val="00761814"/>
    <w:rsid w:val="007627DA"/>
    <w:rsid w:val="00762A6A"/>
    <w:rsid w:val="00762B24"/>
    <w:rsid w:val="00762D6A"/>
    <w:rsid w:val="00763423"/>
    <w:rsid w:val="00766746"/>
    <w:rsid w:val="00766D0B"/>
    <w:rsid w:val="00770339"/>
    <w:rsid w:val="00770D57"/>
    <w:rsid w:val="00771AD4"/>
    <w:rsid w:val="00772B13"/>
    <w:rsid w:val="00772B79"/>
    <w:rsid w:val="00774624"/>
    <w:rsid w:val="00775173"/>
    <w:rsid w:val="007779BD"/>
    <w:rsid w:val="00781BEE"/>
    <w:rsid w:val="00781CFE"/>
    <w:rsid w:val="00782CC6"/>
    <w:rsid w:val="00785135"/>
    <w:rsid w:val="00786E79"/>
    <w:rsid w:val="007874CC"/>
    <w:rsid w:val="007907A0"/>
    <w:rsid w:val="007907F8"/>
    <w:rsid w:val="0079094F"/>
    <w:rsid w:val="00795985"/>
    <w:rsid w:val="00795C7D"/>
    <w:rsid w:val="00795CCB"/>
    <w:rsid w:val="007A1B50"/>
    <w:rsid w:val="007A37E1"/>
    <w:rsid w:val="007A4193"/>
    <w:rsid w:val="007A5695"/>
    <w:rsid w:val="007A7585"/>
    <w:rsid w:val="007A7944"/>
    <w:rsid w:val="007B160E"/>
    <w:rsid w:val="007B1BBC"/>
    <w:rsid w:val="007B2C40"/>
    <w:rsid w:val="007B6CC4"/>
    <w:rsid w:val="007C164B"/>
    <w:rsid w:val="007C289A"/>
    <w:rsid w:val="007C44C0"/>
    <w:rsid w:val="007C55BF"/>
    <w:rsid w:val="007C6387"/>
    <w:rsid w:val="007D20F6"/>
    <w:rsid w:val="007D38F4"/>
    <w:rsid w:val="007D41EC"/>
    <w:rsid w:val="007D44A1"/>
    <w:rsid w:val="007D4E5E"/>
    <w:rsid w:val="007D4E68"/>
    <w:rsid w:val="007D5093"/>
    <w:rsid w:val="007E0CA8"/>
    <w:rsid w:val="007E4A63"/>
    <w:rsid w:val="007E5075"/>
    <w:rsid w:val="007E593D"/>
    <w:rsid w:val="007E5D68"/>
    <w:rsid w:val="007E63E9"/>
    <w:rsid w:val="007E69F5"/>
    <w:rsid w:val="007E6A63"/>
    <w:rsid w:val="007F01AB"/>
    <w:rsid w:val="007F1B6C"/>
    <w:rsid w:val="007F33D2"/>
    <w:rsid w:val="00801661"/>
    <w:rsid w:val="008029BE"/>
    <w:rsid w:val="00805C59"/>
    <w:rsid w:val="00806BFA"/>
    <w:rsid w:val="008110C9"/>
    <w:rsid w:val="0081117C"/>
    <w:rsid w:val="008111B2"/>
    <w:rsid w:val="0081273A"/>
    <w:rsid w:val="008132C6"/>
    <w:rsid w:val="008135AC"/>
    <w:rsid w:val="00813FC2"/>
    <w:rsid w:val="00814BFB"/>
    <w:rsid w:val="00815F57"/>
    <w:rsid w:val="00820A34"/>
    <w:rsid w:val="00821EB1"/>
    <w:rsid w:val="00822C61"/>
    <w:rsid w:val="00823B77"/>
    <w:rsid w:val="00824411"/>
    <w:rsid w:val="008244EB"/>
    <w:rsid w:val="00824F19"/>
    <w:rsid w:val="0082580C"/>
    <w:rsid w:val="0082652A"/>
    <w:rsid w:val="00836D9B"/>
    <w:rsid w:val="008415CA"/>
    <w:rsid w:val="0084185B"/>
    <w:rsid w:val="008441C3"/>
    <w:rsid w:val="00844886"/>
    <w:rsid w:val="008456A6"/>
    <w:rsid w:val="00846802"/>
    <w:rsid w:val="00850780"/>
    <w:rsid w:val="00850CC7"/>
    <w:rsid w:val="00851521"/>
    <w:rsid w:val="008529E7"/>
    <w:rsid w:val="00854513"/>
    <w:rsid w:val="00854726"/>
    <w:rsid w:val="008549E4"/>
    <w:rsid w:val="00857B4F"/>
    <w:rsid w:val="00860349"/>
    <w:rsid w:val="008606EF"/>
    <w:rsid w:val="00860D43"/>
    <w:rsid w:val="00860F6A"/>
    <w:rsid w:val="0086183C"/>
    <w:rsid w:val="00861CAB"/>
    <w:rsid w:val="00862443"/>
    <w:rsid w:val="0086373C"/>
    <w:rsid w:val="00864B3E"/>
    <w:rsid w:val="00865383"/>
    <w:rsid w:val="00866490"/>
    <w:rsid w:val="00866749"/>
    <w:rsid w:val="00866DB2"/>
    <w:rsid w:val="00867227"/>
    <w:rsid w:val="00867E47"/>
    <w:rsid w:val="00871057"/>
    <w:rsid w:val="008717B8"/>
    <w:rsid w:val="00871885"/>
    <w:rsid w:val="008815CC"/>
    <w:rsid w:val="00883655"/>
    <w:rsid w:val="00883778"/>
    <w:rsid w:val="00884E08"/>
    <w:rsid w:val="00885B29"/>
    <w:rsid w:val="00886B45"/>
    <w:rsid w:val="00887DB9"/>
    <w:rsid w:val="00887EC9"/>
    <w:rsid w:val="00890B45"/>
    <w:rsid w:val="0089182F"/>
    <w:rsid w:val="00891EDA"/>
    <w:rsid w:val="00892688"/>
    <w:rsid w:val="00895123"/>
    <w:rsid w:val="008962EF"/>
    <w:rsid w:val="008976D6"/>
    <w:rsid w:val="008A2A36"/>
    <w:rsid w:val="008A4413"/>
    <w:rsid w:val="008A522E"/>
    <w:rsid w:val="008A52E3"/>
    <w:rsid w:val="008A6E90"/>
    <w:rsid w:val="008B0B10"/>
    <w:rsid w:val="008B0D1E"/>
    <w:rsid w:val="008B1381"/>
    <w:rsid w:val="008B1488"/>
    <w:rsid w:val="008B4A96"/>
    <w:rsid w:val="008B5254"/>
    <w:rsid w:val="008B5D17"/>
    <w:rsid w:val="008B7912"/>
    <w:rsid w:val="008C020B"/>
    <w:rsid w:val="008C0E52"/>
    <w:rsid w:val="008C0FF4"/>
    <w:rsid w:val="008C1200"/>
    <w:rsid w:val="008C36B1"/>
    <w:rsid w:val="008C37C3"/>
    <w:rsid w:val="008C5149"/>
    <w:rsid w:val="008C6691"/>
    <w:rsid w:val="008C6892"/>
    <w:rsid w:val="008C7CEC"/>
    <w:rsid w:val="008D01B3"/>
    <w:rsid w:val="008D4BC9"/>
    <w:rsid w:val="008D50D8"/>
    <w:rsid w:val="008D6CF5"/>
    <w:rsid w:val="008E0A38"/>
    <w:rsid w:val="008E0D56"/>
    <w:rsid w:val="008E158C"/>
    <w:rsid w:val="008E41AD"/>
    <w:rsid w:val="008E46E6"/>
    <w:rsid w:val="008E50AF"/>
    <w:rsid w:val="008E6492"/>
    <w:rsid w:val="008E6AA7"/>
    <w:rsid w:val="008E6B86"/>
    <w:rsid w:val="008E7104"/>
    <w:rsid w:val="008F017B"/>
    <w:rsid w:val="008F033F"/>
    <w:rsid w:val="008F05EF"/>
    <w:rsid w:val="008F0B6B"/>
    <w:rsid w:val="008F377A"/>
    <w:rsid w:val="008F4B60"/>
    <w:rsid w:val="008F656F"/>
    <w:rsid w:val="009036D6"/>
    <w:rsid w:val="00904A94"/>
    <w:rsid w:val="00905D0E"/>
    <w:rsid w:val="009065D0"/>
    <w:rsid w:val="00906EB9"/>
    <w:rsid w:val="009072F6"/>
    <w:rsid w:val="00907553"/>
    <w:rsid w:val="00911205"/>
    <w:rsid w:val="00911A1F"/>
    <w:rsid w:val="00912590"/>
    <w:rsid w:val="009126C2"/>
    <w:rsid w:val="009137D8"/>
    <w:rsid w:val="00913F8D"/>
    <w:rsid w:val="0091545C"/>
    <w:rsid w:val="009162CF"/>
    <w:rsid w:val="00920033"/>
    <w:rsid w:val="00922DB8"/>
    <w:rsid w:val="009239CE"/>
    <w:rsid w:val="00924E29"/>
    <w:rsid w:val="00925FEF"/>
    <w:rsid w:val="00927A5C"/>
    <w:rsid w:val="00934518"/>
    <w:rsid w:val="00936FAE"/>
    <w:rsid w:val="0093760F"/>
    <w:rsid w:val="00940524"/>
    <w:rsid w:val="00941621"/>
    <w:rsid w:val="00941ACF"/>
    <w:rsid w:val="00941B72"/>
    <w:rsid w:val="00945911"/>
    <w:rsid w:val="00946175"/>
    <w:rsid w:val="00946343"/>
    <w:rsid w:val="0094714E"/>
    <w:rsid w:val="00952352"/>
    <w:rsid w:val="00956A08"/>
    <w:rsid w:val="00960596"/>
    <w:rsid w:val="00960B80"/>
    <w:rsid w:val="00961C49"/>
    <w:rsid w:val="00961F39"/>
    <w:rsid w:val="00963B1E"/>
    <w:rsid w:val="0096423F"/>
    <w:rsid w:val="00964724"/>
    <w:rsid w:val="009670E8"/>
    <w:rsid w:val="00967ED0"/>
    <w:rsid w:val="00971276"/>
    <w:rsid w:val="009715C9"/>
    <w:rsid w:val="00971838"/>
    <w:rsid w:val="00972562"/>
    <w:rsid w:val="00973809"/>
    <w:rsid w:val="00974398"/>
    <w:rsid w:val="00974D54"/>
    <w:rsid w:val="00975EF0"/>
    <w:rsid w:val="009775AC"/>
    <w:rsid w:val="00980239"/>
    <w:rsid w:val="00980F8A"/>
    <w:rsid w:val="00981F54"/>
    <w:rsid w:val="00982A19"/>
    <w:rsid w:val="00983127"/>
    <w:rsid w:val="00983B88"/>
    <w:rsid w:val="00983FD5"/>
    <w:rsid w:val="009849DD"/>
    <w:rsid w:val="009855FF"/>
    <w:rsid w:val="00985BE5"/>
    <w:rsid w:val="009903B7"/>
    <w:rsid w:val="009917C1"/>
    <w:rsid w:val="009922D7"/>
    <w:rsid w:val="00993349"/>
    <w:rsid w:val="009933F1"/>
    <w:rsid w:val="009940AD"/>
    <w:rsid w:val="009968C6"/>
    <w:rsid w:val="00996C49"/>
    <w:rsid w:val="009A3F49"/>
    <w:rsid w:val="009A4134"/>
    <w:rsid w:val="009A5B88"/>
    <w:rsid w:val="009A72DF"/>
    <w:rsid w:val="009B284F"/>
    <w:rsid w:val="009B3A61"/>
    <w:rsid w:val="009B4EE1"/>
    <w:rsid w:val="009B50C6"/>
    <w:rsid w:val="009B5665"/>
    <w:rsid w:val="009B5CEB"/>
    <w:rsid w:val="009B618F"/>
    <w:rsid w:val="009B61E2"/>
    <w:rsid w:val="009B6612"/>
    <w:rsid w:val="009B6B70"/>
    <w:rsid w:val="009B782D"/>
    <w:rsid w:val="009C0959"/>
    <w:rsid w:val="009C09B5"/>
    <w:rsid w:val="009C0AAD"/>
    <w:rsid w:val="009C15FC"/>
    <w:rsid w:val="009C18EB"/>
    <w:rsid w:val="009C5116"/>
    <w:rsid w:val="009C5B8C"/>
    <w:rsid w:val="009D0835"/>
    <w:rsid w:val="009D0B86"/>
    <w:rsid w:val="009D3080"/>
    <w:rsid w:val="009D3137"/>
    <w:rsid w:val="009E2E29"/>
    <w:rsid w:val="009E4198"/>
    <w:rsid w:val="009E4B8E"/>
    <w:rsid w:val="009E5644"/>
    <w:rsid w:val="009E5D44"/>
    <w:rsid w:val="009E5D92"/>
    <w:rsid w:val="009F01ED"/>
    <w:rsid w:val="009F0925"/>
    <w:rsid w:val="009F0D07"/>
    <w:rsid w:val="009F2871"/>
    <w:rsid w:val="009F6017"/>
    <w:rsid w:val="009F7765"/>
    <w:rsid w:val="009F7F0B"/>
    <w:rsid w:val="00A01574"/>
    <w:rsid w:val="00A02593"/>
    <w:rsid w:val="00A028A7"/>
    <w:rsid w:val="00A02FE1"/>
    <w:rsid w:val="00A032C4"/>
    <w:rsid w:val="00A04EA6"/>
    <w:rsid w:val="00A0521B"/>
    <w:rsid w:val="00A06459"/>
    <w:rsid w:val="00A07156"/>
    <w:rsid w:val="00A0729A"/>
    <w:rsid w:val="00A101F2"/>
    <w:rsid w:val="00A11EF7"/>
    <w:rsid w:val="00A128A5"/>
    <w:rsid w:val="00A12CC0"/>
    <w:rsid w:val="00A131B7"/>
    <w:rsid w:val="00A13CAF"/>
    <w:rsid w:val="00A141A0"/>
    <w:rsid w:val="00A145D5"/>
    <w:rsid w:val="00A1795E"/>
    <w:rsid w:val="00A20982"/>
    <w:rsid w:val="00A21B4B"/>
    <w:rsid w:val="00A23C5E"/>
    <w:rsid w:val="00A25494"/>
    <w:rsid w:val="00A257D3"/>
    <w:rsid w:val="00A26483"/>
    <w:rsid w:val="00A2795D"/>
    <w:rsid w:val="00A307AD"/>
    <w:rsid w:val="00A33858"/>
    <w:rsid w:val="00A33D06"/>
    <w:rsid w:val="00A33E2D"/>
    <w:rsid w:val="00A35BB7"/>
    <w:rsid w:val="00A360CD"/>
    <w:rsid w:val="00A3685C"/>
    <w:rsid w:val="00A37707"/>
    <w:rsid w:val="00A37B61"/>
    <w:rsid w:val="00A4229C"/>
    <w:rsid w:val="00A4398F"/>
    <w:rsid w:val="00A5159D"/>
    <w:rsid w:val="00A52FE6"/>
    <w:rsid w:val="00A547AA"/>
    <w:rsid w:val="00A54FCC"/>
    <w:rsid w:val="00A55050"/>
    <w:rsid w:val="00A55AC2"/>
    <w:rsid w:val="00A5780C"/>
    <w:rsid w:val="00A57D85"/>
    <w:rsid w:val="00A60FC5"/>
    <w:rsid w:val="00A628A2"/>
    <w:rsid w:val="00A66982"/>
    <w:rsid w:val="00A66B99"/>
    <w:rsid w:val="00A66DB3"/>
    <w:rsid w:val="00A70631"/>
    <w:rsid w:val="00A72B14"/>
    <w:rsid w:val="00A73E5C"/>
    <w:rsid w:val="00A74326"/>
    <w:rsid w:val="00A76B8E"/>
    <w:rsid w:val="00A82ECE"/>
    <w:rsid w:val="00A83674"/>
    <w:rsid w:val="00A84462"/>
    <w:rsid w:val="00A8453C"/>
    <w:rsid w:val="00A86B8E"/>
    <w:rsid w:val="00A87F6B"/>
    <w:rsid w:val="00A91602"/>
    <w:rsid w:val="00A917CA"/>
    <w:rsid w:val="00A91935"/>
    <w:rsid w:val="00A91F5A"/>
    <w:rsid w:val="00A91FF5"/>
    <w:rsid w:val="00A9448E"/>
    <w:rsid w:val="00A958FF"/>
    <w:rsid w:val="00AA14B4"/>
    <w:rsid w:val="00AA1655"/>
    <w:rsid w:val="00AA6499"/>
    <w:rsid w:val="00AA7145"/>
    <w:rsid w:val="00AB14F3"/>
    <w:rsid w:val="00AB2763"/>
    <w:rsid w:val="00AB384D"/>
    <w:rsid w:val="00AB4A62"/>
    <w:rsid w:val="00AB5899"/>
    <w:rsid w:val="00AB58AC"/>
    <w:rsid w:val="00AC0513"/>
    <w:rsid w:val="00AC2E3D"/>
    <w:rsid w:val="00AC3313"/>
    <w:rsid w:val="00AC34CF"/>
    <w:rsid w:val="00AC481D"/>
    <w:rsid w:val="00AC4D5A"/>
    <w:rsid w:val="00AC50A4"/>
    <w:rsid w:val="00AC654C"/>
    <w:rsid w:val="00AD1F21"/>
    <w:rsid w:val="00AD2352"/>
    <w:rsid w:val="00AD3150"/>
    <w:rsid w:val="00AD3476"/>
    <w:rsid w:val="00AD759D"/>
    <w:rsid w:val="00AD770C"/>
    <w:rsid w:val="00AE275D"/>
    <w:rsid w:val="00AE35AA"/>
    <w:rsid w:val="00AF168B"/>
    <w:rsid w:val="00AF310F"/>
    <w:rsid w:val="00AF3211"/>
    <w:rsid w:val="00AF3EC4"/>
    <w:rsid w:val="00AF42BB"/>
    <w:rsid w:val="00AF42BD"/>
    <w:rsid w:val="00AF49A7"/>
    <w:rsid w:val="00AF5621"/>
    <w:rsid w:val="00AF5839"/>
    <w:rsid w:val="00AF5D0B"/>
    <w:rsid w:val="00AF6416"/>
    <w:rsid w:val="00B00E34"/>
    <w:rsid w:val="00B0120E"/>
    <w:rsid w:val="00B01FD2"/>
    <w:rsid w:val="00B02F5A"/>
    <w:rsid w:val="00B03B76"/>
    <w:rsid w:val="00B0443A"/>
    <w:rsid w:val="00B0566D"/>
    <w:rsid w:val="00B0576B"/>
    <w:rsid w:val="00B068C8"/>
    <w:rsid w:val="00B10024"/>
    <w:rsid w:val="00B114BE"/>
    <w:rsid w:val="00B11776"/>
    <w:rsid w:val="00B12CDF"/>
    <w:rsid w:val="00B14D67"/>
    <w:rsid w:val="00B14FBD"/>
    <w:rsid w:val="00B151E5"/>
    <w:rsid w:val="00B153C2"/>
    <w:rsid w:val="00B1697C"/>
    <w:rsid w:val="00B17CAB"/>
    <w:rsid w:val="00B22E2F"/>
    <w:rsid w:val="00B231FA"/>
    <w:rsid w:val="00B23998"/>
    <w:rsid w:val="00B23D5A"/>
    <w:rsid w:val="00B30FB7"/>
    <w:rsid w:val="00B32CE8"/>
    <w:rsid w:val="00B340E4"/>
    <w:rsid w:val="00B36B5B"/>
    <w:rsid w:val="00B40D4B"/>
    <w:rsid w:val="00B40FAE"/>
    <w:rsid w:val="00B417EA"/>
    <w:rsid w:val="00B42513"/>
    <w:rsid w:val="00B42B93"/>
    <w:rsid w:val="00B43967"/>
    <w:rsid w:val="00B45D52"/>
    <w:rsid w:val="00B45EB9"/>
    <w:rsid w:val="00B45EEA"/>
    <w:rsid w:val="00B45FCC"/>
    <w:rsid w:val="00B46719"/>
    <w:rsid w:val="00B46BC7"/>
    <w:rsid w:val="00B47029"/>
    <w:rsid w:val="00B5063B"/>
    <w:rsid w:val="00B51050"/>
    <w:rsid w:val="00B5146E"/>
    <w:rsid w:val="00B51EE9"/>
    <w:rsid w:val="00B52643"/>
    <w:rsid w:val="00B545C6"/>
    <w:rsid w:val="00B5468C"/>
    <w:rsid w:val="00B56193"/>
    <w:rsid w:val="00B57260"/>
    <w:rsid w:val="00B60948"/>
    <w:rsid w:val="00B60B7D"/>
    <w:rsid w:val="00B62135"/>
    <w:rsid w:val="00B62462"/>
    <w:rsid w:val="00B6248E"/>
    <w:rsid w:val="00B638A6"/>
    <w:rsid w:val="00B63EA4"/>
    <w:rsid w:val="00B64A66"/>
    <w:rsid w:val="00B654BC"/>
    <w:rsid w:val="00B6567E"/>
    <w:rsid w:val="00B659B1"/>
    <w:rsid w:val="00B70A24"/>
    <w:rsid w:val="00B7168F"/>
    <w:rsid w:val="00B718CC"/>
    <w:rsid w:val="00B774E9"/>
    <w:rsid w:val="00B776C3"/>
    <w:rsid w:val="00B818E7"/>
    <w:rsid w:val="00B82F3A"/>
    <w:rsid w:val="00B839F0"/>
    <w:rsid w:val="00B860C3"/>
    <w:rsid w:val="00B91ADF"/>
    <w:rsid w:val="00B92850"/>
    <w:rsid w:val="00B9412A"/>
    <w:rsid w:val="00B95C23"/>
    <w:rsid w:val="00B96242"/>
    <w:rsid w:val="00BA03D2"/>
    <w:rsid w:val="00BA4A1F"/>
    <w:rsid w:val="00BA510E"/>
    <w:rsid w:val="00BA55EF"/>
    <w:rsid w:val="00BA5BD4"/>
    <w:rsid w:val="00BB0335"/>
    <w:rsid w:val="00BB3CD1"/>
    <w:rsid w:val="00BB3EC7"/>
    <w:rsid w:val="00BB443F"/>
    <w:rsid w:val="00BB5E3F"/>
    <w:rsid w:val="00BB6445"/>
    <w:rsid w:val="00BB69A7"/>
    <w:rsid w:val="00BB6EE0"/>
    <w:rsid w:val="00BB72F5"/>
    <w:rsid w:val="00BB7DB2"/>
    <w:rsid w:val="00BC274E"/>
    <w:rsid w:val="00BC2C8D"/>
    <w:rsid w:val="00BC3769"/>
    <w:rsid w:val="00BC43A5"/>
    <w:rsid w:val="00BC70D6"/>
    <w:rsid w:val="00BC71FA"/>
    <w:rsid w:val="00BD373F"/>
    <w:rsid w:val="00BD4BD3"/>
    <w:rsid w:val="00BD4D1E"/>
    <w:rsid w:val="00BD6670"/>
    <w:rsid w:val="00BD7E0A"/>
    <w:rsid w:val="00BE10CE"/>
    <w:rsid w:val="00BE2005"/>
    <w:rsid w:val="00BE3D63"/>
    <w:rsid w:val="00BE61DA"/>
    <w:rsid w:val="00BF0077"/>
    <w:rsid w:val="00BF1CFD"/>
    <w:rsid w:val="00BF24E3"/>
    <w:rsid w:val="00BF3717"/>
    <w:rsid w:val="00BF3A06"/>
    <w:rsid w:val="00BF4C8D"/>
    <w:rsid w:val="00BF6143"/>
    <w:rsid w:val="00BF65BC"/>
    <w:rsid w:val="00BF6A0A"/>
    <w:rsid w:val="00BF75BD"/>
    <w:rsid w:val="00BF779B"/>
    <w:rsid w:val="00C00997"/>
    <w:rsid w:val="00C01445"/>
    <w:rsid w:val="00C019B0"/>
    <w:rsid w:val="00C01A30"/>
    <w:rsid w:val="00C02529"/>
    <w:rsid w:val="00C02D49"/>
    <w:rsid w:val="00C0325E"/>
    <w:rsid w:val="00C03A15"/>
    <w:rsid w:val="00C04242"/>
    <w:rsid w:val="00C04675"/>
    <w:rsid w:val="00C04A3B"/>
    <w:rsid w:val="00C04D3F"/>
    <w:rsid w:val="00C04FA9"/>
    <w:rsid w:val="00C05199"/>
    <w:rsid w:val="00C05216"/>
    <w:rsid w:val="00C0672B"/>
    <w:rsid w:val="00C06DA6"/>
    <w:rsid w:val="00C072C3"/>
    <w:rsid w:val="00C118CA"/>
    <w:rsid w:val="00C1382E"/>
    <w:rsid w:val="00C16205"/>
    <w:rsid w:val="00C21040"/>
    <w:rsid w:val="00C22189"/>
    <w:rsid w:val="00C23B3B"/>
    <w:rsid w:val="00C25742"/>
    <w:rsid w:val="00C269E2"/>
    <w:rsid w:val="00C26E7C"/>
    <w:rsid w:val="00C3046E"/>
    <w:rsid w:val="00C31D1C"/>
    <w:rsid w:val="00C32FFE"/>
    <w:rsid w:val="00C366CE"/>
    <w:rsid w:val="00C36FA4"/>
    <w:rsid w:val="00C42108"/>
    <w:rsid w:val="00C42C39"/>
    <w:rsid w:val="00C43E02"/>
    <w:rsid w:val="00C43F42"/>
    <w:rsid w:val="00C45561"/>
    <w:rsid w:val="00C45A49"/>
    <w:rsid w:val="00C479D8"/>
    <w:rsid w:val="00C5050C"/>
    <w:rsid w:val="00C5204E"/>
    <w:rsid w:val="00C520B7"/>
    <w:rsid w:val="00C5225B"/>
    <w:rsid w:val="00C52F90"/>
    <w:rsid w:val="00C5394A"/>
    <w:rsid w:val="00C54FA9"/>
    <w:rsid w:val="00C5627D"/>
    <w:rsid w:val="00C563EC"/>
    <w:rsid w:val="00C60C5D"/>
    <w:rsid w:val="00C60D01"/>
    <w:rsid w:val="00C60F2B"/>
    <w:rsid w:val="00C616AA"/>
    <w:rsid w:val="00C623BE"/>
    <w:rsid w:val="00C643B1"/>
    <w:rsid w:val="00C67F67"/>
    <w:rsid w:val="00C71974"/>
    <w:rsid w:val="00C71FF8"/>
    <w:rsid w:val="00C8011B"/>
    <w:rsid w:val="00C81C2D"/>
    <w:rsid w:val="00C82323"/>
    <w:rsid w:val="00C83BE9"/>
    <w:rsid w:val="00C83CA2"/>
    <w:rsid w:val="00C86AA8"/>
    <w:rsid w:val="00C86E2A"/>
    <w:rsid w:val="00C86E48"/>
    <w:rsid w:val="00C87FF3"/>
    <w:rsid w:val="00C9027A"/>
    <w:rsid w:val="00C90854"/>
    <w:rsid w:val="00C90A6B"/>
    <w:rsid w:val="00C90C8F"/>
    <w:rsid w:val="00C91785"/>
    <w:rsid w:val="00C932A9"/>
    <w:rsid w:val="00C93FC6"/>
    <w:rsid w:val="00C95C59"/>
    <w:rsid w:val="00C97B1F"/>
    <w:rsid w:val="00CA0EBD"/>
    <w:rsid w:val="00CA2D61"/>
    <w:rsid w:val="00CA2D67"/>
    <w:rsid w:val="00CA3901"/>
    <w:rsid w:val="00CA3A4B"/>
    <w:rsid w:val="00CA3F69"/>
    <w:rsid w:val="00CA5D6E"/>
    <w:rsid w:val="00CA61EA"/>
    <w:rsid w:val="00CB162A"/>
    <w:rsid w:val="00CB19DC"/>
    <w:rsid w:val="00CB1C33"/>
    <w:rsid w:val="00CB2E6A"/>
    <w:rsid w:val="00CB439E"/>
    <w:rsid w:val="00CB62DB"/>
    <w:rsid w:val="00CB6508"/>
    <w:rsid w:val="00CB6B81"/>
    <w:rsid w:val="00CB79E6"/>
    <w:rsid w:val="00CB7DFD"/>
    <w:rsid w:val="00CC0157"/>
    <w:rsid w:val="00CC0882"/>
    <w:rsid w:val="00CC1AFC"/>
    <w:rsid w:val="00CC306E"/>
    <w:rsid w:val="00CC496E"/>
    <w:rsid w:val="00CC4BD7"/>
    <w:rsid w:val="00CC503A"/>
    <w:rsid w:val="00CC5701"/>
    <w:rsid w:val="00CC5A82"/>
    <w:rsid w:val="00CC7862"/>
    <w:rsid w:val="00CD1114"/>
    <w:rsid w:val="00CD5E97"/>
    <w:rsid w:val="00CD6A41"/>
    <w:rsid w:val="00CD6E7F"/>
    <w:rsid w:val="00CD7184"/>
    <w:rsid w:val="00CE0049"/>
    <w:rsid w:val="00CE0AC7"/>
    <w:rsid w:val="00CE0F23"/>
    <w:rsid w:val="00CE1179"/>
    <w:rsid w:val="00CE141F"/>
    <w:rsid w:val="00CE6E5B"/>
    <w:rsid w:val="00CF1C6C"/>
    <w:rsid w:val="00CF3C06"/>
    <w:rsid w:val="00CF5CE9"/>
    <w:rsid w:val="00CF630C"/>
    <w:rsid w:val="00D01745"/>
    <w:rsid w:val="00D02808"/>
    <w:rsid w:val="00D03E98"/>
    <w:rsid w:val="00D05BCE"/>
    <w:rsid w:val="00D065B2"/>
    <w:rsid w:val="00D10705"/>
    <w:rsid w:val="00D14747"/>
    <w:rsid w:val="00D15388"/>
    <w:rsid w:val="00D15D42"/>
    <w:rsid w:val="00D17D48"/>
    <w:rsid w:val="00D20E67"/>
    <w:rsid w:val="00D216C5"/>
    <w:rsid w:val="00D21799"/>
    <w:rsid w:val="00D224A1"/>
    <w:rsid w:val="00D23855"/>
    <w:rsid w:val="00D2442E"/>
    <w:rsid w:val="00D2479B"/>
    <w:rsid w:val="00D2589F"/>
    <w:rsid w:val="00D308BF"/>
    <w:rsid w:val="00D312EE"/>
    <w:rsid w:val="00D328CE"/>
    <w:rsid w:val="00D33A5A"/>
    <w:rsid w:val="00D34209"/>
    <w:rsid w:val="00D36799"/>
    <w:rsid w:val="00D37494"/>
    <w:rsid w:val="00D37C2C"/>
    <w:rsid w:val="00D4255F"/>
    <w:rsid w:val="00D46377"/>
    <w:rsid w:val="00D50ACF"/>
    <w:rsid w:val="00D519D3"/>
    <w:rsid w:val="00D53242"/>
    <w:rsid w:val="00D54A4B"/>
    <w:rsid w:val="00D567B6"/>
    <w:rsid w:val="00D57C60"/>
    <w:rsid w:val="00D632DC"/>
    <w:rsid w:val="00D63B36"/>
    <w:rsid w:val="00D6423D"/>
    <w:rsid w:val="00D64CE4"/>
    <w:rsid w:val="00D65093"/>
    <w:rsid w:val="00D65870"/>
    <w:rsid w:val="00D67FF9"/>
    <w:rsid w:val="00D70B40"/>
    <w:rsid w:val="00D715A3"/>
    <w:rsid w:val="00D719D4"/>
    <w:rsid w:val="00D71C3D"/>
    <w:rsid w:val="00D72706"/>
    <w:rsid w:val="00D73566"/>
    <w:rsid w:val="00D73659"/>
    <w:rsid w:val="00D767B0"/>
    <w:rsid w:val="00D800B9"/>
    <w:rsid w:val="00D80AE2"/>
    <w:rsid w:val="00D83613"/>
    <w:rsid w:val="00D861C8"/>
    <w:rsid w:val="00D90E71"/>
    <w:rsid w:val="00DA0557"/>
    <w:rsid w:val="00DA2BC4"/>
    <w:rsid w:val="00DA3E24"/>
    <w:rsid w:val="00DA740B"/>
    <w:rsid w:val="00DB2F2B"/>
    <w:rsid w:val="00DB34A2"/>
    <w:rsid w:val="00DB7F90"/>
    <w:rsid w:val="00DC20C9"/>
    <w:rsid w:val="00DC2B1F"/>
    <w:rsid w:val="00DC3D50"/>
    <w:rsid w:val="00DC4F3D"/>
    <w:rsid w:val="00DD0D10"/>
    <w:rsid w:val="00DD1AD2"/>
    <w:rsid w:val="00DD1E0C"/>
    <w:rsid w:val="00DD2B7A"/>
    <w:rsid w:val="00DD6789"/>
    <w:rsid w:val="00DE0D97"/>
    <w:rsid w:val="00DE2206"/>
    <w:rsid w:val="00DE277E"/>
    <w:rsid w:val="00DE3080"/>
    <w:rsid w:val="00DE702B"/>
    <w:rsid w:val="00DF0811"/>
    <w:rsid w:val="00DF08B6"/>
    <w:rsid w:val="00DF123F"/>
    <w:rsid w:val="00DF1736"/>
    <w:rsid w:val="00DF24C8"/>
    <w:rsid w:val="00DF297C"/>
    <w:rsid w:val="00DF59EA"/>
    <w:rsid w:val="00DF59FE"/>
    <w:rsid w:val="00DF5F23"/>
    <w:rsid w:val="00DF7763"/>
    <w:rsid w:val="00E006B3"/>
    <w:rsid w:val="00E012A4"/>
    <w:rsid w:val="00E01EDD"/>
    <w:rsid w:val="00E03983"/>
    <w:rsid w:val="00E05566"/>
    <w:rsid w:val="00E0568D"/>
    <w:rsid w:val="00E06B90"/>
    <w:rsid w:val="00E070ED"/>
    <w:rsid w:val="00E16447"/>
    <w:rsid w:val="00E17E1E"/>
    <w:rsid w:val="00E20DE5"/>
    <w:rsid w:val="00E2663F"/>
    <w:rsid w:val="00E27217"/>
    <w:rsid w:val="00E27360"/>
    <w:rsid w:val="00E31EDF"/>
    <w:rsid w:val="00E324B3"/>
    <w:rsid w:val="00E330CA"/>
    <w:rsid w:val="00E334B8"/>
    <w:rsid w:val="00E34331"/>
    <w:rsid w:val="00E35D39"/>
    <w:rsid w:val="00E3639C"/>
    <w:rsid w:val="00E37367"/>
    <w:rsid w:val="00E40359"/>
    <w:rsid w:val="00E4261F"/>
    <w:rsid w:val="00E4607D"/>
    <w:rsid w:val="00E47133"/>
    <w:rsid w:val="00E50514"/>
    <w:rsid w:val="00E50550"/>
    <w:rsid w:val="00E51724"/>
    <w:rsid w:val="00E533F1"/>
    <w:rsid w:val="00E56586"/>
    <w:rsid w:val="00E56CC5"/>
    <w:rsid w:val="00E57741"/>
    <w:rsid w:val="00E6080B"/>
    <w:rsid w:val="00E63E43"/>
    <w:rsid w:val="00E647BB"/>
    <w:rsid w:val="00E6487C"/>
    <w:rsid w:val="00E64ADA"/>
    <w:rsid w:val="00E65BEC"/>
    <w:rsid w:val="00E66C32"/>
    <w:rsid w:val="00E729AE"/>
    <w:rsid w:val="00E73A28"/>
    <w:rsid w:val="00E73E8A"/>
    <w:rsid w:val="00E744AE"/>
    <w:rsid w:val="00E766B5"/>
    <w:rsid w:val="00E76864"/>
    <w:rsid w:val="00E81B63"/>
    <w:rsid w:val="00E81D29"/>
    <w:rsid w:val="00E85B7B"/>
    <w:rsid w:val="00E90B4A"/>
    <w:rsid w:val="00E9139C"/>
    <w:rsid w:val="00E91DDD"/>
    <w:rsid w:val="00E92D39"/>
    <w:rsid w:val="00E95856"/>
    <w:rsid w:val="00E95BF5"/>
    <w:rsid w:val="00E968A0"/>
    <w:rsid w:val="00E9751F"/>
    <w:rsid w:val="00E975AE"/>
    <w:rsid w:val="00EA1333"/>
    <w:rsid w:val="00EA1CE6"/>
    <w:rsid w:val="00EA4208"/>
    <w:rsid w:val="00EA475A"/>
    <w:rsid w:val="00EA50A4"/>
    <w:rsid w:val="00EA59A4"/>
    <w:rsid w:val="00EA70BA"/>
    <w:rsid w:val="00EB0D77"/>
    <w:rsid w:val="00EB39EF"/>
    <w:rsid w:val="00EB4EB8"/>
    <w:rsid w:val="00EB5AF0"/>
    <w:rsid w:val="00EB7176"/>
    <w:rsid w:val="00EC17CA"/>
    <w:rsid w:val="00EC2FE2"/>
    <w:rsid w:val="00EC411A"/>
    <w:rsid w:val="00EC591D"/>
    <w:rsid w:val="00EC6203"/>
    <w:rsid w:val="00EC682F"/>
    <w:rsid w:val="00EC787E"/>
    <w:rsid w:val="00ED0774"/>
    <w:rsid w:val="00ED0D70"/>
    <w:rsid w:val="00ED0EC1"/>
    <w:rsid w:val="00ED1337"/>
    <w:rsid w:val="00ED2B37"/>
    <w:rsid w:val="00ED314A"/>
    <w:rsid w:val="00ED3DFE"/>
    <w:rsid w:val="00ED4236"/>
    <w:rsid w:val="00ED6AEE"/>
    <w:rsid w:val="00ED6B22"/>
    <w:rsid w:val="00ED7103"/>
    <w:rsid w:val="00ED766E"/>
    <w:rsid w:val="00ED7744"/>
    <w:rsid w:val="00ED785C"/>
    <w:rsid w:val="00EE10FC"/>
    <w:rsid w:val="00EE664C"/>
    <w:rsid w:val="00EE70D6"/>
    <w:rsid w:val="00EE7432"/>
    <w:rsid w:val="00EE752D"/>
    <w:rsid w:val="00EE7ACC"/>
    <w:rsid w:val="00EF09D7"/>
    <w:rsid w:val="00EF0F22"/>
    <w:rsid w:val="00EF1658"/>
    <w:rsid w:val="00EF2357"/>
    <w:rsid w:val="00EF2B64"/>
    <w:rsid w:val="00EF47ED"/>
    <w:rsid w:val="00EF4D8F"/>
    <w:rsid w:val="00EF60E6"/>
    <w:rsid w:val="00F024A7"/>
    <w:rsid w:val="00F033E3"/>
    <w:rsid w:val="00F04305"/>
    <w:rsid w:val="00F04D5F"/>
    <w:rsid w:val="00F04E47"/>
    <w:rsid w:val="00F05284"/>
    <w:rsid w:val="00F07241"/>
    <w:rsid w:val="00F114C2"/>
    <w:rsid w:val="00F117EF"/>
    <w:rsid w:val="00F11E7C"/>
    <w:rsid w:val="00F13AA3"/>
    <w:rsid w:val="00F1750F"/>
    <w:rsid w:val="00F2073A"/>
    <w:rsid w:val="00F2142D"/>
    <w:rsid w:val="00F21AFD"/>
    <w:rsid w:val="00F21E33"/>
    <w:rsid w:val="00F22DF9"/>
    <w:rsid w:val="00F24C05"/>
    <w:rsid w:val="00F25AB1"/>
    <w:rsid w:val="00F26987"/>
    <w:rsid w:val="00F30012"/>
    <w:rsid w:val="00F31BCB"/>
    <w:rsid w:val="00F36656"/>
    <w:rsid w:val="00F409E3"/>
    <w:rsid w:val="00F435D8"/>
    <w:rsid w:val="00F474E1"/>
    <w:rsid w:val="00F50400"/>
    <w:rsid w:val="00F541E0"/>
    <w:rsid w:val="00F55C2D"/>
    <w:rsid w:val="00F60FBF"/>
    <w:rsid w:val="00F612AA"/>
    <w:rsid w:val="00F63D92"/>
    <w:rsid w:val="00F64615"/>
    <w:rsid w:val="00F66A53"/>
    <w:rsid w:val="00F7042A"/>
    <w:rsid w:val="00F709AC"/>
    <w:rsid w:val="00F7198D"/>
    <w:rsid w:val="00F71CD6"/>
    <w:rsid w:val="00F74737"/>
    <w:rsid w:val="00F75F84"/>
    <w:rsid w:val="00F763ED"/>
    <w:rsid w:val="00F76875"/>
    <w:rsid w:val="00F77002"/>
    <w:rsid w:val="00F820C8"/>
    <w:rsid w:val="00F8256F"/>
    <w:rsid w:val="00F832B7"/>
    <w:rsid w:val="00F83C96"/>
    <w:rsid w:val="00F84598"/>
    <w:rsid w:val="00F85FFC"/>
    <w:rsid w:val="00F9162E"/>
    <w:rsid w:val="00F921C6"/>
    <w:rsid w:val="00F93502"/>
    <w:rsid w:val="00F944E5"/>
    <w:rsid w:val="00F97467"/>
    <w:rsid w:val="00FA008D"/>
    <w:rsid w:val="00FA2BBD"/>
    <w:rsid w:val="00FA33D8"/>
    <w:rsid w:val="00FA3704"/>
    <w:rsid w:val="00FA76B8"/>
    <w:rsid w:val="00FB08F7"/>
    <w:rsid w:val="00FB0978"/>
    <w:rsid w:val="00FB1C60"/>
    <w:rsid w:val="00FB1EC3"/>
    <w:rsid w:val="00FB3FE9"/>
    <w:rsid w:val="00FB6276"/>
    <w:rsid w:val="00FC26C7"/>
    <w:rsid w:val="00FC3C77"/>
    <w:rsid w:val="00FC428D"/>
    <w:rsid w:val="00FC50BA"/>
    <w:rsid w:val="00FC59A0"/>
    <w:rsid w:val="00FC628B"/>
    <w:rsid w:val="00FC64A8"/>
    <w:rsid w:val="00FC6D20"/>
    <w:rsid w:val="00FC7402"/>
    <w:rsid w:val="00FC74ED"/>
    <w:rsid w:val="00FD03B8"/>
    <w:rsid w:val="00FD1399"/>
    <w:rsid w:val="00FD570D"/>
    <w:rsid w:val="00FD7353"/>
    <w:rsid w:val="00FD7B48"/>
    <w:rsid w:val="00FE0D85"/>
    <w:rsid w:val="00FE24C8"/>
    <w:rsid w:val="00FE2A2D"/>
    <w:rsid w:val="00FF2B4B"/>
    <w:rsid w:val="00FF3ABB"/>
    <w:rsid w:val="00FF3B23"/>
    <w:rsid w:val="00FF4148"/>
    <w:rsid w:val="00FF4EB9"/>
    <w:rsid w:val="00FF5CD9"/>
    <w:rsid w:val="00FF5DE7"/>
    <w:rsid w:val="00FF713E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175B3D1"/>
  <w15:chartTrackingRefBased/>
  <w15:docId w15:val="{09DDA7EA-63CE-480D-8003-53F5C3B2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Default"/>
    <w:next w:val="Default"/>
    <w:qFormat/>
    <w:rsid w:val="007422F8"/>
    <w:pPr>
      <w:outlineLvl w:val="0"/>
    </w:pPr>
    <w:rPr>
      <w:color w:val="auto"/>
    </w:rPr>
  </w:style>
  <w:style w:type="paragraph" w:styleId="Cmsor2">
    <w:name w:val="heading 2"/>
    <w:basedOn w:val="Norml"/>
    <w:next w:val="Norml"/>
    <w:link w:val="Cmsor2Char"/>
    <w:uiPriority w:val="9"/>
    <w:qFormat/>
    <w:rsid w:val="00FA76B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rsid w:val="007422F8"/>
    <w:p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rsid w:val="007422F8"/>
    <w:p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rsid w:val="007422F8"/>
    <w:p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rsid w:val="007422F8"/>
    <w:p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rsid w:val="007422F8"/>
    <w:p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FF2B4B"/>
    <w:rPr>
      <w:color w:val="0000FF"/>
      <w:u w:val="single"/>
    </w:rPr>
  </w:style>
  <w:style w:type="paragraph" w:styleId="NormlWeb">
    <w:name w:val="Normal (Web)"/>
    <w:basedOn w:val="Norml"/>
    <w:uiPriority w:val="99"/>
    <w:rsid w:val="00B12C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Cm">
    <w:name w:val="Title"/>
    <w:basedOn w:val="Norml"/>
    <w:qFormat/>
    <w:rsid w:val="0070346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character" w:styleId="Oldalszm">
    <w:name w:val="page number"/>
    <w:basedOn w:val="Bekezdsalapbettpusa"/>
    <w:rsid w:val="006017E2"/>
  </w:style>
  <w:style w:type="paragraph" w:customStyle="1" w:styleId="Default">
    <w:name w:val="Default"/>
    <w:rsid w:val="007422F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zvegtrzs">
    <w:name w:val="Body Text"/>
    <w:basedOn w:val="Default"/>
    <w:next w:val="Default"/>
    <w:rsid w:val="007422F8"/>
    <w:rPr>
      <w:color w:val="auto"/>
    </w:rPr>
  </w:style>
  <w:style w:type="paragraph" w:styleId="Szvegtrzs2">
    <w:name w:val="Body Text 2"/>
    <w:basedOn w:val="Default"/>
    <w:next w:val="Default"/>
    <w:rsid w:val="007422F8"/>
    <w:rPr>
      <w:color w:val="auto"/>
    </w:rPr>
  </w:style>
  <w:style w:type="paragraph" w:styleId="Szvegtrzs3">
    <w:name w:val="Body Text 3"/>
    <w:basedOn w:val="Default"/>
    <w:next w:val="Default"/>
    <w:rsid w:val="007422F8"/>
    <w:rPr>
      <w:color w:val="auto"/>
    </w:rPr>
  </w:style>
  <w:style w:type="paragraph" w:styleId="Szvegtrzsbehzssal2">
    <w:name w:val="Body Text Indent 2"/>
    <w:basedOn w:val="Norml"/>
    <w:rsid w:val="007422F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behzssal">
    <w:name w:val="Body Text Indent"/>
    <w:basedOn w:val="Norml"/>
    <w:rsid w:val="007422F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0">
    <w:name w:val="Szövegtörzs_"/>
    <w:link w:val="Szvegtrzs30"/>
    <w:locked/>
    <w:rsid w:val="007422F8"/>
    <w:rPr>
      <w:sz w:val="23"/>
      <w:szCs w:val="23"/>
      <w:lang w:bidi="ar-SA"/>
    </w:rPr>
  </w:style>
  <w:style w:type="paragraph" w:customStyle="1" w:styleId="Szvegtrzs30">
    <w:name w:val="Szövegtörzs3"/>
    <w:basedOn w:val="Norml"/>
    <w:link w:val="Szvegtrzs0"/>
    <w:rsid w:val="007422F8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character" w:customStyle="1" w:styleId="Szvegtrzs1">
    <w:name w:val="Szövegtörzs1"/>
    <w:rsid w:val="007422F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hu-HU" w:eastAsia="hu-HU" w:bidi="ar-SA"/>
    </w:rPr>
  </w:style>
  <w:style w:type="character" w:customStyle="1" w:styleId="Szvegtrzs31">
    <w:name w:val="Szövegtörzs (3)_"/>
    <w:link w:val="Szvegtrzs310"/>
    <w:locked/>
    <w:rsid w:val="007422F8"/>
    <w:rPr>
      <w:i/>
      <w:iCs/>
      <w:sz w:val="23"/>
      <w:szCs w:val="23"/>
      <w:lang w:bidi="ar-SA"/>
    </w:rPr>
  </w:style>
  <w:style w:type="character" w:customStyle="1" w:styleId="Szvegtrzs32">
    <w:name w:val="Szövegtörzs (3)"/>
    <w:rsid w:val="007422F8"/>
    <w:rPr>
      <w:i/>
      <w:iCs/>
      <w:color w:val="000000"/>
      <w:spacing w:val="0"/>
      <w:w w:val="100"/>
      <w:position w:val="0"/>
      <w:sz w:val="23"/>
      <w:szCs w:val="23"/>
      <w:u w:val="single"/>
      <w:lang w:val="hu-HU" w:eastAsia="hu-HU" w:bidi="ar-SA"/>
    </w:rPr>
  </w:style>
  <w:style w:type="paragraph" w:customStyle="1" w:styleId="Szvegtrzs5">
    <w:name w:val="Szövegtörzs5"/>
    <w:basedOn w:val="Norml"/>
    <w:rsid w:val="007422F8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  <w:lang w:eastAsia="hu-HU"/>
    </w:rPr>
  </w:style>
  <w:style w:type="paragraph" w:customStyle="1" w:styleId="Szvegtrzs310">
    <w:name w:val="Szövegtörzs (3)1"/>
    <w:basedOn w:val="Norml"/>
    <w:link w:val="Szvegtrzs31"/>
    <w:rsid w:val="007422F8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character" w:customStyle="1" w:styleId="SzvegtrzsDlt">
    <w:name w:val="Szövegtörzs + Dőlt"/>
    <w:rsid w:val="007422F8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hu-HU" w:eastAsia="hu-HU" w:bidi="ar-SA"/>
    </w:rPr>
  </w:style>
  <w:style w:type="character" w:customStyle="1" w:styleId="Szvegtrzs4">
    <w:name w:val="Szövegtörzs (4)_"/>
    <w:link w:val="Szvegtrzs40"/>
    <w:locked/>
    <w:rsid w:val="007422F8"/>
    <w:rPr>
      <w:b/>
      <w:bCs/>
      <w:sz w:val="23"/>
      <w:szCs w:val="23"/>
      <w:lang w:bidi="ar-SA"/>
    </w:rPr>
  </w:style>
  <w:style w:type="paragraph" w:customStyle="1" w:styleId="Szvegtrzs40">
    <w:name w:val="Szövegtörzs (4)"/>
    <w:basedOn w:val="Norml"/>
    <w:link w:val="Szvegtrzs4"/>
    <w:rsid w:val="007422F8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character" w:customStyle="1" w:styleId="SzvegtrzsFlkvr">
    <w:name w:val="Szövegtörzs + Félkövér"/>
    <w:rsid w:val="007422F8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hu-HU" w:eastAsia="hu-HU" w:bidi="ar-SA"/>
    </w:rPr>
  </w:style>
  <w:style w:type="character" w:customStyle="1" w:styleId="Cmsor20">
    <w:name w:val="Címsor #2_"/>
    <w:link w:val="Cmsor21"/>
    <w:locked/>
    <w:rsid w:val="007422F8"/>
    <w:rPr>
      <w:b/>
      <w:bCs/>
      <w:sz w:val="23"/>
      <w:szCs w:val="23"/>
      <w:lang w:bidi="ar-SA"/>
    </w:rPr>
  </w:style>
  <w:style w:type="paragraph" w:customStyle="1" w:styleId="Cmsor21">
    <w:name w:val="Címsor #2"/>
    <w:basedOn w:val="Norml"/>
    <w:link w:val="Cmsor20"/>
    <w:rsid w:val="007422F8"/>
    <w:pPr>
      <w:widowControl w:val="0"/>
      <w:shd w:val="clear" w:color="auto" w:fill="FFFFFF"/>
      <w:spacing w:before="600" w:after="0" w:line="414" w:lineRule="exact"/>
      <w:outlineLvl w:val="1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rsid w:val="004D4D8B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sor11">
    <w:name w:val="Címsor 11"/>
    <w:next w:val="Norml1"/>
    <w:rsid w:val="004F2B70"/>
    <w:pPr>
      <w:keepNext/>
      <w:tabs>
        <w:tab w:val="left" w:pos="432"/>
      </w:tabs>
      <w:suppressAutoHyphens/>
      <w:ind w:left="432" w:hanging="432"/>
      <w:jc w:val="both"/>
      <w:outlineLvl w:val="0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FreeForm">
    <w:name w:val="Free Form"/>
    <w:rsid w:val="004F2B70"/>
    <w:rPr>
      <w:rFonts w:ascii="Times New Roman" w:eastAsia="Arial Unicode MS" w:hAnsi="Arial Unicode MS"/>
      <w:color w:val="000000"/>
    </w:rPr>
  </w:style>
  <w:style w:type="character" w:customStyle="1" w:styleId="Cmsor2Char">
    <w:name w:val="Címsor 2 Char"/>
    <w:link w:val="Cmsor2"/>
    <w:uiPriority w:val="9"/>
    <w:semiHidden/>
    <w:rsid w:val="00FA76B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Listaszerbekezds">
    <w:name w:val="List Paragraph"/>
    <w:aliases w:val="Számozott lista 1,Eszeri felsorolás,Welt L,Listaszerű bekezdés1,List Paragraph à moi,lista_2,Bullet_1,Színes lista – 1. jelölőszín1,Listaszerű bekezdés3,Bullet List,FooterText,numbered,Paragraphe de liste1,列出段落,列出段落1,List Paragraph"/>
    <w:basedOn w:val="Norml"/>
    <w:link w:val="ListaszerbekezdsChar"/>
    <w:uiPriority w:val="34"/>
    <w:qFormat/>
    <w:rsid w:val="009072F6"/>
    <w:pPr>
      <w:spacing w:after="160" w:line="259" w:lineRule="auto"/>
      <w:ind w:left="720"/>
      <w:contextualSpacing/>
    </w:pPr>
  </w:style>
  <w:style w:type="character" w:styleId="Kiemels2">
    <w:name w:val="Strong"/>
    <w:uiPriority w:val="22"/>
    <w:qFormat/>
    <w:rsid w:val="00011EF7"/>
    <w:rPr>
      <w:b/>
      <w:bCs/>
    </w:rPr>
  </w:style>
  <w:style w:type="character" w:customStyle="1" w:styleId="st">
    <w:name w:val="st"/>
    <w:basedOn w:val="Bekezdsalapbettpusa"/>
    <w:rsid w:val="00696256"/>
  </w:style>
  <w:style w:type="paragraph" w:customStyle="1" w:styleId="lead">
    <w:name w:val="lead"/>
    <w:basedOn w:val="Norml"/>
    <w:rsid w:val="00CE0A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035D9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Számozott lista 1 Char,Eszeri felsorolás Char,Welt L Char,Listaszerű bekezdés1 Char,List Paragraph à moi Char,lista_2 Char,Bullet_1 Char,Színes lista – 1. jelölőszín1 Char,Listaszerű bekezdés3 Char,Bullet List Char,numbered Char"/>
    <w:basedOn w:val="Bekezdsalapbettpusa"/>
    <w:link w:val="Listaszerbekezds"/>
    <w:uiPriority w:val="34"/>
    <w:qFormat/>
    <w:rsid w:val="00035D9E"/>
    <w:rPr>
      <w:sz w:val="22"/>
      <w:szCs w:val="22"/>
      <w:lang w:eastAsia="en-US"/>
    </w:rPr>
  </w:style>
  <w:style w:type="character" w:customStyle="1" w:styleId="markedcontent">
    <w:name w:val="markedcontent"/>
    <w:basedOn w:val="Bekezdsalapbettpusa"/>
    <w:rsid w:val="00C05216"/>
  </w:style>
  <w:style w:type="character" w:styleId="Kiemels">
    <w:name w:val="Emphasis"/>
    <w:basedOn w:val="Bekezdsalapbettpusa"/>
    <w:uiPriority w:val="20"/>
    <w:qFormat/>
    <w:rsid w:val="002E20CB"/>
    <w:rPr>
      <w:i/>
      <w:iCs/>
    </w:rPr>
  </w:style>
  <w:style w:type="character" w:styleId="Feloldatlanmegemlts">
    <w:name w:val="Unresolved Mention"/>
    <w:basedOn w:val="Bekezdsalapbettpusa"/>
    <w:uiPriority w:val="99"/>
    <w:semiHidden/>
    <w:unhideWhenUsed/>
    <w:rsid w:val="002640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69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2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hyperlink" Target="http://www.onkormanyzat.heviz.hu" TargetMode="Externa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Helyi adóbevételek aránya adónemenként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532B-4A71-AD03-EAAC8CD9B60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532B-4A71-AD03-EAAC8CD9B607}"/>
              </c:ext>
            </c:extLst>
          </c:dPt>
          <c:dPt>
            <c:idx val="2"/>
            <c:bubble3D val="0"/>
            <c:spPr>
              <a:solidFill>
                <a:srgbClr val="FFFF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532B-4A71-AD03-EAAC8CD9B60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532B-4A71-AD03-EAAC8CD9B60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9-532B-4A71-AD03-EAAC8CD9B607}"/>
              </c:ext>
            </c:extLst>
          </c:dPt>
          <c:dLbls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32B-4A71-AD03-EAAC8CD9B607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32B-4A71-AD03-EAAC8CD9B607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Munka1!$A$2:$A$6</c:f>
              <c:strCache>
                <c:ptCount val="5"/>
                <c:pt idx="0">
                  <c:v>Építményadó</c:v>
                </c:pt>
                <c:pt idx="1">
                  <c:v>Idegenforgalmi adó</c:v>
                </c:pt>
                <c:pt idx="2">
                  <c:v>Iparűzési adó</c:v>
                </c:pt>
                <c:pt idx="3">
                  <c:v> </c:v>
                </c:pt>
                <c:pt idx="4">
                  <c:v> </c:v>
                </c:pt>
              </c:strCache>
            </c:strRef>
          </c:cat>
          <c:val>
            <c:numRef>
              <c:f>Munka1!$B$2:$B$6</c:f>
              <c:numCache>
                <c:formatCode>0%</c:formatCode>
                <c:ptCount val="5"/>
                <c:pt idx="0">
                  <c:v>0.22</c:v>
                </c:pt>
                <c:pt idx="1">
                  <c:v>0.33</c:v>
                </c:pt>
                <c:pt idx="2">
                  <c:v>0.43</c:v>
                </c:pt>
                <c:pt idx="3" formatCode="0.00%">
                  <c:v>0</c:v>
                </c:pt>
                <c:pt idx="4" formatCode="0.00%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32B-4A71-AD03-EAAC8CD9B607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egendEntry>
        <c:idx val="4"/>
        <c:delete val="1"/>
      </c:legendEntry>
      <c:layout>
        <c:manualLayout>
          <c:xMode val="edge"/>
          <c:yMode val="edge"/>
          <c:x val="0.78442858705161855"/>
          <c:y val="0.42269749614631502"/>
          <c:w val="0.20168252405949255"/>
          <c:h val="0.3407427404907719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Iparűzési</a:t>
            </a:r>
            <a:r>
              <a:rPr lang="hu-HU" baseline="0"/>
              <a:t> adót fizető egyéni vállalkozások megoszlása 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Munka2!$A$2</c:f>
              <c:strCache>
                <c:ptCount val="1"/>
                <c:pt idx="0">
                  <c:v>egyéni vállalkozás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Munka2!$B$1:$C$1</c:f>
              <c:strCache>
                <c:ptCount val="2"/>
                <c:pt idx="0">
                  <c:v>2023. év</c:v>
                </c:pt>
                <c:pt idx="1">
                  <c:v>2022. év</c:v>
                </c:pt>
              </c:strCache>
            </c:strRef>
          </c:cat>
          <c:val>
            <c:numRef>
              <c:f>Munka2!$B$2:$C$2</c:f>
              <c:numCache>
                <c:formatCode>General</c:formatCode>
                <c:ptCount val="2"/>
                <c:pt idx="0">
                  <c:v>1048</c:v>
                </c:pt>
                <c:pt idx="1">
                  <c:v>1029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2A5-4DB5-9D12-98F804618C9D}"/>
            </c:ext>
          </c:extLst>
        </c:ser>
        <c:ser>
          <c:idx val="1"/>
          <c:order val="1"/>
          <c:tx>
            <c:strRef>
              <c:f>Munka2!$A$3</c:f>
              <c:strCache>
                <c:ptCount val="1"/>
                <c:pt idx="0">
                  <c:v>szüneteltetett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Munka2!$B$1:$C$1</c:f>
              <c:strCache>
                <c:ptCount val="2"/>
                <c:pt idx="0">
                  <c:v>2023. év</c:v>
                </c:pt>
                <c:pt idx="1">
                  <c:v>2022. év</c:v>
                </c:pt>
              </c:strCache>
            </c:strRef>
          </c:cat>
          <c:val>
            <c:numRef>
              <c:f>Munka2!$B$3:$C$3</c:f>
              <c:numCache>
                <c:formatCode>General</c:formatCode>
                <c:ptCount val="2"/>
                <c:pt idx="0">
                  <c:v>125</c:v>
                </c:pt>
                <c:pt idx="1">
                  <c:v>127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2A5-4DB5-9D12-98F804618C9D}"/>
            </c:ext>
          </c:extLst>
        </c:ser>
        <c:ser>
          <c:idx val="2"/>
          <c:order val="2"/>
          <c:tx>
            <c:strRef>
              <c:f>Munka2!$A$4</c:f>
              <c:strCache>
                <c:ptCount val="1"/>
                <c:pt idx="0">
                  <c:v>megszűnt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Munka2!$B$1:$C$1</c:f>
              <c:strCache>
                <c:ptCount val="2"/>
                <c:pt idx="0">
                  <c:v>2023. év</c:v>
                </c:pt>
                <c:pt idx="1">
                  <c:v>2022. év</c:v>
                </c:pt>
              </c:strCache>
            </c:strRef>
          </c:cat>
          <c:val>
            <c:numRef>
              <c:f>Munka2!$B$4:$C$4</c:f>
              <c:numCache>
                <c:formatCode>General</c:formatCode>
                <c:ptCount val="2"/>
                <c:pt idx="0">
                  <c:v>43</c:v>
                </c:pt>
                <c:pt idx="1">
                  <c:v>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2A5-4DB5-9D12-98F804618C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14415624"/>
        <c:axId val="414419560"/>
      </c:barChart>
      <c:catAx>
        <c:axId val="4144156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4419560"/>
        <c:crosses val="autoZero"/>
        <c:auto val="1"/>
        <c:lblAlgn val="ctr"/>
        <c:lblOffset val="100"/>
        <c:noMultiLvlLbl val="0"/>
      </c:catAx>
      <c:valAx>
        <c:axId val="4144195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4415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Ip</a:t>
            </a:r>
            <a:r>
              <a:rPr lang="hu-HU"/>
              <a:t>arűzési</a:t>
            </a:r>
            <a:r>
              <a:rPr lang="hu-HU" baseline="0"/>
              <a:t> adót fizető társas vállalkozások megoszlása</a:t>
            </a:r>
            <a:endParaRPr lang="en-US"/>
          </a:p>
        </c:rich>
      </c:tx>
      <c:layout>
        <c:manualLayout>
          <c:xMode val="edge"/>
          <c:yMode val="edge"/>
          <c:x val="0.14156933508311462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Munka1!$A$2</c:f>
              <c:strCache>
                <c:ptCount val="1"/>
                <c:pt idx="0">
                  <c:v>társas vállalkozás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Munka1!$B$1:$C$1</c:f>
              <c:strCache>
                <c:ptCount val="2"/>
                <c:pt idx="0">
                  <c:v>2023. év</c:v>
                </c:pt>
                <c:pt idx="1">
                  <c:v>2022. év</c:v>
                </c:pt>
              </c:strCache>
            </c:strRef>
          </c:cat>
          <c:val>
            <c:numRef>
              <c:f>Munka1!$B$2:$C$2</c:f>
              <c:numCache>
                <c:formatCode>General</c:formatCode>
                <c:ptCount val="2"/>
                <c:pt idx="0">
                  <c:v>1394</c:v>
                </c:pt>
                <c:pt idx="1">
                  <c:v>1332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72F-412A-93ED-B28D003D55BB}"/>
            </c:ext>
          </c:extLst>
        </c:ser>
        <c:ser>
          <c:idx val="1"/>
          <c:order val="1"/>
          <c:tx>
            <c:strRef>
              <c:f>Munka1!$A$3</c:f>
              <c:strCache>
                <c:ptCount val="1"/>
                <c:pt idx="0">
                  <c:v>felszámolás alatt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Munka1!$B$1:$C$1</c:f>
              <c:strCache>
                <c:ptCount val="2"/>
                <c:pt idx="0">
                  <c:v>2023. év</c:v>
                </c:pt>
                <c:pt idx="1">
                  <c:v>2022. év</c:v>
                </c:pt>
              </c:strCache>
            </c:strRef>
          </c:cat>
          <c:val>
            <c:numRef>
              <c:f>Munka1!$B$3:$C$3</c:f>
              <c:numCache>
                <c:formatCode>General</c:formatCode>
                <c:ptCount val="2"/>
                <c:pt idx="0">
                  <c:v>58</c:v>
                </c:pt>
                <c:pt idx="1">
                  <c:v>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72F-412A-93ED-B28D003D55BB}"/>
            </c:ext>
          </c:extLst>
        </c:ser>
        <c:ser>
          <c:idx val="2"/>
          <c:order val="2"/>
          <c:tx>
            <c:strRef>
              <c:f>Munka1!$A$4</c:f>
              <c:strCache>
                <c:ptCount val="1"/>
                <c:pt idx="0">
                  <c:v>csődeljárás alatt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Munka1!$B$1:$C$1</c:f>
              <c:strCache>
                <c:ptCount val="2"/>
                <c:pt idx="0">
                  <c:v>2023. év</c:v>
                </c:pt>
                <c:pt idx="1">
                  <c:v>2022. év</c:v>
                </c:pt>
              </c:strCache>
            </c:strRef>
          </c:cat>
          <c:val>
            <c:numRef>
              <c:f>Munka1!$B$4:$C$4</c:f>
              <c:numCache>
                <c:formatCode>General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72F-412A-93ED-B28D003D55BB}"/>
            </c:ext>
          </c:extLst>
        </c:ser>
        <c:ser>
          <c:idx val="3"/>
          <c:order val="3"/>
          <c:tx>
            <c:strRef>
              <c:f>Munka1!$A$5</c:f>
              <c:strCache>
                <c:ptCount val="1"/>
                <c:pt idx="0">
                  <c:v>végelszámolás alatt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Munka1!$B$1:$C$1</c:f>
              <c:strCache>
                <c:ptCount val="2"/>
                <c:pt idx="0">
                  <c:v>2023. év</c:v>
                </c:pt>
                <c:pt idx="1">
                  <c:v>2022. év</c:v>
                </c:pt>
              </c:strCache>
            </c:strRef>
          </c:cat>
          <c:val>
            <c:numRef>
              <c:f>Munka1!$B$5:$C$5</c:f>
              <c:numCache>
                <c:formatCode>General</c:formatCode>
                <c:ptCount val="2"/>
                <c:pt idx="0">
                  <c:v>36</c:v>
                </c:pt>
                <c:pt idx="1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72F-412A-93ED-B28D003D55BB}"/>
            </c:ext>
          </c:extLst>
        </c:ser>
        <c:ser>
          <c:idx val="4"/>
          <c:order val="4"/>
          <c:tx>
            <c:strRef>
              <c:f>Munka1!$A$6</c:f>
              <c:strCache>
                <c:ptCount val="1"/>
                <c:pt idx="0">
                  <c:v>kényszertörlés alatt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Munka1!$B$1:$C$1</c:f>
              <c:strCache>
                <c:ptCount val="2"/>
                <c:pt idx="0">
                  <c:v>2023. év</c:v>
                </c:pt>
                <c:pt idx="1">
                  <c:v>2022. év</c:v>
                </c:pt>
              </c:strCache>
            </c:strRef>
          </c:cat>
          <c:val>
            <c:numRef>
              <c:f>Munka1!$B$6:$C$6</c:f>
              <c:numCache>
                <c:formatCode>General</c:formatCode>
                <c:ptCount val="2"/>
                <c:pt idx="0">
                  <c:v>21</c:v>
                </c:pt>
                <c:pt idx="1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72F-412A-93ED-B28D003D55BB}"/>
            </c:ext>
          </c:extLst>
        </c:ser>
        <c:ser>
          <c:idx val="5"/>
          <c:order val="5"/>
          <c:tx>
            <c:strRef>
              <c:f>Munka1!$A$7</c:f>
              <c:strCache>
                <c:ptCount val="1"/>
                <c:pt idx="0">
                  <c:v>megszűnt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Munka1!$B$1:$C$1</c:f>
              <c:strCache>
                <c:ptCount val="2"/>
                <c:pt idx="0">
                  <c:v>2023. év</c:v>
                </c:pt>
                <c:pt idx="1">
                  <c:v>2022. év</c:v>
                </c:pt>
              </c:strCache>
            </c:strRef>
          </c:cat>
          <c:val>
            <c:numRef>
              <c:f>Munka1!$B$7:$C$7</c:f>
              <c:numCache>
                <c:formatCode>General</c:formatCode>
                <c:ptCount val="2"/>
                <c:pt idx="0">
                  <c:v>453</c:v>
                </c:pt>
                <c:pt idx="1">
                  <c:v>422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72F-412A-93ED-B28D003D55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11120168"/>
        <c:axId val="411120496"/>
      </c:barChart>
      <c:catAx>
        <c:axId val="4111201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1120496"/>
        <c:crosses val="autoZero"/>
        <c:auto val="1"/>
        <c:lblAlgn val="ctr"/>
        <c:lblOffset val="100"/>
        <c:noMultiLvlLbl val="0"/>
      </c:catAx>
      <c:valAx>
        <c:axId val="4111204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11201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hu-HU"/>
              <a:t>Befizetett idegenforgalmi adó havi megoszlása</a:t>
            </a:r>
          </a:p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hu-HU"/>
              <a:t>   2019-2023 években</a:t>
            </a:r>
          </a:p>
        </c:rich>
      </c:tx>
      <c:layout>
        <c:manualLayout>
          <c:xMode val="edge"/>
          <c:yMode val="edge"/>
          <c:x val="0.18990927764464224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686998364334893"/>
          <c:y val="0.29009803921568628"/>
          <c:w val="0.86655996804747237"/>
          <c:h val="0.378617415470125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befizetések!$A$5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5B9BD5"/>
            </a:solidFill>
            <a:ln w="25400">
              <a:noFill/>
            </a:ln>
          </c:spPr>
          <c:invertIfNegative val="0"/>
          <c:cat>
            <c:strRef>
              <c:f>befizetések!$B$4:$M$4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befizetések!$B$5:$M$5</c:f>
              <c:numCache>
                <c:formatCode>#,##0</c:formatCode>
                <c:ptCount val="12"/>
                <c:pt idx="0">
                  <c:v>34999</c:v>
                </c:pt>
                <c:pt idx="1">
                  <c:v>33396</c:v>
                </c:pt>
                <c:pt idx="2">
                  <c:v>34856</c:v>
                </c:pt>
                <c:pt idx="3">
                  <c:v>44417</c:v>
                </c:pt>
                <c:pt idx="4">
                  <c:v>51680</c:v>
                </c:pt>
                <c:pt idx="5">
                  <c:v>57693</c:v>
                </c:pt>
                <c:pt idx="6">
                  <c:v>57779</c:v>
                </c:pt>
                <c:pt idx="7">
                  <c:v>72108</c:v>
                </c:pt>
                <c:pt idx="8">
                  <c:v>78982</c:v>
                </c:pt>
                <c:pt idx="9">
                  <c:v>63540</c:v>
                </c:pt>
                <c:pt idx="10">
                  <c:v>57532</c:v>
                </c:pt>
                <c:pt idx="11">
                  <c:v>46990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719-48E4-BC4F-D420FD42AC9A}"/>
            </c:ext>
          </c:extLst>
        </c:ser>
        <c:ser>
          <c:idx val="1"/>
          <c:order val="1"/>
          <c:tx>
            <c:strRef>
              <c:f>befizetések!$A$6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ED7D31"/>
            </a:solidFill>
            <a:ln w="25400">
              <a:noFill/>
            </a:ln>
          </c:spPr>
          <c:invertIfNegative val="0"/>
          <c:cat>
            <c:strRef>
              <c:f>befizetések!$B$4:$M$4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befizetések!$B$6:$M$6</c:f>
              <c:numCache>
                <c:formatCode>#,##0</c:formatCode>
                <c:ptCount val="12"/>
                <c:pt idx="0">
                  <c:v>34237</c:v>
                </c:pt>
                <c:pt idx="1">
                  <c:v>35825</c:v>
                </c:pt>
                <c:pt idx="2">
                  <c:v>34855</c:v>
                </c:pt>
                <c:pt idx="3">
                  <c:v>13630</c:v>
                </c:pt>
                <c:pt idx="4">
                  <c:v>1675</c:v>
                </c:pt>
                <c:pt idx="5">
                  <c:v>3406</c:v>
                </c:pt>
                <c:pt idx="6">
                  <c:v>19307</c:v>
                </c:pt>
                <c:pt idx="7">
                  <c:v>53583</c:v>
                </c:pt>
                <c:pt idx="8">
                  <c:v>74285</c:v>
                </c:pt>
                <c:pt idx="9">
                  <c:v>24915</c:v>
                </c:pt>
                <c:pt idx="10">
                  <c:v>16841</c:v>
                </c:pt>
                <c:pt idx="11">
                  <c:v>4228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719-48E4-BC4F-D420FD42AC9A}"/>
            </c:ext>
          </c:extLst>
        </c:ser>
        <c:ser>
          <c:idx val="2"/>
          <c:order val="2"/>
          <c:tx>
            <c:strRef>
              <c:f>befizetések!$A$7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A5A5A5"/>
            </a:solidFill>
            <a:ln w="25400">
              <a:noFill/>
            </a:ln>
          </c:spPr>
          <c:invertIfNegative val="0"/>
          <c:cat>
            <c:strRef>
              <c:f>befizetések!$B$4:$M$4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befizetések!$B$7:$M$7</c:f>
              <c:numCache>
                <c:formatCode>#,##0</c:formatCode>
                <c:ptCount val="12"/>
                <c:pt idx="0">
                  <c:v>262</c:v>
                </c:pt>
                <c:pt idx="1">
                  <c:v>948</c:v>
                </c:pt>
                <c:pt idx="2">
                  <c:v>309</c:v>
                </c:pt>
                <c:pt idx="3">
                  <c:v>43</c:v>
                </c:pt>
                <c:pt idx="4">
                  <c:v>2631</c:v>
                </c:pt>
                <c:pt idx="5">
                  <c:v>334</c:v>
                </c:pt>
                <c:pt idx="6">
                  <c:v>137</c:v>
                </c:pt>
                <c:pt idx="7">
                  <c:v>56998</c:v>
                </c:pt>
                <c:pt idx="8">
                  <c:v>76065</c:v>
                </c:pt>
                <c:pt idx="9">
                  <c:v>56283</c:v>
                </c:pt>
                <c:pt idx="10">
                  <c:v>45855</c:v>
                </c:pt>
                <c:pt idx="11">
                  <c:v>31553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719-48E4-BC4F-D420FD42AC9A}"/>
            </c:ext>
          </c:extLst>
        </c:ser>
        <c:ser>
          <c:idx val="3"/>
          <c:order val="3"/>
          <c:tx>
            <c:strRef>
              <c:f>befizetések!$A$8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FFC000"/>
            </a:solidFill>
            <a:ln w="25400">
              <a:noFill/>
            </a:ln>
          </c:spPr>
          <c:invertIfNegative val="0"/>
          <c:cat>
            <c:strRef>
              <c:f>befizetések!$B$4:$M$4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befizetések!$B$8:$M$8</c:f>
              <c:numCache>
                <c:formatCode>#,##0</c:formatCode>
                <c:ptCount val="12"/>
                <c:pt idx="0">
                  <c:v>23699</c:v>
                </c:pt>
                <c:pt idx="1">
                  <c:v>22530</c:v>
                </c:pt>
                <c:pt idx="2">
                  <c:v>21907</c:v>
                </c:pt>
                <c:pt idx="3">
                  <c:v>29919</c:v>
                </c:pt>
                <c:pt idx="4">
                  <c:v>32086</c:v>
                </c:pt>
                <c:pt idx="5">
                  <c:v>39837</c:v>
                </c:pt>
                <c:pt idx="6">
                  <c:v>45802</c:v>
                </c:pt>
                <c:pt idx="7">
                  <c:v>71751</c:v>
                </c:pt>
                <c:pt idx="8">
                  <c:v>75665</c:v>
                </c:pt>
                <c:pt idx="9">
                  <c:v>55913</c:v>
                </c:pt>
                <c:pt idx="10">
                  <c:v>43947</c:v>
                </c:pt>
                <c:pt idx="11">
                  <c:v>36540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719-48E4-BC4F-D420FD42AC9A}"/>
            </c:ext>
          </c:extLst>
        </c:ser>
        <c:ser>
          <c:idx val="4"/>
          <c:order val="4"/>
          <c:tx>
            <c:strRef>
              <c:f>befizetések!$A$9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rgbClr val="4472C4"/>
            </a:solidFill>
            <a:ln w="25400">
              <a:noFill/>
            </a:ln>
          </c:spPr>
          <c:invertIfNegative val="0"/>
          <c:cat>
            <c:strRef>
              <c:f>befizetések!$B$4:$M$4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befizetések!$B$9:$M$9</c:f>
              <c:numCache>
                <c:formatCode>#,##0</c:formatCode>
                <c:ptCount val="12"/>
                <c:pt idx="0">
                  <c:v>28311</c:v>
                </c:pt>
                <c:pt idx="1">
                  <c:v>27771</c:v>
                </c:pt>
                <c:pt idx="2">
                  <c:v>29080</c:v>
                </c:pt>
                <c:pt idx="3">
                  <c:v>34811</c:v>
                </c:pt>
                <c:pt idx="4">
                  <c:v>41585</c:v>
                </c:pt>
                <c:pt idx="5">
                  <c:v>49379</c:v>
                </c:pt>
                <c:pt idx="6">
                  <c:v>53131</c:v>
                </c:pt>
                <c:pt idx="7">
                  <c:v>71704</c:v>
                </c:pt>
                <c:pt idx="8">
                  <c:v>80134</c:v>
                </c:pt>
                <c:pt idx="9">
                  <c:v>60508</c:v>
                </c:pt>
                <c:pt idx="10">
                  <c:v>50277</c:v>
                </c:pt>
                <c:pt idx="11">
                  <c:v>40841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719-48E4-BC4F-D420FD42AC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5652760"/>
        <c:axId val="1"/>
      </c:barChart>
      <c:catAx>
        <c:axId val="445652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70000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hu-H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hu-HU"/>
          </a:p>
        </c:txPr>
        <c:crossAx val="445652760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hu-H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hu-HU" sz="1400" b="0" i="0" u="none" strike="noStrike" baseline="0">
                <a:solidFill>
                  <a:srgbClr val="333333"/>
                </a:solidFill>
                <a:latin typeface="Calibri"/>
                <a:cs typeface="Calibri"/>
              </a:rPr>
              <a:t>Idegenforgalmi adó befizetések alapján számított vendégéjszakák száma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hu-HU" sz="1400" b="0" i="0" u="none" strike="noStrike" baseline="0">
                <a:solidFill>
                  <a:srgbClr val="333333"/>
                </a:solidFill>
                <a:latin typeface="Calibri"/>
                <a:cs typeface="Calibri"/>
              </a:rPr>
              <a:t>2019-2023.  években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cat>
            <c:numRef>
              <c:f>Munka1!$A$48:$A$52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Munka1!$B$48:$B$52</c:f>
              <c:numCache>
                <c:formatCode>_-* #\ ##0\ _F_t_-;\-* #\ ##0\ _F_t_-;_-* "-"??\ _F_t_-;_-@_-</c:formatCode>
                <c:ptCount val="5"/>
                <c:pt idx="0">
                  <c:v>1233055</c:v>
                </c:pt>
                <c:pt idx="1">
                  <c:v>597711</c:v>
                </c:pt>
                <c:pt idx="2">
                  <c:v>512109</c:v>
                </c:pt>
                <c:pt idx="3">
                  <c:v>942633</c:v>
                </c:pt>
                <c:pt idx="4">
                  <c:v>956635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2E4-4017-844B-6225314858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58407560"/>
        <c:axId val="1"/>
      </c:barChart>
      <c:catAx>
        <c:axId val="458407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hu-H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\ _F_t_-;\-* #\ ##0\ _F_t_-;_-* &quot;-&quot;??\ _F_t_-;_-@_-" sourceLinked="1"/>
        <c:majorTickMark val="none"/>
        <c:min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hu-HU"/>
          </a:p>
        </c:txPr>
        <c:crossAx val="4584075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hu-HU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30059-1E0A-41FD-B343-6095B9FBF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3746</Words>
  <Characters>25850</Characters>
  <Application>Microsoft Office Word</Application>
  <DocSecurity>0</DocSecurity>
  <Lines>215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29537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Dr. Tüske Róbert</cp:lastModifiedBy>
  <cp:revision>3</cp:revision>
  <cp:lastPrinted>2024-03-18T07:34:00Z</cp:lastPrinted>
  <dcterms:created xsi:type="dcterms:W3CDTF">2024-03-19T12:57:00Z</dcterms:created>
  <dcterms:modified xsi:type="dcterms:W3CDTF">2024-03-19T12:58:00Z</dcterms:modified>
</cp:coreProperties>
</file>