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Ex1.xml" ContentType="application/vnd.ms-office.chartex+xml"/>
  <Override PartName="/word/charts/style8.xml" ContentType="application/vnd.ms-office.chartstyle+xml"/>
  <Override PartName="/word/charts/colors8.xml" ContentType="application/vnd.ms-office.chartcolorstyle+xml"/>
  <Override PartName="/word/charts/chart8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theme/themeOverride1.xml" ContentType="application/vnd.openxmlformats-officedocument.themeOverrid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charts/chart9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charts/chart10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charts/chart11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charts/chart12.xml" ContentType="application/vnd.openxmlformats-officedocument.drawingml.chart+xml"/>
  <Override PartName="/word/charts/style13.xml" ContentType="application/vnd.ms-office.chartstyle+xml"/>
  <Override PartName="/word/charts/colors13.xml" ContentType="application/vnd.ms-office.chartcolorstyle+xml"/>
  <Override PartName="/word/charts/chart13.xml" ContentType="application/vnd.openxmlformats-officedocument.drawingml.chart+xml"/>
  <Override PartName="/word/charts/style14.xml" ContentType="application/vnd.ms-office.chartstyle+xml"/>
  <Override PartName="/word/charts/colors14.xml" ContentType="application/vnd.ms-office.chartcolorstyle+xml"/>
  <Override PartName="/word/charts/chart14.xml" ContentType="application/vnd.openxmlformats-officedocument.drawingml.chart+xml"/>
  <Override PartName="/word/charts/style15.xml" ContentType="application/vnd.ms-office.chartstyle+xml"/>
  <Override PartName="/word/charts/colors15.xml" ContentType="application/vnd.ms-office.chartcolorstyle+xml"/>
  <Override PartName="/word/charts/chart15.xml" ContentType="application/vnd.openxmlformats-officedocument.drawingml.chart+xml"/>
  <Override PartName="/word/charts/style16.xml" ContentType="application/vnd.ms-office.chartstyle+xml"/>
  <Override PartName="/word/charts/colors16.xml" ContentType="application/vnd.ms-office.chartcolorstyle+xml"/>
  <Override PartName="/word/charts/chart16.xml" ContentType="application/vnd.openxmlformats-officedocument.drawingml.chart+xml"/>
  <Override PartName="/word/charts/style17.xml" ContentType="application/vnd.ms-office.chartstyle+xml"/>
  <Override PartName="/word/charts/colors17.xml" ContentType="application/vnd.ms-office.chartcolorstyle+xml"/>
  <Override PartName="/word/charts/chart17.xml" ContentType="application/vnd.openxmlformats-officedocument.drawingml.chart+xml"/>
  <Override PartName="/word/charts/style18.xml" ContentType="application/vnd.ms-office.chartstyle+xml"/>
  <Override PartName="/word/charts/colors18.xml" ContentType="application/vnd.ms-office.chartcolorstyle+xml"/>
  <Override PartName="/word/charts/chart18.xml" ContentType="application/vnd.openxmlformats-officedocument.drawingml.chart+xml"/>
  <Override PartName="/word/charts/style19.xml" ContentType="application/vnd.ms-office.chartstyle+xml"/>
  <Override PartName="/word/charts/colors19.xml" ContentType="application/vnd.ms-office.chartcolorstyle+xml"/>
  <Override PartName="/word/charts/chart19.xml" ContentType="application/vnd.openxmlformats-officedocument.drawingml.chart+xml"/>
  <Override PartName="/word/charts/style20.xml" ContentType="application/vnd.ms-office.chartstyle+xml"/>
  <Override PartName="/word/charts/colors20.xml" ContentType="application/vnd.ms-office.chartcolorstyle+xml"/>
  <Override PartName="/word/charts/chart20.xml" ContentType="application/vnd.openxmlformats-officedocument.drawingml.chart+xml"/>
  <Override PartName="/word/charts/style21.xml" ContentType="application/vnd.ms-office.chartstyle+xml"/>
  <Override PartName="/word/charts/colors21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FCBA3C" w14:textId="77777777" w:rsidR="00EB08D5" w:rsidRPr="00C02F24" w:rsidRDefault="00EB08D5" w:rsidP="00EB08D5">
      <w:pPr>
        <w:jc w:val="center"/>
        <w:rPr>
          <w:rFonts w:ascii="Calibri" w:hAnsi="Calibri" w:cs="Calibri"/>
          <w:b/>
          <w:sz w:val="40"/>
          <w:szCs w:val="32"/>
        </w:rPr>
      </w:pPr>
    </w:p>
    <w:p w14:paraId="47FCBA3D" w14:textId="36C56459" w:rsidR="00EB08D5" w:rsidRPr="00003376" w:rsidRDefault="00BC1FB3" w:rsidP="00EB08D5">
      <w:pPr>
        <w:jc w:val="center"/>
        <w:rPr>
          <w:rFonts w:cstheme="minorHAnsi"/>
          <w:b/>
          <w:color w:val="17365D" w:themeColor="text2" w:themeShade="BF"/>
          <w:sz w:val="40"/>
          <w:szCs w:val="32"/>
        </w:rPr>
      </w:pPr>
      <w:r w:rsidRPr="00003376">
        <w:rPr>
          <w:rFonts w:cstheme="minorHAnsi"/>
          <w:b/>
          <w:color w:val="17365D" w:themeColor="text2" w:themeShade="BF"/>
          <w:sz w:val="40"/>
          <w:szCs w:val="32"/>
        </w:rPr>
        <w:t>HÉVÍZ-BALATON AIRPORT</w:t>
      </w:r>
      <w:r w:rsidR="00EB08D5" w:rsidRPr="00003376">
        <w:rPr>
          <w:rFonts w:cstheme="minorHAnsi"/>
          <w:b/>
          <w:color w:val="17365D" w:themeColor="text2" w:themeShade="BF"/>
          <w:sz w:val="40"/>
          <w:szCs w:val="32"/>
        </w:rPr>
        <w:t xml:space="preserve"> Kft.</w:t>
      </w:r>
    </w:p>
    <w:p w14:paraId="47FCBA3E" w14:textId="77777777" w:rsidR="00EB08D5" w:rsidRPr="00C02F24" w:rsidRDefault="00EB08D5" w:rsidP="00EB08D5">
      <w:pPr>
        <w:jc w:val="center"/>
        <w:rPr>
          <w:rFonts w:ascii="Calibri" w:hAnsi="Calibri" w:cs="Calibri"/>
          <w:b/>
          <w:sz w:val="32"/>
          <w:szCs w:val="32"/>
        </w:rPr>
      </w:pPr>
    </w:p>
    <w:p w14:paraId="47FCBA3F" w14:textId="77777777" w:rsidR="00EB08D5" w:rsidRPr="00C02F24" w:rsidRDefault="00EB08D5" w:rsidP="00EB08D5">
      <w:pPr>
        <w:jc w:val="center"/>
        <w:rPr>
          <w:rFonts w:ascii="Calibri" w:hAnsi="Calibri" w:cs="Calibri"/>
          <w:b/>
          <w:sz w:val="32"/>
          <w:szCs w:val="32"/>
        </w:rPr>
      </w:pPr>
    </w:p>
    <w:p w14:paraId="47FCBA40" w14:textId="77777777" w:rsidR="00EB08D5" w:rsidRPr="00C02F24" w:rsidRDefault="00EB08D5" w:rsidP="00EB08D5">
      <w:pPr>
        <w:jc w:val="center"/>
        <w:rPr>
          <w:rFonts w:ascii="Calibri" w:hAnsi="Calibri" w:cs="Calibri"/>
        </w:rPr>
      </w:pPr>
      <w:r w:rsidRPr="00C02F24">
        <w:rPr>
          <w:rFonts w:ascii="Calibri" w:hAnsi="Calibri" w:cs="Calibri"/>
          <w:noProof/>
        </w:rPr>
        <w:drawing>
          <wp:inline distT="0" distB="0" distL="0" distR="0" wp14:anchorId="47FCBB68" wp14:editId="37403055">
            <wp:extent cx="6221610" cy="4171950"/>
            <wp:effectExtent l="0" t="0" r="0" b="0"/>
            <wp:docPr id="4" name="Kép 4" descr="P9120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912005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8567" cy="4176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7FCBA41" w14:textId="77777777" w:rsidR="00EB08D5" w:rsidRPr="00C02F24" w:rsidRDefault="00EB08D5" w:rsidP="00EB08D5">
      <w:pPr>
        <w:jc w:val="center"/>
        <w:rPr>
          <w:rFonts w:ascii="Calibri" w:hAnsi="Calibri" w:cs="Calibri"/>
        </w:rPr>
      </w:pPr>
    </w:p>
    <w:p w14:paraId="47FCBA42" w14:textId="77777777" w:rsidR="00EB08D5" w:rsidRPr="00C02F24" w:rsidRDefault="00EB08D5" w:rsidP="00EB08D5">
      <w:pPr>
        <w:jc w:val="center"/>
        <w:rPr>
          <w:rFonts w:ascii="Calibri" w:hAnsi="Calibri" w:cs="Calibri"/>
        </w:rPr>
      </w:pPr>
    </w:p>
    <w:p w14:paraId="47FCBA43" w14:textId="77777777" w:rsidR="00EB08D5" w:rsidRPr="00C02F24" w:rsidRDefault="00EB08D5" w:rsidP="00EB08D5">
      <w:pPr>
        <w:jc w:val="center"/>
        <w:rPr>
          <w:rFonts w:ascii="Calibri" w:hAnsi="Calibri" w:cs="Calibri"/>
        </w:rPr>
      </w:pPr>
    </w:p>
    <w:p w14:paraId="42190579" w14:textId="1BFDAD8F" w:rsidR="00CE1683" w:rsidRPr="00003376" w:rsidRDefault="00EB08D5" w:rsidP="004A5A6E">
      <w:pPr>
        <w:jc w:val="center"/>
        <w:rPr>
          <w:rFonts w:ascii="Calibri" w:hAnsi="Calibri" w:cs="Calibri"/>
          <w:b/>
          <w:color w:val="17365D" w:themeColor="text2" w:themeShade="BF"/>
          <w:sz w:val="40"/>
        </w:rPr>
      </w:pPr>
      <w:r w:rsidRPr="00003376">
        <w:rPr>
          <w:rFonts w:ascii="Calibri" w:hAnsi="Calibri" w:cs="Calibri"/>
          <w:b/>
          <w:color w:val="17365D" w:themeColor="text2" w:themeShade="BF"/>
          <w:sz w:val="40"/>
        </w:rPr>
        <w:t>20</w:t>
      </w:r>
      <w:r w:rsidR="006806B2" w:rsidRPr="00003376">
        <w:rPr>
          <w:rFonts w:ascii="Calibri" w:hAnsi="Calibri" w:cs="Calibri"/>
          <w:b/>
          <w:color w:val="17365D" w:themeColor="text2" w:themeShade="BF"/>
          <w:sz w:val="40"/>
        </w:rPr>
        <w:t>2</w:t>
      </w:r>
      <w:r w:rsidR="00682865">
        <w:rPr>
          <w:rFonts w:ascii="Calibri" w:hAnsi="Calibri" w:cs="Calibri"/>
          <w:b/>
          <w:color w:val="17365D" w:themeColor="text2" w:themeShade="BF"/>
          <w:sz w:val="40"/>
        </w:rPr>
        <w:t>4</w:t>
      </w:r>
      <w:r w:rsidRPr="00003376">
        <w:rPr>
          <w:rFonts w:ascii="Calibri" w:hAnsi="Calibri" w:cs="Calibri"/>
          <w:b/>
          <w:color w:val="17365D" w:themeColor="text2" w:themeShade="BF"/>
          <w:sz w:val="40"/>
        </w:rPr>
        <w:t xml:space="preserve">. évi </w:t>
      </w:r>
      <w:r w:rsidR="00B346B6" w:rsidRPr="00003376">
        <w:rPr>
          <w:rFonts w:ascii="Calibri" w:hAnsi="Calibri" w:cs="Calibri"/>
          <w:b/>
          <w:color w:val="17365D" w:themeColor="text2" w:themeShade="BF"/>
          <w:sz w:val="40"/>
        </w:rPr>
        <w:t>üzleti jelentés</w:t>
      </w:r>
      <w:r w:rsidR="00BC1FB3" w:rsidRPr="00003376">
        <w:rPr>
          <w:rFonts w:ascii="Calibri" w:hAnsi="Calibri" w:cs="Calibri"/>
          <w:b/>
          <w:color w:val="17365D" w:themeColor="text2" w:themeShade="BF"/>
          <w:sz w:val="40"/>
        </w:rPr>
        <w:t>e</w:t>
      </w:r>
    </w:p>
    <w:p w14:paraId="4F4F8FD2" w14:textId="77777777" w:rsidR="00CE1683" w:rsidRPr="00C02F24" w:rsidRDefault="00CE1683">
      <w:pPr>
        <w:rPr>
          <w:rFonts w:ascii="Calibri" w:hAnsi="Calibri" w:cs="Calibri"/>
          <w:b/>
          <w:sz w:val="40"/>
          <w:u w:val="single"/>
        </w:rPr>
      </w:pPr>
      <w:r w:rsidRPr="00C02F24">
        <w:rPr>
          <w:rFonts w:ascii="Calibri" w:hAnsi="Calibri" w:cs="Calibri"/>
          <w:b/>
          <w:sz w:val="40"/>
          <w:u w:val="single"/>
        </w:rPr>
        <w:br w:type="page"/>
      </w:r>
    </w:p>
    <w:p w14:paraId="250B8F1E" w14:textId="77777777" w:rsidR="00B63759" w:rsidRPr="00C02F24" w:rsidRDefault="00B63759" w:rsidP="004A5A6E">
      <w:pPr>
        <w:jc w:val="center"/>
        <w:rPr>
          <w:rFonts w:ascii="Calibri" w:hAnsi="Calibri" w:cs="Calibri"/>
          <w:b/>
        </w:rPr>
      </w:pPr>
    </w:p>
    <w:sdt>
      <w:sdtPr>
        <w:rPr>
          <w:rFonts w:asciiTheme="minorHAnsi" w:eastAsiaTheme="minorEastAsia" w:hAnsiTheme="minorHAnsi" w:cstheme="minorBidi"/>
          <w:color w:val="auto"/>
          <w:sz w:val="22"/>
          <w:szCs w:val="22"/>
        </w:rPr>
        <w:id w:val="-63603657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8893250" w14:textId="389CA8FB" w:rsidR="00F97514" w:rsidRDefault="00F97514">
          <w:pPr>
            <w:pStyle w:val="Tartalomjegyzkcmsora"/>
          </w:pPr>
          <w:r>
            <w:t>Tartalom</w:t>
          </w:r>
        </w:p>
        <w:p w14:paraId="319860B0" w14:textId="4A9EF100" w:rsidR="00257799" w:rsidRDefault="00F97514">
          <w:pPr>
            <w:pStyle w:val="TJ1"/>
            <w:rPr>
              <w:noProof/>
              <w:kern w:val="2"/>
              <w:sz w:val="24"/>
              <w:szCs w:val="24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96485743" w:history="1">
            <w:r w:rsidR="00257799" w:rsidRPr="00AB161A">
              <w:rPr>
                <w:rStyle w:val="Hiperhivatkozs"/>
                <w:rFonts w:ascii="Calibri" w:hAnsi="Calibri" w:cs="Calibri"/>
                <w:b/>
                <w:bCs/>
                <w:caps/>
                <w:noProof/>
              </w:rPr>
              <w:t>I.</w:t>
            </w:r>
            <w:r w:rsidR="00257799">
              <w:rPr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257799" w:rsidRPr="00AB161A">
              <w:rPr>
                <w:rStyle w:val="Hiperhivatkozs"/>
                <w:rFonts w:ascii="Calibri" w:hAnsi="Calibri" w:cs="Calibri"/>
                <w:b/>
                <w:bCs/>
                <w:caps/>
                <w:noProof/>
              </w:rPr>
              <w:t>A Hévíz-Balaton repülőtér turisztikai jelentősége</w:t>
            </w:r>
            <w:r w:rsidR="00257799">
              <w:rPr>
                <w:noProof/>
                <w:webHidden/>
              </w:rPr>
              <w:tab/>
            </w:r>
            <w:r w:rsidR="00257799">
              <w:rPr>
                <w:noProof/>
                <w:webHidden/>
              </w:rPr>
              <w:fldChar w:fldCharType="begin"/>
            </w:r>
            <w:r w:rsidR="00257799">
              <w:rPr>
                <w:noProof/>
                <w:webHidden/>
              </w:rPr>
              <w:instrText xml:space="preserve"> PAGEREF _Toc196485743 \h </w:instrText>
            </w:r>
            <w:r w:rsidR="00257799">
              <w:rPr>
                <w:noProof/>
                <w:webHidden/>
              </w:rPr>
            </w:r>
            <w:r w:rsidR="00257799">
              <w:rPr>
                <w:noProof/>
                <w:webHidden/>
              </w:rPr>
              <w:fldChar w:fldCharType="separate"/>
            </w:r>
            <w:r w:rsidR="00257799">
              <w:rPr>
                <w:noProof/>
                <w:webHidden/>
              </w:rPr>
              <w:t>3</w:t>
            </w:r>
            <w:r w:rsidR="00257799">
              <w:rPr>
                <w:noProof/>
                <w:webHidden/>
              </w:rPr>
              <w:fldChar w:fldCharType="end"/>
            </w:r>
          </w:hyperlink>
        </w:p>
        <w:p w14:paraId="3DC200E7" w14:textId="7E5AFD50" w:rsidR="00257799" w:rsidRDefault="00257799">
          <w:pPr>
            <w:pStyle w:val="TJ1"/>
            <w:rPr>
              <w:noProof/>
              <w:kern w:val="2"/>
              <w:sz w:val="24"/>
              <w:szCs w:val="24"/>
              <w14:ligatures w14:val="standardContextual"/>
            </w:rPr>
          </w:pPr>
          <w:hyperlink w:anchor="_Toc196485744" w:history="1">
            <w:r w:rsidRPr="00AB161A">
              <w:rPr>
                <w:rStyle w:val="Hiperhivatkozs"/>
                <w:rFonts w:ascii="Calibri" w:hAnsi="Calibri" w:cs="Calibri"/>
                <w:b/>
                <w:bCs/>
                <w:caps/>
                <w:noProof/>
              </w:rPr>
              <w:t>II.</w:t>
            </w:r>
            <w:r>
              <w:rPr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AB161A">
              <w:rPr>
                <w:rStyle w:val="Hiperhivatkozs"/>
                <w:rFonts w:ascii="Calibri" w:hAnsi="Calibri" w:cs="Calibri"/>
                <w:b/>
                <w:bCs/>
                <w:caps/>
                <w:noProof/>
              </w:rPr>
              <w:t>TÁRSASÁG ADATAI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_Toc196485744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6A963E6" w14:textId="3E5FB058" w:rsidR="00257799" w:rsidRDefault="00257799">
          <w:pPr>
            <w:pStyle w:val="TJ1"/>
            <w:rPr>
              <w:noProof/>
              <w:kern w:val="2"/>
              <w:sz w:val="24"/>
              <w:szCs w:val="24"/>
              <w14:ligatures w14:val="standardContextual"/>
            </w:rPr>
          </w:pPr>
          <w:hyperlink w:anchor="_Toc196485745" w:history="1">
            <w:r w:rsidRPr="00AB161A">
              <w:rPr>
                <w:rStyle w:val="Hiperhivatkozs"/>
                <w:rFonts w:ascii="Calibri" w:hAnsi="Calibri" w:cs="Calibri"/>
                <w:b/>
                <w:bCs/>
                <w:caps/>
                <w:noProof/>
              </w:rPr>
              <w:t>III.</w:t>
            </w:r>
            <w:r>
              <w:rPr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AB161A">
              <w:rPr>
                <w:rStyle w:val="Hiperhivatkozs"/>
                <w:rFonts w:ascii="Calibri" w:hAnsi="Calibri" w:cs="Calibri"/>
                <w:b/>
                <w:bCs/>
                <w:caps/>
                <w:noProof/>
              </w:rPr>
              <w:t>VEZETŐI ÖSSZEFOGLALÓ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_Toc196485745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6A616C" w14:textId="0B901ABD" w:rsidR="00257799" w:rsidRDefault="00257799">
          <w:pPr>
            <w:pStyle w:val="TJ1"/>
            <w:rPr>
              <w:noProof/>
              <w:kern w:val="2"/>
              <w:sz w:val="24"/>
              <w:szCs w:val="24"/>
              <w14:ligatures w14:val="standardContextual"/>
            </w:rPr>
          </w:pPr>
          <w:hyperlink w:anchor="_Toc196485746" w:history="1">
            <w:r w:rsidRPr="00AB161A">
              <w:rPr>
                <w:rStyle w:val="Hiperhivatkozs"/>
                <w:rFonts w:ascii="Calibri" w:hAnsi="Calibri" w:cs="Calibri"/>
                <w:b/>
                <w:bCs/>
                <w:caps/>
                <w:noProof/>
              </w:rPr>
              <w:t>IV.</w:t>
            </w:r>
            <w:r>
              <w:rPr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AB161A">
              <w:rPr>
                <w:rStyle w:val="Hiperhivatkozs"/>
                <w:rFonts w:ascii="Calibri" w:hAnsi="Calibri" w:cs="Calibri"/>
                <w:b/>
                <w:bCs/>
                <w:caps/>
                <w:noProof/>
              </w:rPr>
              <w:t>A REPÜLŐTÉR 2024. ÉVI FORGALMA ÉS CÉLÁLLOMÁSAI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_Toc196485746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28312A" w14:textId="5FD7E708" w:rsidR="00257799" w:rsidRDefault="00257799">
          <w:pPr>
            <w:pStyle w:val="TJ1"/>
            <w:rPr>
              <w:noProof/>
              <w:kern w:val="2"/>
              <w:sz w:val="24"/>
              <w:szCs w:val="24"/>
              <w14:ligatures w14:val="standardContextual"/>
            </w:rPr>
          </w:pPr>
          <w:hyperlink w:anchor="_Toc196485747" w:history="1">
            <w:r w:rsidRPr="00AB161A">
              <w:rPr>
                <w:rStyle w:val="Hiperhivatkozs"/>
                <w:rFonts w:ascii="Calibri" w:hAnsi="Calibri" w:cs="Calibri"/>
                <w:b/>
                <w:caps/>
                <w:noProof/>
              </w:rPr>
              <w:t>V.</w:t>
            </w:r>
            <w:r>
              <w:rPr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AB161A">
              <w:rPr>
                <w:rStyle w:val="Hiperhivatkozs"/>
                <w:rFonts w:ascii="Calibri" w:hAnsi="Calibri" w:cs="Calibri"/>
                <w:b/>
                <w:caps/>
                <w:noProof/>
              </w:rPr>
              <w:t>A repülőtér üzemeltetésével összefüggő célok teljesülése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_Toc196485747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FF31CA8" w14:textId="76291E4C" w:rsidR="00257799" w:rsidRDefault="00257799">
          <w:pPr>
            <w:pStyle w:val="TJ1"/>
            <w:rPr>
              <w:noProof/>
              <w:kern w:val="2"/>
              <w:sz w:val="24"/>
              <w:szCs w:val="24"/>
              <w14:ligatures w14:val="standardContextual"/>
            </w:rPr>
          </w:pPr>
          <w:hyperlink w:anchor="_Toc196485748" w:history="1">
            <w:r w:rsidRPr="00AB161A">
              <w:rPr>
                <w:rStyle w:val="Hiperhivatkozs"/>
                <w:rFonts w:ascii="Calibri" w:hAnsi="Calibri" w:cs="Calibri"/>
                <w:b/>
                <w:caps/>
                <w:noProof/>
              </w:rPr>
              <w:t>VI.</w:t>
            </w:r>
            <w:r>
              <w:rPr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AB161A">
              <w:rPr>
                <w:rStyle w:val="Hiperhivatkozs"/>
                <w:rFonts w:ascii="Calibri" w:hAnsi="Calibri" w:cs="Calibri"/>
                <w:b/>
                <w:caps/>
                <w:noProof/>
              </w:rPr>
              <w:t>a társaság BEVÉTELEineK ALAKULÁSA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_Toc196485748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9F315F" w14:textId="5024D219" w:rsidR="00257799" w:rsidRDefault="00257799">
          <w:pPr>
            <w:pStyle w:val="TJ1"/>
            <w:rPr>
              <w:noProof/>
              <w:kern w:val="2"/>
              <w:sz w:val="24"/>
              <w:szCs w:val="24"/>
              <w14:ligatures w14:val="standardContextual"/>
            </w:rPr>
          </w:pPr>
          <w:hyperlink w:anchor="_Toc196485749" w:history="1">
            <w:r w:rsidRPr="00AB161A">
              <w:rPr>
                <w:rStyle w:val="Hiperhivatkozs"/>
                <w:rFonts w:ascii="Calibri" w:hAnsi="Calibri" w:cs="Calibri"/>
                <w:b/>
                <w:caps/>
                <w:noProof/>
              </w:rPr>
              <w:t>VII.</w:t>
            </w:r>
            <w:r>
              <w:rPr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AB161A">
              <w:rPr>
                <w:rStyle w:val="Hiperhivatkozs"/>
                <w:rFonts w:ascii="Calibri" w:hAnsi="Calibri" w:cs="Calibri"/>
                <w:b/>
                <w:caps/>
                <w:noProof/>
              </w:rPr>
              <w:t>költségek és ráfordítások ALAKULÁSA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_Toc196485749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35E945" w14:textId="65AD2504" w:rsidR="00257799" w:rsidRDefault="00257799">
          <w:pPr>
            <w:pStyle w:val="TJ1"/>
            <w:rPr>
              <w:noProof/>
              <w:kern w:val="2"/>
              <w:sz w:val="24"/>
              <w:szCs w:val="24"/>
              <w14:ligatures w14:val="standardContextual"/>
            </w:rPr>
          </w:pPr>
          <w:hyperlink w:anchor="_Toc196485750" w:history="1">
            <w:r w:rsidRPr="00AB161A">
              <w:rPr>
                <w:rStyle w:val="Hiperhivatkozs"/>
                <w:rFonts w:ascii="Calibri" w:hAnsi="Calibri" w:cs="Calibri"/>
                <w:b/>
                <w:caps/>
                <w:noProof/>
              </w:rPr>
              <w:t>VIII.</w:t>
            </w:r>
            <w:r>
              <w:rPr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AB161A">
              <w:rPr>
                <w:rStyle w:val="Hiperhivatkozs"/>
                <w:rFonts w:ascii="Calibri" w:hAnsi="Calibri" w:cs="Calibri"/>
                <w:b/>
                <w:caps/>
                <w:noProof/>
              </w:rPr>
              <w:t>A társaság EREDMÉNYének ALAKULÁSA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_Toc196485750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42DB27" w14:textId="296601F3" w:rsidR="00257799" w:rsidRDefault="00257799">
          <w:pPr>
            <w:pStyle w:val="TJ1"/>
            <w:rPr>
              <w:noProof/>
              <w:kern w:val="2"/>
              <w:sz w:val="24"/>
              <w:szCs w:val="24"/>
              <w14:ligatures w14:val="standardContextual"/>
            </w:rPr>
          </w:pPr>
          <w:hyperlink w:anchor="_Toc196485751" w:history="1">
            <w:r w:rsidRPr="00AB161A">
              <w:rPr>
                <w:rStyle w:val="Hiperhivatkozs"/>
                <w:rFonts w:ascii="Calibri" w:hAnsi="Calibri" w:cs="Calibri"/>
                <w:b/>
                <w:caps/>
                <w:noProof/>
              </w:rPr>
              <w:t>IX.</w:t>
            </w:r>
            <w:r>
              <w:rPr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AB161A">
              <w:rPr>
                <w:rStyle w:val="Hiperhivatkozs"/>
                <w:rFonts w:ascii="Calibri" w:hAnsi="Calibri" w:cs="Calibri"/>
                <w:b/>
                <w:caps/>
                <w:noProof/>
              </w:rPr>
              <w:t>Hévíz -Balaton Airport Kft. 2024. évet érintő támogatásai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_Toc196485751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4DE2DE7" w14:textId="6C3C2A39" w:rsidR="00257799" w:rsidRDefault="00257799">
          <w:pPr>
            <w:pStyle w:val="TJ1"/>
            <w:rPr>
              <w:noProof/>
              <w:kern w:val="2"/>
              <w:sz w:val="24"/>
              <w:szCs w:val="24"/>
              <w14:ligatures w14:val="standardContextual"/>
            </w:rPr>
          </w:pPr>
          <w:hyperlink w:anchor="_Toc196485752" w:history="1">
            <w:r w:rsidRPr="00AB161A">
              <w:rPr>
                <w:rStyle w:val="Hiperhivatkozs"/>
                <w:rFonts w:ascii="Calibri" w:hAnsi="Calibri" w:cs="Calibri"/>
                <w:b/>
                <w:caps/>
                <w:noProof/>
              </w:rPr>
              <w:t>X.</w:t>
            </w:r>
            <w:r>
              <w:rPr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AB161A">
              <w:rPr>
                <w:rStyle w:val="Hiperhivatkozs"/>
                <w:rFonts w:ascii="Calibri" w:hAnsi="Calibri" w:cs="Calibri"/>
                <w:b/>
                <w:caps/>
                <w:noProof/>
              </w:rPr>
              <w:t>Mellékletek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_Toc196485752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25BFE0E" w14:textId="5A93BC60" w:rsidR="00F97514" w:rsidRDefault="00F97514">
          <w:r>
            <w:rPr>
              <w:b/>
              <w:bCs/>
            </w:rPr>
            <w:fldChar w:fldCharType="end"/>
          </w:r>
        </w:p>
      </w:sdtContent>
    </w:sdt>
    <w:p w14:paraId="27AC945F" w14:textId="77777777" w:rsidR="00CC36DD" w:rsidRPr="00C02F24" w:rsidRDefault="00CC36DD">
      <w:pPr>
        <w:spacing w:after="0" w:line="240" w:lineRule="auto"/>
        <w:rPr>
          <w:rFonts w:ascii="Calibri" w:eastAsia="Times New Roman" w:hAnsi="Calibri" w:cs="Calibri"/>
          <w:b/>
          <w:sz w:val="28"/>
          <w:szCs w:val="24"/>
        </w:rPr>
      </w:pPr>
      <w:r w:rsidRPr="00C02F24">
        <w:rPr>
          <w:rFonts w:ascii="Calibri" w:hAnsi="Calibri" w:cs="Calibri"/>
          <w:b/>
          <w:sz w:val="28"/>
        </w:rPr>
        <w:br w:type="page"/>
      </w:r>
    </w:p>
    <w:p w14:paraId="70363362" w14:textId="4F93151E" w:rsidR="0064481B" w:rsidRPr="00C02F24" w:rsidRDefault="00F01E77" w:rsidP="00EB0527">
      <w:pPr>
        <w:pStyle w:val="Cmsor1"/>
        <w:numPr>
          <w:ilvl w:val="0"/>
          <w:numId w:val="35"/>
        </w:numPr>
        <w:spacing w:before="240" w:after="240"/>
        <w:ind w:left="426" w:hanging="426"/>
        <w:rPr>
          <w:rFonts w:ascii="Calibri" w:hAnsi="Calibri" w:cs="Calibri"/>
          <w:b/>
          <w:bCs/>
          <w:caps/>
          <w:sz w:val="26"/>
          <w:szCs w:val="26"/>
        </w:rPr>
      </w:pPr>
      <w:bookmarkStart w:id="0" w:name="_Toc196485743"/>
      <w:r w:rsidRPr="00C02F24">
        <w:rPr>
          <w:rFonts w:ascii="Calibri" w:hAnsi="Calibri" w:cs="Calibri"/>
          <w:b/>
          <w:bCs/>
          <w:caps/>
          <w:sz w:val="26"/>
          <w:szCs w:val="26"/>
        </w:rPr>
        <w:lastRenderedPageBreak/>
        <w:t xml:space="preserve">A Hévíz-Balaton </w:t>
      </w:r>
      <w:r w:rsidR="005149DC" w:rsidRPr="00C02F24">
        <w:rPr>
          <w:rFonts w:ascii="Calibri" w:hAnsi="Calibri" w:cs="Calibri"/>
          <w:b/>
          <w:bCs/>
          <w:caps/>
          <w:sz w:val="26"/>
          <w:szCs w:val="26"/>
        </w:rPr>
        <w:t>repülőtér</w:t>
      </w:r>
      <w:r w:rsidRPr="00C02F24">
        <w:rPr>
          <w:rFonts w:ascii="Calibri" w:hAnsi="Calibri" w:cs="Calibri"/>
          <w:b/>
          <w:bCs/>
          <w:caps/>
          <w:sz w:val="26"/>
          <w:szCs w:val="26"/>
        </w:rPr>
        <w:t xml:space="preserve"> turisztikai jelentősége</w:t>
      </w:r>
      <w:bookmarkEnd w:id="0"/>
    </w:p>
    <w:p w14:paraId="03E49FFC" w14:textId="77777777" w:rsidR="0064481B" w:rsidRPr="00C02F24" w:rsidRDefault="00F24BEB" w:rsidP="00D9549C">
      <w:pPr>
        <w:pStyle w:val="NormlWeb"/>
        <w:spacing w:after="0" w:afterAutospacing="0" w:line="276" w:lineRule="auto"/>
        <w:jc w:val="both"/>
        <w:rPr>
          <w:rFonts w:ascii="Calibri" w:hAnsi="Calibri" w:cs="Calibri"/>
          <w:sz w:val="23"/>
          <w:szCs w:val="23"/>
        </w:rPr>
      </w:pPr>
      <w:r w:rsidRPr="00C02F24">
        <w:rPr>
          <w:rFonts w:ascii="Calibri" w:hAnsi="Calibri" w:cs="Calibri"/>
          <w:sz w:val="23"/>
          <w:szCs w:val="23"/>
        </w:rPr>
        <w:t xml:space="preserve">A repülőtér </w:t>
      </w:r>
      <w:r w:rsidR="00F01E77" w:rsidRPr="00C02F24">
        <w:rPr>
          <w:rFonts w:ascii="Calibri" w:hAnsi="Calibri" w:cs="Calibri"/>
          <w:sz w:val="23"/>
          <w:szCs w:val="23"/>
        </w:rPr>
        <w:t xml:space="preserve">100 km-es körzetében megtalálható Hévíz, </w:t>
      </w:r>
      <w:r w:rsidRPr="00C02F24">
        <w:rPr>
          <w:rFonts w:ascii="Calibri" w:hAnsi="Calibri" w:cs="Calibri"/>
          <w:sz w:val="23"/>
          <w:szCs w:val="23"/>
        </w:rPr>
        <w:t>Zalakaros,</w:t>
      </w:r>
      <w:r w:rsidR="001C7A4D" w:rsidRPr="00C02F24">
        <w:rPr>
          <w:rFonts w:ascii="Calibri" w:hAnsi="Calibri" w:cs="Calibri"/>
          <w:sz w:val="23"/>
          <w:szCs w:val="23"/>
        </w:rPr>
        <w:t xml:space="preserve"> </w:t>
      </w:r>
      <w:r w:rsidR="00F01E77" w:rsidRPr="00C02F24">
        <w:rPr>
          <w:rFonts w:ascii="Calibri" w:hAnsi="Calibri" w:cs="Calibri"/>
          <w:sz w:val="23"/>
          <w:szCs w:val="23"/>
        </w:rPr>
        <w:t xml:space="preserve">Sárvár, </w:t>
      </w:r>
      <w:r w:rsidRPr="00C02F24">
        <w:rPr>
          <w:rFonts w:ascii="Calibri" w:hAnsi="Calibri" w:cs="Calibri"/>
          <w:sz w:val="23"/>
          <w:szCs w:val="23"/>
        </w:rPr>
        <w:t xml:space="preserve">valamint </w:t>
      </w:r>
      <w:r w:rsidR="00F01E77" w:rsidRPr="00C02F24">
        <w:rPr>
          <w:rFonts w:ascii="Calibri" w:hAnsi="Calibri" w:cs="Calibri"/>
          <w:sz w:val="23"/>
          <w:szCs w:val="23"/>
        </w:rPr>
        <w:t>Bükfürdő, me</w:t>
      </w:r>
      <w:r w:rsidR="009A6595" w:rsidRPr="00C02F24">
        <w:rPr>
          <w:rFonts w:ascii="Calibri" w:hAnsi="Calibri" w:cs="Calibri"/>
          <w:sz w:val="23"/>
          <w:szCs w:val="23"/>
        </w:rPr>
        <w:t>ly városok vendégforgalmának jelentős</w:t>
      </w:r>
      <w:r w:rsidR="00F01E77" w:rsidRPr="00C02F24">
        <w:rPr>
          <w:rFonts w:ascii="Calibri" w:hAnsi="Calibri" w:cs="Calibri"/>
          <w:sz w:val="23"/>
          <w:szCs w:val="23"/>
        </w:rPr>
        <w:t xml:space="preserve"> része </w:t>
      </w:r>
      <w:r w:rsidR="009A6595" w:rsidRPr="00C02F24">
        <w:rPr>
          <w:rFonts w:ascii="Calibri" w:hAnsi="Calibri" w:cs="Calibri"/>
          <w:sz w:val="23"/>
          <w:szCs w:val="23"/>
        </w:rPr>
        <w:t>külföldről</w:t>
      </w:r>
      <w:r w:rsidR="00F01E77" w:rsidRPr="00C02F24">
        <w:rPr>
          <w:rFonts w:ascii="Calibri" w:hAnsi="Calibri" w:cs="Calibri"/>
          <w:sz w:val="23"/>
          <w:szCs w:val="23"/>
        </w:rPr>
        <w:t xml:space="preserve"> érkező</w:t>
      </w:r>
      <w:r w:rsidR="009A6595" w:rsidRPr="00C02F24">
        <w:rPr>
          <w:rFonts w:ascii="Calibri" w:hAnsi="Calibri" w:cs="Calibri"/>
          <w:sz w:val="23"/>
          <w:szCs w:val="23"/>
        </w:rPr>
        <w:t>,</w:t>
      </w:r>
      <w:r w:rsidR="00F01E77" w:rsidRPr="00C02F24">
        <w:rPr>
          <w:rFonts w:ascii="Calibri" w:hAnsi="Calibri" w:cs="Calibri"/>
          <w:sz w:val="23"/>
          <w:szCs w:val="23"/>
        </w:rPr>
        <w:t xml:space="preserve"> átlag 10 napos tartózkodási idővel bíró gyógyvendég. </w:t>
      </w:r>
    </w:p>
    <w:p w14:paraId="56DD00C3" w14:textId="3F65D071" w:rsidR="00D9549C" w:rsidRPr="00C02F24" w:rsidRDefault="00F01E77" w:rsidP="00D9549C">
      <w:pPr>
        <w:pStyle w:val="NormlWeb"/>
        <w:spacing w:after="0" w:afterAutospacing="0" w:line="276" w:lineRule="auto"/>
        <w:jc w:val="both"/>
        <w:rPr>
          <w:rFonts w:ascii="Calibri" w:hAnsi="Calibri" w:cs="Calibri"/>
          <w:sz w:val="23"/>
          <w:szCs w:val="23"/>
        </w:rPr>
      </w:pPr>
      <w:r w:rsidRPr="00C02F24">
        <w:rPr>
          <w:rFonts w:ascii="Calibri" w:hAnsi="Calibri" w:cs="Calibri"/>
          <w:sz w:val="23"/>
          <w:szCs w:val="23"/>
        </w:rPr>
        <w:t xml:space="preserve">10 km-re a repülőtértől a Balaton térsége a nyári időszakban szezonálisan jelent keresletet az üdülő vendégek irányából. </w:t>
      </w:r>
      <w:r w:rsidR="00DD4DF7" w:rsidRPr="00C02F24">
        <w:rPr>
          <w:rFonts w:ascii="Calibri" w:hAnsi="Calibri" w:cs="Calibri"/>
          <w:sz w:val="23"/>
          <w:szCs w:val="23"/>
        </w:rPr>
        <w:t xml:space="preserve">A térség </w:t>
      </w:r>
      <w:r w:rsidR="006C06FE" w:rsidRPr="00C02F24">
        <w:rPr>
          <w:rFonts w:ascii="Calibri" w:hAnsi="Calibri" w:cs="Calibri"/>
          <w:sz w:val="23"/>
          <w:szCs w:val="23"/>
        </w:rPr>
        <w:t>két</w:t>
      </w:r>
      <w:r w:rsidR="00DD4DF7" w:rsidRPr="00C02F24">
        <w:rPr>
          <w:rFonts w:ascii="Calibri" w:hAnsi="Calibri" w:cs="Calibri"/>
          <w:sz w:val="23"/>
          <w:szCs w:val="23"/>
        </w:rPr>
        <w:t xml:space="preserve"> legjelentősebb vendégforgalmat lebonyolító városai Siófok és Balatonfüred. </w:t>
      </w:r>
      <w:r w:rsidRPr="00C02F24">
        <w:rPr>
          <w:rFonts w:ascii="Calibri" w:hAnsi="Calibri" w:cs="Calibri"/>
          <w:sz w:val="23"/>
          <w:szCs w:val="23"/>
        </w:rPr>
        <w:t>A Balaton külföldi ven</w:t>
      </w:r>
      <w:r w:rsidR="00DD4DF7" w:rsidRPr="00C02F24">
        <w:rPr>
          <w:rFonts w:ascii="Calibri" w:hAnsi="Calibri" w:cs="Calibri"/>
          <w:sz w:val="23"/>
          <w:szCs w:val="23"/>
        </w:rPr>
        <w:t xml:space="preserve">dégforgalmának </w:t>
      </w:r>
      <w:r w:rsidR="00B503DF">
        <w:rPr>
          <w:rFonts w:ascii="Calibri" w:hAnsi="Calibri" w:cs="Calibri"/>
          <w:sz w:val="23"/>
          <w:szCs w:val="23"/>
        </w:rPr>
        <w:t>jelentős</w:t>
      </w:r>
      <w:r w:rsidR="00B503DF" w:rsidRPr="00C02F24">
        <w:rPr>
          <w:rFonts w:ascii="Calibri" w:hAnsi="Calibri" w:cs="Calibri"/>
          <w:sz w:val="23"/>
          <w:szCs w:val="23"/>
        </w:rPr>
        <w:t xml:space="preserve"> </w:t>
      </w:r>
      <w:r w:rsidR="00DD4DF7" w:rsidRPr="00C02F24">
        <w:rPr>
          <w:rFonts w:ascii="Calibri" w:hAnsi="Calibri" w:cs="Calibri"/>
          <w:sz w:val="23"/>
          <w:szCs w:val="23"/>
        </w:rPr>
        <w:t xml:space="preserve">része </w:t>
      </w:r>
      <w:r w:rsidRPr="00C02F24">
        <w:rPr>
          <w:rFonts w:ascii="Calibri" w:hAnsi="Calibri" w:cs="Calibri"/>
          <w:sz w:val="23"/>
          <w:szCs w:val="23"/>
        </w:rPr>
        <w:t xml:space="preserve">Németországból utazik a térségbe, így számukra is kedvező alternatíva a légi közlekedés. </w:t>
      </w:r>
      <w:r w:rsidR="00B503DF">
        <w:rPr>
          <w:rFonts w:ascii="Calibri" w:hAnsi="Calibri" w:cs="Calibri"/>
          <w:sz w:val="23"/>
          <w:szCs w:val="23"/>
        </w:rPr>
        <w:t xml:space="preserve">Ezen túlmenően a repülőtér komoly szerepet játszhat a Balaton 365 napos desztinációvá válásában, mely kiemelt célkitűzése a hazai turisztikai ágazat kormányzati irányításának és jelentős mértékben emelheti a turizmus hozzájárulását az ország gazdasági teljesítményéhez. </w:t>
      </w:r>
      <w:r w:rsidR="00163BA7" w:rsidRPr="00C02F24">
        <w:rPr>
          <w:rFonts w:ascii="Calibri" w:hAnsi="Calibri" w:cs="Calibri"/>
          <w:sz w:val="23"/>
          <w:szCs w:val="23"/>
        </w:rPr>
        <w:t>A régióba érkező vendégek számának növeléséhez és nemzetiségi összetételének további szélesítéséhez elengedhetetlen</w:t>
      </w:r>
      <w:r w:rsidR="00DD4DF7" w:rsidRPr="00C02F24">
        <w:rPr>
          <w:rFonts w:ascii="Calibri" w:hAnsi="Calibri" w:cs="Calibri"/>
          <w:sz w:val="23"/>
          <w:szCs w:val="23"/>
        </w:rPr>
        <w:t xml:space="preserve"> egy nemzetközi repülőtér. A légitársaságok statisztikái egyértelműen mutatják, hogy a repülés egyre több ember számára válik napról napra elérhetővé, és ezen közlekedési ágazat egyre nagyobb szerepet játszik a turizmus fejlesztésében.</w:t>
      </w:r>
      <w:r w:rsidR="0010132C" w:rsidRPr="00C02F24">
        <w:rPr>
          <w:rFonts w:ascii="Calibri" w:hAnsi="Calibri" w:cs="Calibri"/>
          <w:sz w:val="23"/>
          <w:szCs w:val="23"/>
        </w:rPr>
        <w:br/>
      </w:r>
      <w:r w:rsidR="00AA682D" w:rsidRPr="00C02F24">
        <w:rPr>
          <w:rFonts w:ascii="Calibri" w:hAnsi="Calibri" w:cs="Calibri"/>
          <w:sz w:val="23"/>
          <w:szCs w:val="23"/>
        </w:rPr>
        <w:t>A</w:t>
      </w:r>
      <w:r w:rsidR="006806B2" w:rsidRPr="00C02F24">
        <w:rPr>
          <w:rFonts w:ascii="Calibri" w:hAnsi="Calibri" w:cs="Calibri"/>
          <w:sz w:val="23"/>
          <w:szCs w:val="23"/>
        </w:rPr>
        <w:t xml:space="preserve"> </w:t>
      </w:r>
      <w:r w:rsidR="00F278AB" w:rsidRPr="00C02F24">
        <w:rPr>
          <w:rFonts w:ascii="Calibri" w:hAnsi="Calibri" w:cs="Calibri"/>
          <w:sz w:val="23"/>
          <w:szCs w:val="23"/>
        </w:rPr>
        <w:t>célállomásra</w:t>
      </w:r>
      <w:r w:rsidR="00AA682D" w:rsidRPr="00C02F24">
        <w:rPr>
          <w:rFonts w:ascii="Calibri" w:hAnsi="Calibri" w:cs="Calibri"/>
          <w:sz w:val="23"/>
          <w:szCs w:val="23"/>
        </w:rPr>
        <w:t xml:space="preserve"> (jelen esetben Hévíz) érkezők költéséből elsősorban közvetlenül és közvetve is részesülnek az alábbiak:</w:t>
      </w:r>
    </w:p>
    <w:p w14:paraId="47FCBA73" w14:textId="28DD8FA9" w:rsidR="00AA682D" w:rsidRPr="00C02F24" w:rsidRDefault="00AA682D" w:rsidP="00FA4A0F">
      <w:pPr>
        <w:pStyle w:val="NormlWeb"/>
        <w:spacing w:before="120" w:beforeAutospacing="0" w:after="0" w:afterAutospacing="0" w:line="276" w:lineRule="auto"/>
        <w:jc w:val="both"/>
        <w:rPr>
          <w:rFonts w:ascii="Calibri" w:hAnsi="Calibri" w:cs="Calibri"/>
          <w:sz w:val="23"/>
          <w:szCs w:val="23"/>
        </w:rPr>
      </w:pPr>
      <w:r w:rsidRPr="00C02F24">
        <w:rPr>
          <w:rFonts w:ascii="Calibri" w:hAnsi="Calibri" w:cs="Calibri"/>
          <w:b/>
          <w:sz w:val="23"/>
          <w:szCs w:val="23"/>
        </w:rPr>
        <w:t>Közvetlenül:</w:t>
      </w:r>
    </w:p>
    <w:p w14:paraId="47FCBA74" w14:textId="77777777" w:rsidR="00AA682D" w:rsidRPr="00C02F24" w:rsidRDefault="00AA682D" w:rsidP="00D9549C">
      <w:pPr>
        <w:pStyle w:val="Szvegtrzs"/>
        <w:numPr>
          <w:ilvl w:val="1"/>
          <w:numId w:val="12"/>
        </w:numPr>
        <w:spacing w:after="0" w:line="276" w:lineRule="auto"/>
        <w:rPr>
          <w:rFonts w:ascii="Calibri" w:hAnsi="Calibri" w:cs="Calibri"/>
          <w:sz w:val="23"/>
          <w:szCs w:val="23"/>
          <w:lang w:val="hu-HU"/>
        </w:rPr>
      </w:pPr>
      <w:r w:rsidRPr="00C02F24">
        <w:rPr>
          <w:rFonts w:ascii="Calibri" w:hAnsi="Calibri" w:cs="Calibri"/>
          <w:sz w:val="23"/>
          <w:szCs w:val="23"/>
          <w:lang w:val="hu-HU"/>
        </w:rPr>
        <w:t>Szálláshely-szolgáltatók</w:t>
      </w:r>
    </w:p>
    <w:p w14:paraId="47FCBA75" w14:textId="77777777" w:rsidR="00AA682D" w:rsidRPr="00C02F24" w:rsidRDefault="00AA682D" w:rsidP="00D9549C">
      <w:pPr>
        <w:pStyle w:val="Szvegtrzs"/>
        <w:numPr>
          <w:ilvl w:val="1"/>
          <w:numId w:val="12"/>
        </w:numPr>
        <w:spacing w:after="0" w:line="276" w:lineRule="auto"/>
        <w:rPr>
          <w:rFonts w:ascii="Calibri" w:hAnsi="Calibri" w:cs="Calibri"/>
          <w:sz w:val="23"/>
          <w:szCs w:val="23"/>
          <w:lang w:val="hu-HU"/>
        </w:rPr>
      </w:pPr>
      <w:r w:rsidRPr="00C02F24">
        <w:rPr>
          <w:rFonts w:ascii="Calibri" w:hAnsi="Calibri" w:cs="Calibri"/>
          <w:sz w:val="23"/>
          <w:szCs w:val="23"/>
          <w:lang w:val="hu-HU"/>
        </w:rPr>
        <w:t>Vendéglátóhelyek</w:t>
      </w:r>
    </w:p>
    <w:p w14:paraId="47FCBA76" w14:textId="77777777" w:rsidR="00AA682D" w:rsidRPr="00C02F24" w:rsidRDefault="00AA682D" w:rsidP="00D9549C">
      <w:pPr>
        <w:pStyle w:val="Szvegtrzs"/>
        <w:numPr>
          <w:ilvl w:val="1"/>
          <w:numId w:val="12"/>
        </w:numPr>
        <w:spacing w:after="0" w:line="276" w:lineRule="auto"/>
        <w:rPr>
          <w:rFonts w:ascii="Calibri" w:hAnsi="Calibri" w:cs="Calibri"/>
          <w:sz w:val="23"/>
          <w:szCs w:val="23"/>
          <w:lang w:val="hu-HU"/>
        </w:rPr>
      </w:pPr>
      <w:r w:rsidRPr="00C02F24">
        <w:rPr>
          <w:rFonts w:ascii="Calibri" w:hAnsi="Calibri" w:cs="Calibri"/>
          <w:sz w:val="23"/>
          <w:szCs w:val="23"/>
          <w:lang w:val="hu-HU"/>
        </w:rPr>
        <w:t>Kiskereskedők (élelmiszer és ajándék)</w:t>
      </w:r>
    </w:p>
    <w:p w14:paraId="47FCBA77" w14:textId="77777777" w:rsidR="00AA682D" w:rsidRPr="00C02F24" w:rsidRDefault="00AA682D" w:rsidP="00D9549C">
      <w:pPr>
        <w:pStyle w:val="Szvegtrzs"/>
        <w:numPr>
          <w:ilvl w:val="1"/>
          <w:numId w:val="12"/>
        </w:numPr>
        <w:spacing w:after="0" w:line="276" w:lineRule="auto"/>
        <w:rPr>
          <w:rFonts w:ascii="Calibri" w:hAnsi="Calibri" w:cs="Calibri"/>
          <w:sz w:val="23"/>
          <w:szCs w:val="23"/>
          <w:lang w:val="hu-HU"/>
        </w:rPr>
      </w:pPr>
      <w:r w:rsidRPr="00C02F24">
        <w:rPr>
          <w:rFonts w:ascii="Calibri" w:hAnsi="Calibri" w:cs="Calibri"/>
          <w:sz w:val="23"/>
          <w:szCs w:val="23"/>
          <w:lang w:val="hu-HU"/>
        </w:rPr>
        <w:t xml:space="preserve">Szabadidős tevékenységek </w:t>
      </w:r>
    </w:p>
    <w:p w14:paraId="47FCBA78" w14:textId="77777777" w:rsidR="00AA682D" w:rsidRPr="00C02F24" w:rsidRDefault="00AA682D" w:rsidP="00D9549C">
      <w:pPr>
        <w:pStyle w:val="Szvegtrzs"/>
        <w:numPr>
          <w:ilvl w:val="1"/>
          <w:numId w:val="12"/>
        </w:numPr>
        <w:spacing w:after="0" w:line="276" w:lineRule="auto"/>
        <w:rPr>
          <w:rFonts w:ascii="Calibri" w:hAnsi="Calibri" w:cs="Calibri"/>
          <w:sz w:val="23"/>
          <w:szCs w:val="23"/>
          <w:lang w:val="hu-HU"/>
        </w:rPr>
      </w:pPr>
      <w:r w:rsidRPr="00C02F24">
        <w:rPr>
          <w:rFonts w:ascii="Calibri" w:hAnsi="Calibri" w:cs="Calibri"/>
          <w:sz w:val="23"/>
          <w:szCs w:val="23"/>
          <w:lang w:val="hu-HU"/>
        </w:rPr>
        <w:t>Közlekedési vállalkozások és</w:t>
      </w:r>
    </w:p>
    <w:p w14:paraId="47FCBA79" w14:textId="77777777" w:rsidR="00AA682D" w:rsidRPr="00C02F24" w:rsidRDefault="00AA682D" w:rsidP="00D9549C">
      <w:pPr>
        <w:pStyle w:val="Szvegtrzs"/>
        <w:numPr>
          <w:ilvl w:val="1"/>
          <w:numId w:val="12"/>
        </w:numPr>
        <w:spacing w:after="0" w:line="276" w:lineRule="auto"/>
        <w:rPr>
          <w:rFonts w:ascii="Calibri" w:hAnsi="Calibri" w:cs="Calibri"/>
          <w:sz w:val="23"/>
          <w:szCs w:val="23"/>
          <w:lang w:val="hu-HU"/>
        </w:rPr>
      </w:pPr>
      <w:r w:rsidRPr="00C02F24">
        <w:rPr>
          <w:rFonts w:ascii="Calibri" w:hAnsi="Calibri" w:cs="Calibri"/>
          <w:sz w:val="23"/>
          <w:szCs w:val="23"/>
          <w:lang w:val="hu-HU"/>
        </w:rPr>
        <w:t xml:space="preserve">Vonzerők (pl. fürdőszolgáltatások, múzeumok, állatpark) üzemeltetői, illetve </w:t>
      </w:r>
    </w:p>
    <w:p w14:paraId="47FCBA7A" w14:textId="77777777" w:rsidR="00AA682D" w:rsidRPr="00C02F24" w:rsidRDefault="00AA682D" w:rsidP="00D9549C">
      <w:pPr>
        <w:pStyle w:val="Szvegtrzs"/>
        <w:spacing w:after="0" w:line="276" w:lineRule="auto"/>
        <w:rPr>
          <w:rFonts w:ascii="Calibri" w:hAnsi="Calibri" w:cs="Calibri"/>
          <w:b/>
          <w:sz w:val="23"/>
          <w:szCs w:val="23"/>
          <w:lang w:val="hu-HU"/>
        </w:rPr>
      </w:pPr>
      <w:r w:rsidRPr="00C02F24">
        <w:rPr>
          <w:rFonts w:ascii="Calibri" w:hAnsi="Calibri" w:cs="Calibri"/>
          <w:b/>
          <w:sz w:val="23"/>
          <w:szCs w:val="23"/>
          <w:lang w:val="hu-HU"/>
        </w:rPr>
        <w:t>Közvetve:</w:t>
      </w:r>
    </w:p>
    <w:p w14:paraId="47FCBA7B" w14:textId="77777777" w:rsidR="00AA682D" w:rsidRPr="00C02F24" w:rsidRDefault="00AA682D" w:rsidP="00D9549C">
      <w:pPr>
        <w:pStyle w:val="Szvegtrzs"/>
        <w:numPr>
          <w:ilvl w:val="1"/>
          <w:numId w:val="12"/>
        </w:numPr>
        <w:spacing w:after="0" w:line="276" w:lineRule="auto"/>
        <w:rPr>
          <w:rFonts w:ascii="Calibri" w:hAnsi="Calibri" w:cs="Calibri"/>
          <w:sz w:val="23"/>
          <w:szCs w:val="23"/>
          <w:lang w:val="hu-HU"/>
        </w:rPr>
      </w:pPr>
      <w:r w:rsidRPr="00C02F24">
        <w:rPr>
          <w:rFonts w:ascii="Calibri" w:hAnsi="Calibri" w:cs="Calibri"/>
          <w:sz w:val="23"/>
          <w:szCs w:val="23"/>
          <w:lang w:val="hu-HU"/>
        </w:rPr>
        <w:t>Önkormányzati adóbevételek (pl. idegenforgalmi adó és az ahhoz kapcsolódó állami kiegészítés vagy iparűzési adó mértéke) formájában</w:t>
      </w:r>
    </w:p>
    <w:p w14:paraId="47FCBA7C" w14:textId="77777777" w:rsidR="00AA682D" w:rsidRPr="00C02F24" w:rsidRDefault="00AA682D" w:rsidP="00D9549C">
      <w:pPr>
        <w:pStyle w:val="Szvegtrzs"/>
        <w:numPr>
          <w:ilvl w:val="1"/>
          <w:numId w:val="12"/>
        </w:numPr>
        <w:spacing w:after="0" w:line="276" w:lineRule="auto"/>
        <w:rPr>
          <w:rFonts w:ascii="Calibri" w:hAnsi="Calibri" w:cs="Calibri"/>
          <w:sz w:val="23"/>
          <w:szCs w:val="23"/>
          <w:lang w:val="hu-HU"/>
        </w:rPr>
      </w:pPr>
      <w:r w:rsidRPr="00C02F24">
        <w:rPr>
          <w:rFonts w:ascii="Calibri" w:hAnsi="Calibri" w:cs="Calibri"/>
          <w:sz w:val="23"/>
          <w:szCs w:val="23"/>
          <w:lang w:val="hu-HU"/>
        </w:rPr>
        <w:t>A kapcsolódó vállalkozások által foglalkoztatottak száma alapján</w:t>
      </w:r>
    </w:p>
    <w:p w14:paraId="47FCBA7D" w14:textId="77777777" w:rsidR="00AA682D" w:rsidRPr="00C02F24" w:rsidRDefault="00AA682D" w:rsidP="00D9549C">
      <w:pPr>
        <w:pStyle w:val="Szvegtrzs"/>
        <w:numPr>
          <w:ilvl w:val="1"/>
          <w:numId w:val="12"/>
        </w:numPr>
        <w:spacing w:after="0" w:line="276" w:lineRule="auto"/>
        <w:rPr>
          <w:rFonts w:ascii="Calibri" w:hAnsi="Calibri" w:cs="Calibri"/>
          <w:sz w:val="23"/>
          <w:szCs w:val="23"/>
          <w:lang w:val="hu-HU"/>
        </w:rPr>
      </w:pPr>
      <w:r w:rsidRPr="00C02F24">
        <w:rPr>
          <w:rFonts w:ascii="Calibri" w:hAnsi="Calibri" w:cs="Calibri"/>
          <w:sz w:val="23"/>
          <w:szCs w:val="23"/>
          <w:lang w:val="hu-HU"/>
        </w:rPr>
        <w:t>A turisztikai szolgáltatók és a vonzerők üzemeltetőinek beszállítói kapcsolatait vizsgálva (főként azokat, amelyek forgalomarányosan változnak).</w:t>
      </w:r>
    </w:p>
    <w:p w14:paraId="69EC7D8B" w14:textId="77777777" w:rsidR="000F3691" w:rsidRPr="00C02F24" w:rsidRDefault="000F3691" w:rsidP="000F3691">
      <w:pPr>
        <w:spacing w:before="240" w:after="240"/>
        <w:jc w:val="both"/>
        <w:rPr>
          <w:rFonts w:ascii="Calibri" w:hAnsi="Calibri" w:cs="Calibri"/>
          <w:sz w:val="23"/>
          <w:szCs w:val="23"/>
        </w:rPr>
      </w:pPr>
      <w:r w:rsidRPr="00C02F24">
        <w:rPr>
          <w:rFonts w:ascii="Calibri" w:hAnsi="Calibri" w:cs="Calibri"/>
          <w:sz w:val="23"/>
          <w:szCs w:val="23"/>
        </w:rPr>
        <w:t xml:space="preserve">A repülőtér közvetlen környezetére, valamint a központi költségvetésre gyakorolt hatását egy külön tanulmány vizsgálja. </w:t>
      </w:r>
    </w:p>
    <w:p w14:paraId="30993C0D" w14:textId="79C6E1FF" w:rsidR="000F3691" w:rsidRPr="00B503DF" w:rsidRDefault="000F3691" w:rsidP="00B503DF">
      <w:pPr>
        <w:jc w:val="both"/>
        <w:rPr>
          <w:rFonts w:ascii="Calibri" w:hAnsi="Calibri" w:cs="Calibri"/>
          <w:noProof/>
          <w:sz w:val="24"/>
          <w:szCs w:val="24"/>
        </w:rPr>
      </w:pPr>
      <w:r w:rsidRPr="00C02F24">
        <w:rPr>
          <w:noProof/>
        </w:rPr>
        <w:drawing>
          <wp:anchor distT="0" distB="0" distL="114300" distR="114300" simplePos="0" relativeHeight="251657216" behindDoc="1" locked="0" layoutInCell="1" allowOverlap="1" wp14:anchorId="0BE38BD1" wp14:editId="33777830">
            <wp:simplePos x="0" y="0"/>
            <wp:positionH relativeFrom="margin">
              <wp:align>left</wp:align>
            </wp:positionH>
            <wp:positionV relativeFrom="paragraph">
              <wp:posOffset>8255</wp:posOffset>
            </wp:positionV>
            <wp:extent cx="3171825" cy="2223923"/>
            <wp:effectExtent l="0" t="0" r="0" b="5080"/>
            <wp:wrapNone/>
            <wp:docPr id="1" name="Kép 1" descr="A képen térkép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 1" descr="A képen térkép látható&#10;&#10;Automatikusan generált leírás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0668" cy="2237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02F24">
        <w:rPr>
          <w:noProof/>
        </w:rPr>
        <w:drawing>
          <wp:anchor distT="0" distB="0" distL="114300" distR="114300" simplePos="0" relativeHeight="251662336" behindDoc="1" locked="0" layoutInCell="1" allowOverlap="1" wp14:anchorId="094AAA2C" wp14:editId="106F2092">
            <wp:simplePos x="0" y="0"/>
            <wp:positionH relativeFrom="column">
              <wp:posOffset>3776345</wp:posOffset>
            </wp:positionH>
            <wp:positionV relativeFrom="paragraph">
              <wp:posOffset>8255</wp:posOffset>
            </wp:positionV>
            <wp:extent cx="333375" cy="1409700"/>
            <wp:effectExtent l="0" t="0" r="9525" b="0"/>
            <wp:wrapNone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03DF">
        <w:rPr>
          <w:rFonts w:ascii="Calibri" w:hAnsi="Calibri" w:cs="Calibri"/>
          <w:sz w:val="24"/>
          <w:szCs w:val="24"/>
        </w:rPr>
        <w:t xml:space="preserve">                                                                                                                                 </w:t>
      </w:r>
      <w:r w:rsidR="00B503DF" w:rsidRPr="00B503DF">
        <w:rPr>
          <w:rFonts w:ascii="Calibri" w:hAnsi="Calibri" w:cs="Calibri"/>
          <w:sz w:val="24"/>
          <w:szCs w:val="24"/>
        </w:rPr>
        <w:t>60    p</w:t>
      </w:r>
      <w:r w:rsidRPr="00B503DF">
        <w:rPr>
          <w:rFonts w:ascii="Calibri" w:hAnsi="Calibri" w:cs="Calibri"/>
          <w:sz w:val="24"/>
          <w:szCs w:val="24"/>
        </w:rPr>
        <w:t>ercen belül</w:t>
      </w:r>
    </w:p>
    <w:p w14:paraId="01A1908C" w14:textId="58C6B805" w:rsidR="000F3691" w:rsidRPr="00B503DF" w:rsidRDefault="00B503DF" w:rsidP="00B503DF">
      <w:pPr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t xml:space="preserve">                                                                                                                                 </w:t>
      </w:r>
      <w:r w:rsidRPr="00B503DF">
        <w:rPr>
          <w:rFonts w:ascii="Calibri" w:hAnsi="Calibri" w:cs="Calibri"/>
          <w:noProof/>
          <w:sz w:val="24"/>
          <w:szCs w:val="24"/>
        </w:rPr>
        <w:t>90</w:t>
      </w:r>
      <w:r>
        <w:rPr>
          <w:rFonts w:ascii="Calibri" w:hAnsi="Calibri" w:cs="Calibri"/>
          <w:noProof/>
          <w:sz w:val="24"/>
          <w:szCs w:val="24"/>
        </w:rPr>
        <w:t xml:space="preserve">   </w:t>
      </w:r>
      <w:r w:rsidRPr="00B503DF">
        <w:rPr>
          <w:rFonts w:ascii="Calibri" w:hAnsi="Calibri" w:cs="Calibri"/>
          <w:noProof/>
          <w:sz w:val="24"/>
          <w:szCs w:val="24"/>
        </w:rPr>
        <w:t xml:space="preserve"> p</w:t>
      </w:r>
      <w:r w:rsidR="000F3691" w:rsidRPr="00B503DF">
        <w:rPr>
          <w:rFonts w:ascii="Calibri" w:hAnsi="Calibri" w:cs="Calibri"/>
          <w:noProof/>
          <w:sz w:val="24"/>
          <w:szCs w:val="24"/>
        </w:rPr>
        <w:t>ercen belül</w:t>
      </w:r>
    </w:p>
    <w:p w14:paraId="2E330BD3" w14:textId="2845EDB4" w:rsidR="000F3691" w:rsidRPr="00C02F24" w:rsidRDefault="00B503DF" w:rsidP="00B503DF">
      <w:pPr>
        <w:pStyle w:val="Listaszerbekezds"/>
        <w:ind w:left="6900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120   </w:t>
      </w:r>
      <w:r w:rsidR="000F3691" w:rsidRPr="00C02F24">
        <w:rPr>
          <w:rFonts w:ascii="Calibri" w:hAnsi="Calibri" w:cs="Calibri"/>
          <w:sz w:val="24"/>
          <w:szCs w:val="24"/>
        </w:rPr>
        <w:t>percen belül</w:t>
      </w:r>
    </w:p>
    <w:p w14:paraId="775963A2" w14:textId="769EE4F2" w:rsidR="000F3691" w:rsidRPr="00C02F24" w:rsidRDefault="000F3691" w:rsidP="000F3691">
      <w:pPr>
        <w:jc w:val="center"/>
        <w:rPr>
          <w:rFonts w:ascii="Calibri" w:hAnsi="Calibri" w:cs="Calibri"/>
          <w:sz w:val="24"/>
          <w:szCs w:val="24"/>
        </w:rPr>
      </w:pPr>
      <w:r w:rsidRPr="00C02F24">
        <w:rPr>
          <w:rFonts w:ascii="Calibri" w:hAnsi="Calibri" w:cs="Calibri"/>
          <w:sz w:val="24"/>
          <w:szCs w:val="24"/>
        </w:rPr>
        <w:t xml:space="preserve">                                                                            </w:t>
      </w:r>
      <w:r w:rsidR="00B503DF">
        <w:rPr>
          <w:rFonts w:ascii="Calibri" w:hAnsi="Calibri" w:cs="Calibri"/>
          <w:sz w:val="24"/>
          <w:szCs w:val="24"/>
        </w:rPr>
        <w:t xml:space="preserve">                   </w:t>
      </w:r>
      <w:r w:rsidRPr="00C02F24">
        <w:rPr>
          <w:rFonts w:ascii="Calibri" w:hAnsi="Calibri" w:cs="Calibri"/>
          <w:sz w:val="24"/>
          <w:szCs w:val="24"/>
        </w:rPr>
        <w:t xml:space="preserve">           </w:t>
      </w:r>
      <w:r w:rsidR="00B503DF">
        <w:rPr>
          <w:rFonts w:ascii="Calibri" w:hAnsi="Calibri" w:cs="Calibri"/>
          <w:sz w:val="24"/>
          <w:szCs w:val="24"/>
        </w:rPr>
        <w:t xml:space="preserve">  </w:t>
      </w:r>
      <w:r w:rsidRPr="00C02F24">
        <w:rPr>
          <w:rFonts w:ascii="Calibri" w:hAnsi="Calibri" w:cs="Calibri"/>
          <w:sz w:val="24"/>
          <w:szCs w:val="24"/>
        </w:rPr>
        <w:t>18</w:t>
      </w:r>
      <w:r w:rsidR="00B503DF">
        <w:rPr>
          <w:rFonts w:ascii="Calibri" w:hAnsi="Calibri" w:cs="Calibri"/>
          <w:sz w:val="24"/>
          <w:szCs w:val="24"/>
        </w:rPr>
        <w:t xml:space="preserve">0   </w:t>
      </w:r>
      <w:r w:rsidRPr="00C02F24">
        <w:rPr>
          <w:rFonts w:ascii="Calibri" w:hAnsi="Calibri" w:cs="Calibri"/>
          <w:sz w:val="24"/>
          <w:szCs w:val="24"/>
        </w:rPr>
        <w:t>percen belül</w:t>
      </w:r>
    </w:p>
    <w:p w14:paraId="6BAEC1F1" w14:textId="77777777" w:rsidR="000F3691" w:rsidRPr="00C02F24" w:rsidRDefault="000F3691" w:rsidP="000F3691">
      <w:pPr>
        <w:rPr>
          <w:rFonts w:ascii="Calibri" w:hAnsi="Calibri" w:cs="Calibri"/>
          <w:b/>
          <w:sz w:val="24"/>
          <w:szCs w:val="24"/>
        </w:rPr>
      </w:pPr>
    </w:p>
    <w:p w14:paraId="299704AA" w14:textId="77777777" w:rsidR="00BC1FB3" w:rsidRPr="00C02F24" w:rsidRDefault="00BC1FB3" w:rsidP="000F3691">
      <w:pPr>
        <w:rPr>
          <w:rFonts w:ascii="Calibri" w:hAnsi="Calibri" w:cs="Calibri"/>
          <w:b/>
          <w:sz w:val="24"/>
          <w:szCs w:val="24"/>
        </w:rPr>
      </w:pPr>
    </w:p>
    <w:p w14:paraId="459B1BC9" w14:textId="77777777" w:rsidR="00BC1FB3" w:rsidRPr="00C02F24" w:rsidRDefault="00BC1FB3" w:rsidP="000F3691">
      <w:pPr>
        <w:rPr>
          <w:rFonts w:ascii="Calibri" w:hAnsi="Calibri" w:cs="Calibri"/>
          <w:b/>
          <w:sz w:val="24"/>
          <w:szCs w:val="24"/>
        </w:rPr>
      </w:pPr>
    </w:p>
    <w:p w14:paraId="69473BEC" w14:textId="2A42421F" w:rsidR="00D9549C" w:rsidRPr="00C02F24" w:rsidRDefault="00CC36DD" w:rsidP="00EB0527">
      <w:pPr>
        <w:pStyle w:val="Cmsor1"/>
        <w:numPr>
          <w:ilvl w:val="0"/>
          <w:numId w:val="35"/>
        </w:numPr>
        <w:spacing w:before="240" w:after="240"/>
        <w:ind w:left="426" w:hanging="426"/>
        <w:rPr>
          <w:rFonts w:ascii="Calibri" w:hAnsi="Calibri" w:cs="Calibri"/>
          <w:b/>
          <w:bCs/>
          <w:caps/>
          <w:sz w:val="26"/>
          <w:szCs w:val="26"/>
        </w:rPr>
      </w:pPr>
      <w:bookmarkStart w:id="1" w:name="_Toc196485744"/>
      <w:r w:rsidRPr="00C02F24">
        <w:rPr>
          <w:rFonts w:ascii="Calibri" w:hAnsi="Calibri" w:cs="Calibri"/>
          <w:b/>
          <w:bCs/>
          <w:caps/>
          <w:sz w:val="26"/>
          <w:szCs w:val="26"/>
        </w:rPr>
        <w:t>TÁRSASÁG ADATAI</w:t>
      </w:r>
      <w:bookmarkEnd w:id="1"/>
    </w:p>
    <w:p w14:paraId="6A35D116" w14:textId="770E70C8" w:rsidR="00D9549C" w:rsidRPr="00C02F24" w:rsidRDefault="00CC36DD" w:rsidP="000F3691">
      <w:pPr>
        <w:pBdr>
          <w:top w:val="nil"/>
          <w:left w:val="nil"/>
          <w:bottom w:val="nil"/>
          <w:right w:val="nil"/>
          <w:between w:val="nil"/>
        </w:pBdr>
        <w:spacing w:before="360" w:after="240"/>
        <w:rPr>
          <w:rFonts w:ascii="Calibri" w:eastAsia="Arial" w:hAnsi="Calibri" w:cs="Calibri"/>
          <w:b/>
          <w:color w:val="000000"/>
          <w:sz w:val="23"/>
          <w:szCs w:val="23"/>
        </w:rPr>
      </w:pPr>
      <w:r w:rsidRPr="00C02F24">
        <w:rPr>
          <w:rFonts w:ascii="Calibri" w:eastAsia="Arial" w:hAnsi="Calibri" w:cs="Calibri"/>
          <w:i/>
          <w:iCs/>
          <w:sz w:val="23"/>
          <w:szCs w:val="23"/>
        </w:rPr>
        <w:t>neve</w:t>
      </w:r>
      <w:r w:rsidR="00D9549C" w:rsidRPr="00C02F24">
        <w:rPr>
          <w:rFonts w:ascii="Calibri" w:eastAsia="Arial" w:hAnsi="Calibri" w:cs="Calibri"/>
          <w:i/>
          <w:iCs/>
          <w:sz w:val="23"/>
          <w:szCs w:val="23"/>
        </w:rPr>
        <w:t xml:space="preserve"> és működési formája:</w:t>
      </w:r>
      <w:r w:rsidR="000F3691" w:rsidRPr="00C02F24">
        <w:rPr>
          <w:rFonts w:ascii="Calibri" w:eastAsia="Arial" w:hAnsi="Calibri" w:cs="Calibri"/>
          <w:i/>
          <w:iCs/>
          <w:sz w:val="23"/>
          <w:szCs w:val="23"/>
        </w:rPr>
        <w:tab/>
      </w:r>
      <w:r w:rsidR="00D9549C" w:rsidRPr="00C02F24">
        <w:rPr>
          <w:rFonts w:ascii="Calibri" w:eastAsia="Arial" w:hAnsi="Calibri" w:cs="Calibri"/>
          <w:b/>
          <w:bCs/>
          <w:sz w:val="23"/>
          <w:szCs w:val="23"/>
        </w:rPr>
        <w:t>HÉVÍZ-BALATON AIRPORT Korlátolt Felelősségű Társaság</w:t>
      </w:r>
    </w:p>
    <w:p w14:paraId="2DA32EB5" w14:textId="6A705F7C" w:rsidR="00D9549C" w:rsidRPr="00C02F24" w:rsidRDefault="000F3691" w:rsidP="000F3691">
      <w:pPr>
        <w:spacing w:before="240" w:after="240"/>
        <w:rPr>
          <w:rFonts w:ascii="Calibri" w:eastAsia="Arial" w:hAnsi="Calibri" w:cs="Calibri"/>
          <w:sz w:val="23"/>
          <w:szCs w:val="23"/>
        </w:rPr>
      </w:pPr>
      <w:r w:rsidRPr="00C02F24">
        <w:rPr>
          <w:rFonts w:ascii="Calibri" w:eastAsia="Arial" w:hAnsi="Calibri" w:cs="Calibri"/>
          <w:i/>
          <w:iCs/>
          <w:sz w:val="23"/>
          <w:szCs w:val="23"/>
        </w:rPr>
        <w:t>a</w:t>
      </w:r>
      <w:r w:rsidR="00D9549C" w:rsidRPr="00C02F24">
        <w:rPr>
          <w:rFonts w:ascii="Calibri" w:eastAsia="Arial" w:hAnsi="Calibri" w:cs="Calibri"/>
          <w:i/>
          <w:iCs/>
          <w:sz w:val="23"/>
          <w:szCs w:val="23"/>
        </w:rPr>
        <w:t>lapítás időpontja:</w:t>
      </w:r>
      <w:r w:rsidRPr="00C02F24">
        <w:rPr>
          <w:rFonts w:ascii="Calibri" w:eastAsia="Arial" w:hAnsi="Calibri" w:cs="Calibri"/>
          <w:sz w:val="23"/>
          <w:szCs w:val="23"/>
        </w:rPr>
        <w:tab/>
      </w:r>
      <w:r w:rsidRPr="00C02F24">
        <w:rPr>
          <w:rFonts w:ascii="Calibri" w:eastAsia="Arial" w:hAnsi="Calibri" w:cs="Calibri"/>
          <w:sz w:val="23"/>
          <w:szCs w:val="23"/>
        </w:rPr>
        <w:tab/>
      </w:r>
      <w:r w:rsidR="00D9549C" w:rsidRPr="00C02F24">
        <w:rPr>
          <w:rFonts w:ascii="Calibri" w:eastAsia="Arial" w:hAnsi="Calibri" w:cs="Calibri"/>
          <w:sz w:val="23"/>
          <w:szCs w:val="23"/>
        </w:rPr>
        <w:t>2012. március 20.</w:t>
      </w:r>
    </w:p>
    <w:p w14:paraId="684396F0" w14:textId="408EFAC2" w:rsidR="00D9549C" w:rsidRPr="00C02F24" w:rsidRDefault="000F3691" w:rsidP="000F3691">
      <w:pPr>
        <w:spacing w:before="240" w:after="240" w:line="240" w:lineRule="auto"/>
        <w:rPr>
          <w:rFonts w:ascii="Calibri" w:eastAsia="Arial" w:hAnsi="Calibri" w:cs="Calibri"/>
          <w:i/>
          <w:iCs/>
          <w:sz w:val="23"/>
          <w:szCs w:val="23"/>
        </w:rPr>
      </w:pPr>
      <w:r w:rsidRPr="00C02F24">
        <w:rPr>
          <w:rFonts w:ascii="Calibri" w:eastAsia="Arial" w:hAnsi="Calibri" w:cs="Calibri"/>
          <w:i/>
          <w:iCs/>
          <w:sz w:val="23"/>
          <w:szCs w:val="23"/>
        </w:rPr>
        <w:t>t</w:t>
      </w:r>
      <w:r w:rsidR="00D9549C" w:rsidRPr="00C02F24">
        <w:rPr>
          <w:rFonts w:ascii="Calibri" w:eastAsia="Arial" w:hAnsi="Calibri" w:cs="Calibri"/>
          <w:i/>
          <w:iCs/>
          <w:sz w:val="23"/>
          <w:szCs w:val="23"/>
        </w:rPr>
        <w:t>ulajdonos:</w:t>
      </w:r>
    </w:p>
    <w:p w14:paraId="6D868D30" w14:textId="13DDBDE3" w:rsidR="00D9549C" w:rsidRPr="00C02F24" w:rsidRDefault="000F3691" w:rsidP="000F3691">
      <w:pPr>
        <w:spacing w:before="240" w:after="240" w:line="240" w:lineRule="auto"/>
        <w:ind w:left="2410" w:hanging="709"/>
        <w:rPr>
          <w:rFonts w:ascii="Calibri" w:eastAsia="Arial" w:hAnsi="Calibri" w:cs="Calibri"/>
          <w:sz w:val="23"/>
          <w:szCs w:val="23"/>
        </w:rPr>
      </w:pPr>
      <w:r w:rsidRPr="00C02F24">
        <w:rPr>
          <w:rFonts w:ascii="Calibri" w:eastAsia="Arial" w:hAnsi="Calibri" w:cs="Calibri"/>
          <w:sz w:val="23"/>
          <w:szCs w:val="23"/>
        </w:rPr>
        <w:t xml:space="preserve">90, % tulajdoni hányaddal </w:t>
      </w:r>
      <w:r w:rsidR="00D9549C" w:rsidRPr="00C02F24">
        <w:rPr>
          <w:rFonts w:ascii="Calibri" w:eastAsia="Arial" w:hAnsi="Calibri" w:cs="Calibri"/>
          <w:sz w:val="23"/>
          <w:szCs w:val="23"/>
        </w:rPr>
        <w:t>Magyar Állam, a képviseletre jogosult tulajdonosi joggyakorló neve:</w:t>
      </w:r>
      <w:r w:rsidRPr="00C02F24">
        <w:rPr>
          <w:rFonts w:ascii="Calibri" w:eastAsia="Arial" w:hAnsi="Calibri" w:cs="Calibri"/>
          <w:sz w:val="23"/>
          <w:szCs w:val="23"/>
        </w:rPr>
        <w:t xml:space="preserve"> </w:t>
      </w:r>
      <w:r w:rsidR="00D9549C" w:rsidRPr="00C02F24">
        <w:rPr>
          <w:rFonts w:ascii="Calibri" w:eastAsia="Arial" w:hAnsi="Calibri" w:cs="Calibri"/>
          <w:sz w:val="23"/>
          <w:szCs w:val="23"/>
        </w:rPr>
        <w:t>Magyar Turisztikai Ügynökség Zrt</w:t>
      </w:r>
    </w:p>
    <w:p w14:paraId="5DE356DB" w14:textId="08BD3A64" w:rsidR="00D9549C" w:rsidRPr="00C02F24" w:rsidRDefault="000F3691" w:rsidP="000F3691">
      <w:pPr>
        <w:spacing w:before="240" w:after="240"/>
        <w:ind w:left="2410" w:hanging="709"/>
        <w:rPr>
          <w:rFonts w:ascii="Calibri" w:eastAsia="Arial" w:hAnsi="Calibri" w:cs="Calibri"/>
          <w:sz w:val="23"/>
          <w:szCs w:val="23"/>
        </w:rPr>
      </w:pPr>
      <w:r w:rsidRPr="00C02F24">
        <w:rPr>
          <w:rFonts w:ascii="Calibri" w:eastAsia="Arial" w:hAnsi="Calibri" w:cs="Calibri"/>
          <w:sz w:val="23"/>
          <w:szCs w:val="23"/>
        </w:rPr>
        <w:t xml:space="preserve">9,7 % tulajdoni hányaddal </w:t>
      </w:r>
      <w:r w:rsidR="00D9549C" w:rsidRPr="00C02F24">
        <w:rPr>
          <w:rFonts w:ascii="Calibri" w:eastAsia="Arial" w:hAnsi="Calibri" w:cs="Calibri"/>
          <w:sz w:val="23"/>
          <w:szCs w:val="23"/>
        </w:rPr>
        <w:t xml:space="preserve">Hévíz Város Önkormányzata </w:t>
      </w:r>
    </w:p>
    <w:p w14:paraId="75880977" w14:textId="0D041B44" w:rsidR="00D9549C" w:rsidRPr="00C02F24" w:rsidRDefault="000F3691" w:rsidP="000F3691">
      <w:pPr>
        <w:spacing w:before="240" w:after="240"/>
        <w:rPr>
          <w:rFonts w:ascii="Calibri" w:eastAsia="Arial" w:hAnsi="Calibri" w:cs="Calibri"/>
          <w:sz w:val="23"/>
          <w:szCs w:val="23"/>
        </w:rPr>
      </w:pPr>
      <w:r w:rsidRPr="00C02F24">
        <w:rPr>
          <w:rFonts w:ascii="Calibri" w:eastAsia="Arial" w:hAnsi="Calibri" w:cs="Calibri"/>
          <w:i/>
          <w:iCs/>
          <w:sz w:val="23"/>
          <w:szCs w:val="23"/>
        </w:rPr>
        <w:t>t</w:t>
      </w:r>
      <w:r w:rsidR="00D9549C" w:rsidRPr="00C02F24">
        <w:rPr>
          <w:rFonts w:ascii="Calibri" w:eastAsia="Arial" w:hAnsi="Calibri" w:cs="Calibri"/>
          <w:i/>
          <w:iCs/>
          <w:sz w:val="23"/>
          <w:szCs w:val="23"/>
        </w:rPr>
        <w:t>örvényes képviselő:</w:t>
      </w:r>
      <w:r w:rsidR="00D9549C" w:rsidRPr="00C02F24">
        <w:rPr>
          <w:rFonts w:ascii="Calibri" w:eastAsia="Arial" w:hAnsi="Calibri" w:cs="Calibri"/>
          <w:sz w:val="23"/>
          <w:szCs w:val="23"/>
        </w:rPr>
        <w:t xml:space="preserve"> </w:t>
      </w:r>
      <w:r w:rsidRPr="00C02F24">
        <w:rPr>
          <w:rFonts w:ascii="Calibri" w:eastAsia="Arial" w:hAnsi="Calibri" w:cs="Calibri"/>
          <w:sz w:val="23"/>
          <w:szCs w:val="23"/>
        </w:rPr>
        <w:tab/>
      </w:r>
      <w:r w:rsidRPr="00C02F24">
        <w:rPr>
          <w:rFonts w:ascii="Calibri" w:eastAsia="Arial" w:hAnsi="Calibri" w:cs="Calibri"/>
          <w:sz w:val="23"/>
          <w:szCs w:val="23"/>
        </w:rPr>
        <w:tab/>
      </w:r>
      <w:r w:rsidR="00D9549C" w:rsidRPr="00C02F24">
        <w:rPr>
          <w:rFonts w:ascii="Calibri" w:eastAsia="Arial" w:hAnsi="Calibri" w:cs="Calibri"/>
          <w:sz w:val="23"/>
          <w:szCs w:val="23"/>
        </w:rPr>
        <w:t>Benkő Attila ügyvezető</w:t>
      </w:r>
    </w:p>
    <w:p w14:paraId="7EE0085F" w14:textId="3D27D3F7" w:rsidR="00D9549C" w:rsidRPr="00C02F24" w:rsidRDefault="00D9549C" w:rsidP="000F3691">
      <w:pPr>
        <w:spacing w:before="240" w:after="240"/>
        <w:rPr>
          <w:rFonts w:ascii="Calibri" w:eastAsia="Arial" w:hAnsi="Calibri" w:cs="Calibri"/>
          <w:sz w:val="23"/>
          <w:szCs w:val="23"/>
        </w:rPr>
      </w:pPr>
      <w:r w:rsidRPr="00C02F24">
        <w:rPr>
          <w:rFonts w:ascii="Calibri" w:eastAsia="Arial" w:hAnsi="Calibri" w:cs="Calibri"/>
          <w:i/>
          <w:iCs/>
          <w:sz w:val="23"/>
          <w:szCs w:val="23"/>
        </w:rPr>
        <w:t xml:space="preserve">társaság székhelye: </w:t>
      </w:r>
      <w:r w:rsidR="000F3691" w:rsidRPr="00C02F24">
        <w:rPr>
          <w:rFonts w:ascii="Calibri" w:eastAsia="Arial" w:hAnsi="Calibri" w:cs="Calibri"/>
          <w:sz w:val="23"/>
          <w:szCs w:val="23"/>
        </w:rPr>
        <w:tab/>
      </w:r>
      <w:r w:rsidR="000F3691" w:rsidRPr="00C02F24">
        <w:rPr>
          <w:rFonts w:ascii="Calibri" w:eastAsia="Arial" w:hAnsi="Calibri" w:cs="Calibri"/>
          <w:sz w:val="23"/>
          <w:szCs w:val="23"/>
        </w:rPr>
        <w:tab/>
      </w:r>
      <w:r w:rsidRPr="00C02F24">
        <w:rPr>
          <w:rFonts w:ascii="Calibri" w:eastAsia="Arial" w:hAnsi="Calibri" w:cs="Calibri"/>
          <w:sz w:val="23"/>
          <w:szCs w:val="23"/>
        </w:rPr>
        <w:t>8380 Hévíz, Kossuth Lajos utca 1.</w:t>
      </w:r>
    </w:p>
    <w:p w14:paraId="73AE2550" w14:textId="3B532420" w:rsidR="00D9549C" w:rsidRPr="00C02F24" w:rsidRDefault="00D9549C" w:rsidP="000F3691">
      <w:pPr>
        <w:spacing w:before="240" w:after="240"/>
        <w:rPr>
          <w:rFonts w:ascii="Calibri" w:eastAsia="Arial" w:hAnsi="Calibri" w:cs="Calibri"/>
          <w:sz w:val="23"/>
          <w:szCs w:val="23"/>
        </w:rPr>
      </w:pPr>
      <w:r w:rsidRPr="00C02F24">
        <w:rPr>
          <w:rFonts w:ascii="Calibri" w:eastAsia="Arial" w:hAnsi="Calibri" w:cs="Calibri"/>
          <w:i/>
          <w:iCs/>
          <w:sz w:val="23"/>
          <w:szCs w:val="23"/>
        </w:rPr>
        <w:t>társaság törzstőkéje:</w:t>
      </w:r>
      <w:r w:rsidRPr="00C02F24">
        <w:rPr>
          <w:rFonts w:ascii="Calibri" w:eastAsia="Arial" w:hAnsi="Calibri" w:cs="Calibri"/>
          <w:sz w:val="23"/>
          <w:szCs w:val="23"/>
        </w:rPr>
        <w:t xml:space="preserve"> </w:t>
      </w:r>
      <w:r w:rsidR="000F3691" w:rsidRPr="00C02F24">
        <w:rPr>
          <w:rFonts w:ascii="Calibri" w:eastAsia="Arial" w:hAnsi="Calibri" w:cs="Calibri"/>
          <w:sz w:val="23"/>
          <w:szCs w:val="23"/>
        </w:rPr>
        <w:tab/>
      </w:r>
      <w:r w:rsidR="000F3691" w:rsidRPr="00C02F24">
        <w:rPr>
          <w:rFonts w:ascii="Calibri" w:eastAsia="Arial" w:hAnsi="Calibri" w:cs="Calibri"/>
          <w:sz w:val="23"/>
          <w:szCs w:val="23"/>
        </w:rPr>
        <w:tab/>
      </w:r>
      <w:r w:rsidRPr="00C02F24">
        <w:rPr>
          <w:rFonts w:ascii="Calibri" w:eastAsia="Arial" w:hAnsi="Calibri" w:cs="Calibri"/>
          <w:sz w:val="23"/>
          <w:szCs w:val="23"/>
        </w:rPr>
        <w:t>53 000 000,- Ft</w:t>
      </w:r>
    </w:p>
    <w:p w14:paraId="2469AAA1" w14:textId="5FF52681" w:rsidR="00D9549C" w:rsidRPr="00C02F24" w:rsidRDefault="00D9549C" w:rsidP="000F3691">
      <w:pPr>
        <w:spacing w:before="240" w:after="240"/>
        <w:rPr>
          <w:rFonts w:ascii="Calibri" w:eastAsia="Arial" w:hAnsi="Calibri" w:cs="Calibri"/>
          <w:sz w:val="23"/>
          <w:szCs w:val="23"/>
        </w:rPr>
      </w:pPr>
      <w:r w:rsidRPr="00C02F24">
        <w:rPr>
          <w:rFonts w:ascii="Calibri" w:eastAsia="Arial" w:hAnsi="Calibri" w:cs="Calibri"/>
          <w:i/>
          <w:iCs/>
          <w:sz w:val="23"/>
          <w:szCs w:val="23"/>
        </w:rPr>
        <w:t>társaság fő tevékenysége:</w:t>
      </w:r>
      <w:r w:rsidR="000F3691" w:rsidRPr="00C02F24">
        <w:rPr>
          <w:rFonts w:ascii="Calibri" w:eastAsia="Arial" w:hAnsi="Calibri" w:cs="Calibri"/>
          <w:sz w:val="23"/>
          <w:szCs w:val="23"/>
        </w:rPr>
        <w:tab/>
      </w:r>
      <w:r w:rsidRPr="00C02F24">
        <w:rPr>
          <w:rFonts w:ascii="Calibri" w:eastAsia="Arial" w:hAnsi="Calibri" w:cs="Calibri"/>
          <w:sz w:val="23"/>
          <w:szCs w:val="23"/>
        </w:rPr>
        <w:t>5223 ’08 Légi szállítást kiegészítő szolgáltatás</w:t>
      </w:r>
    </w:p>
    <w:p w14:paraId="63423E04" w14:textId="6FCA224B" w:rsidR="00D9549C" w:rsidRPr="00C02F24" w:rsidRDefault="000F3691" w:rsidP="000F3691">
      <w:pPr>
        <w:spacing w:before="240" w:after="240"/>
        <w:rPr>
          <w:rFonts w:ascii="Calibri" w:eastAsia="Arial" w:hAnsi="Calibri" w:cs="Calibri"/>
          <w:i/>
          <w:iCs/>
          <w:sz w:val="23"/>
          <w:szCs w:val="23"/>
        </w:rPr>
      </w:pPr>
      <w:r w:rsidRPr="00C02F24">
        <w:rPr>
          <w:rFonts w:ascii="Calibri" w:eastAsia="Arial" w:hAnsi="Calibri" w:cs="Calibri"/>
          <w:i/>
          <w:iCs/>
          <w:sz w:val="23"/>
          <w:szCs w:val="23"/>
        </w:rPr>
        <w:t>e</w:t>
      </w:r>
      <w:r w:rsidR="00D9549C" w:rsidRPr="00C02F24">
        <w:rPr>
          <w:rFonts w:ascii="Calibri" w:eastAsia="Arial" w:hAnsi="Calibri" w:cs="Calibri"/>
          <w:i/>
          <w:iCs/>
          <w:sz w:val="23"/>
          <w:szCs w:val="23"/>
        </w:rPr>
        <w:t>lérhetőségi adatok:</w:t>
      </w:r>
    </w:p>
    <w:p w14:paraId="7F51FF22" w14:textId="0B1B2813" w:rsidR="00D9549C" w:rsidRPr="00C02F24" w:rsidRDefault="000F3691" w:rsidP="000F3691">
      <w:pPr>
        <w:spacing w:before="240" w:after="240"/>
        <w:ind w:left="567"/>
        <w:rPr>
          <w:rFonts w:ascii="Calibri" w:eastAsia="Arial" w:hAnsi="Calibri" w:cs="Calibri"/>
          <w:sz w:val="23"/>
          <w:szCs w:val="23"/>
        </w:rPr>
      </w:pPr>
      <w:r w:rsidRPr="00C02F24">
        <w:rPr>
          <w:rFonts w:ascii="Calibri" w:eastAsia="Arial" w:hAnsi="Calibri" w:cs="Calibri"/>
          <w:i/>
          <w:iCs/>
          <w:sz w:val="23"/>
          <w:szCs w:val="23"/>
        </w:rPr>
        <w:t>p</w:t>
      </w:r>
      <w:r w:rsidR="00D9549C" w:rsidRPr="00C02F24">
        <w:rPr>
          <w:rFonts w:ascii="Calibri" w:eastAsia="Arial" w:hAnsi="Calibri" w:cs="Calibri"/>
          <w:i/>
          <w:iCs/>
          <w:sz w:val="23"/>
          <w:szCs w:val="23"/>
        </w:rPr>
        <w:t>ostacím:</w:t>
      </w:r>
      <w:r w:rsidR="00D9549C" w:rsidRPr="00C02F24">
        <w:rPr>
          <w:rFonts w:ascii="Calibri" w:eastAsia="Arial" w:hAnsi="Calibri" w:cs="Calibri"/>
          <w:sz w:val="23"/>
          <w:szCs w:val="23"/>
        </w:rPr>
        <w:t xml:space="preserve"> </w:t>
      </w:r>
      <w:r w:rsidRPr="00C02F24">
        <w:rPr>
          <w:rFonts w:ascii="Calibri" w:eastAsia="Arial" w:hAnsi="Calibri" w:cs="Calibri"/>
          <w:sz w:val="23"/>
          <w:szCs w:val="23"/>
        </w:rPr>
        <w:tab/>
      </w:r>
      <w:r w:rsidR="00D9549C" w:rsidRPr="00C02F24">
        <w:rPr>
          <w:rFonts w:ascii="Calibri" w:eastAsia="Arial" w:hAnsi="Calibri" w:cs="Calibri"/>
          <w:sz w:val="23"/>
          <w:szCs w:val="23"/>
        </w:rPr>
        <w:t>8391 Sármellék, Repülőtér</w:t>
      </w:r>
    </w:p>
    <w:p w14:paraId="07B5B9D6" w14:textId="2BDD235E" w:rsidR="00D9549C" w:rsidRPr="00C02F24" w:rsidRDefault="00D9549C" w:rsidP="000F3691">
      <w:pPr>
        <w:spacing w:before="240" w:after="240"/>
        <w:ind w:left="567"/>
        <w:rPr>
          <w:rFonts w:ascii="Calibri" w:eastAsia="Arial" w:hAnsi="Calibri" w:cs="Calibri"/>
          <w:sz w:val="23"/>
          <w:szCs w:val="23"/>
        </w:rPr>
      </w:pPr>
      <w:r w:rsidRPr="00C02F24">
        <w:rPr>
          <w:rFonts w:ascii="Calibri" w:eastAsia="Arial" w:hAnsi="Calibri" w:cs="Calibri"/>
          <w:i/>
          <w:iCs/>
          <w:sz w:val="23"/>
          <w:szCs w:val="23"/>
        </w:rPr>
        <w:t>e-mail cím:</w:t>
      </w:r>
      <w:r w:rsidRPr="00C02F24">
        <w:rPr>
          <w:rFonts w:ascii="Calibri" w:eastAsia="Arial" w:hAnsi="Calibri" w:cs="Calibri"/>
          <w:sz w:val="23"/>
          <w:szCs w:val="23"/>
        </w:rPr>
        <w:t xml:space="preserve"> </w:t>
      </w:r>
      <w:r w:rsidR="000F3691" w:rsidRPr="00C02F24">
        <w:rPr>
          <w:rFonts w:ascii="Calibri" w:eastAsia="Arial" w:hAnsi="Calibri" w:cs="Calibri"/>
          <w:sz w:val="23"/>
          <w:szCs w:val="23"/>
        </w:rPr>
        <w:tab/>
      </w:r>
      <w:r w:rsidRPr="00C02F24">
        <w:rPr>
          <w:rFonts w:ascii="Calibri" w:eastAsia="Arial" w:hAnsi="Calibri" w:cs="Calibri"/>
          <w:sz w:val="23"/>
          <w:szCs w:val="23"/>
        </w:rPr>
        <w:t>info@hevizairport.com</w:t>
      </w:r>
    </w:p>
    <w:p w14:paraId="61A6EB3B" w14:textId="654D3AB0" w:rsidR="00D9549C" w:rsidRPr="00C02F24" w:rsidRDefault="000F3691" w:rsidP="000F3691">
      <w:pPr>
        <w:spacing w:before="240" w:after="240"/>
        <w:ind w:left="567"/>
        <w:rPr>
          <w:rFonts w:ascii="Calibri" w:eastAsia="Arial" w:hAnsi="Calibri" w:cs="Calibri"/>
          <w:sz w:val="23"/>
          <w:szCs w:val="23"/>
        </w:rPr>
      </w:pPr>
      <w:r w:rsidRPr="00C02F24">
        <w:rPr>
          <w:rFonts w:ascii="Calibri" w:eastAsia="Arial" w:hAnsi="Calibri" w:cs="Calibri"/>
          <w:i/>
          <w:iCs/>
          <w:sz w:val="23"/>
          <w:szCs w:val="23"/>
        </w:rPr>
        <w:t>t</w:t>
      </w:r>
      <w:r w:rsidR="00D9549C" w:rsidRPr="00C02F24">
        <w:rPr>
          <w:rFonts w:ascii="Calibri" w:eastAsia="Arial" w:hAnsi="Calibri" w:cs="Calibri"/>
          <w:i/>
          <w:iCs/>
          <w:sz w:val="23"/>
          <w:szCs w:val="23"/>
        </w:rPr>
        <w:t>el:</w:t>
      </w:r>
      <w:r w:rsidR="00D9549C" w:rsidRPr="00C02F24">
        <w:rPr>
          <w:rFonts w:ascii="Calibri" w:eastAsia="Arial" w:hAnsi="Calibri" w:cs="Calibri"/>
          <w:sz w:val="23"/>
          <w:szCs w:val="23"/>
        </w:rPr>
        <w:t xml:space="preserve"> </w:t>
      </w:r>
      <w:r w:rsidRPr="00C02F24">
        <w:rPr>
          <w:rFonts w:ascii="Calibri" w:eastAsia="Arial" w:hAnsi="Calibri" w:cs="Calibri"/>
          <w:sz w:val="23"/>
          <w:szCs w:val="23"/>
        </w:rPr>
        <w:tab/>
      </w:r>
      <w:r w:rsidRPr="00C02F24">
        <w:rPr>
          <w:rFonts w:ascii="Calibri" w:eastAsia="Arial" w:hAnsi="Calibri" w:cs="Calibri"/>
          <w:sz w:val="23"/>
          <w:szCs w:val="23"/>
        </w:rPr>
        <w:tab/>
      </w:r>
      <w:r w:rsidR="00D9549C" w:rsidRPr="00C02F24">
        <w:rPr>
          <w:rFonts w:ascii="Calibri" w:eastAsia="Arial" w:hAnsi="Calibri" w:cs="Calibri"/>
          <w:sz w:val="23"/>
          <w:szCs w:val="23"/>
        </w:rPr>
        <w:t>+36 83 200</w:t>
      </w:r>
      <w:r w:rsidR="00C164C9" w:rsidRPr="00C02F24">
        <w:rPr>
          <w:rFonts w:ascii="Calibri" w:eastAsia="Arial" w:hAnsi="Calibri" w:cs="Calibri"/>
          <w:sz w:val="23"/>
          <w:szCs w:val="23"/>
        </w:rPr>
        <w:t> </w:t>
      </w:r>
      <w:r w:rsidR="00D9549C" w:rsidRPr="00C02F24">
        <w:rPr>
          <w:rFonts w:ascii="Calibri" w:eastAsia="Arial" w:hAnsi="Calibri" w:cs="Calibri"/>
          <w:sz w:val="23"/>
          <w:szCs w:val="23"/>
        </w:rPr>
        <w:t>300</w:t>
      </w:r>
    </w:p>
    <w:p w14:paraId="696FA0B5" w14:textId="1F93F49D" w:rsidR="00D9549C" w:rsidRPr="00C02F24" w:rsidRDefault="000F3691" w:rsidP="000F3691">
      <w:pPr>
        <w:spacing w:before="240" w:after="240" w:line="240" w:lineRule="auto"/>
        <w:jc w:val="both"/>
        <w:rPr>
          <w:rFonts w:ascii="Calibri" w:eastAsia="Arial" w:hAnsi="Calibri" w:cs="Calibri"/>
          <w:i/>
          <w:iCs/>
          <w:sz w:val="23"/>
          <w:szCs w:val="23"/>
        </w:rPr>
      </w:pPr>
      <w:r w:rsidRPr="00C02F24">
        <w:rPr>
          <w:rFonts w:ascii="Calibri" w:eastAsia="Arial" w:hAnsi="Calibri" w:cs="Calibri"/>
          <w:i/>
          <w:iCs/>
          <w:sz w:val="23"/>
          <w:szCs w:val="23"/>
        </w:rPr>
        <w:t>a</w:t>
      </w:r>
      <w:r w:rsidR="00D9549C" w:rsidRPr="00C02F24">
        <w:rPr>
          <w:rFonts w:ascii="Calibri" w:eastAsia="Arial" w:hAnsi="Calibri" w:cs="Calibri"/>
          <w:i/>
          <w:iCs/>
          <w:sz w:val="23"/>
          <w:szCs w:val="23"/>
        </w:rPr>
        <w:t xml:space="preserve"> Társaság könyvvezetését végző cég neve: </w:t>
      </w:r>
    </w:p>
    <w:p w14:paraId="7A753623" w14:textId="77777777" w:rsidR="00D9549C" w:rsidRPr="00C02F24" w:rsidRDefault="00D9549C" w:rsidP="000F3691">
      <w:pPr>
        <w:spacing w:before="240" w:after="240" w:line="240" w:lineRule="auto"/>
        <w:ind w:left="567"/>
        <w:jc w:val="both"/>
        <w:rPr>
          <w:rFonts w:ascii="Calibri" w:eastAsia="Arial" w:hAnsi="Calibri" w:cs="Calibri"/>
          <w:sz w:val="23"/>
          <w:szCs w:val="23"/>
        </w:rPr>
      </w:pPr>
      <w:r w:rsidRPr="00C02F24">
        <w:rPr>
          <w:rFonts w:ascii="Calibri" w:eastAsia="Arial" w:hAnsi="Calibri" w:cs="Calibri"/>
          <w:sz w:val="23"/>
          <w:szCs w:val="23"/>
        </w:rPr>
        <w:t>Szám-Tan’77 Bt. (székhelye: 8360 Keszthely, Martinovics u. 2.; Adószáma: 14010033-2-20)</w:t>
      </w:r>
    </w:p>
    <w:p w14:paraId="69A4942B" w14:textId="6A92F4FE" w:rsidR="00D9549C" w:rsidRPr="00C02F24" w:rsidRDefault="000F3691" w:rsidP="000F3691">
      <w:pPr>
        <w:spacing w:before="240" w:after="240" w:line="240" w:lineRule="auto"/>
        <w:jc w:val="both"/>
        <w:rPr>
          <w:rFonts w:ascii="Calibri" w:eastAsia="Arial" w:hAnsi="Calibri" w:cs="Calibri"/>
          <w:i/>
          <w:iCs/>
          <w:sz w:val="23"/>
          <w:szCs w:val="23"/>
        </w:rPr>
      </w:pPr>
      <w:r w:rsidRPr="00C02F24">
        <w:rPr>
          <w:rFonts w:ascii="Calibri" w:eastAsia="Arial" w:hAnsi="Calibri" w:cs="Calibri"/>
          <w:i/>
          <w:iCs/>
          <w:sz w:val="23"/>
          <w:szCs w:val="23"/>
        </w:rPr>
        <w:t>a</w:t>
      </w:r>
      <w:r w:rsidR="00D9549C" w:rsidRPr="00C02F24">
        <w:rPr>
          <w:rFonts w:ascii="Calibri" w:eastAsia="Arial" w:hAnsi="Calibri" w:cs="Calibri"/>
          <w:i/>
          <w:iCs/>
          <w:sz w:val="23"/>
          <w:szCs w:val="23"/>
        </w:rPr>
        <w:t xml:space="preserve"> Társaság könyvvizsgálójának neve, címe: </w:t>
      </w:r>
    </w:p>
    <w:p w14:paraId="69D52A82" w14:textId="77777777" w:rsidR="00D9549C" w:rsidRPr="00C02F24" w:rsidRDefault="00D9549C" w:rsidP="000F3691">
      <w:pPr>
        <w:spacing w:before="240" w:after="240" w:line="240" w:lineRule="auto"/>
        <w:ind w:left="567"/>
        <w:jc w:val="both"/>
        <w:rPr>
          <w:rFonts w:ascii="Calibri" w:eastAsia="Arial" w:hAnsi="Calibri" w:cs="Calibri"/>
          <w:sz w:val="23"/>
          <w:szCs w:val="23"/>
        </w:rPr>
      </w:pPr>
      <w:r w:rsidRPr="00C02F24">
        <w:rPr>
          <w:rFonts w:ascii="Calibri" w:eastAsia="Arial" w:hAnsi="Calibri" w:cs="Calibri"/>
          <w:sz w:val="23"/>
          <w:szCs w:val="23"/>
        </w:rPr>
        <w:t>Vecsera Jánosné, 8360 Keszthely, Pipacs u. 4. „GM-AUDIT" Könyvvizsgáló és Tanácsadó Korlátolt Felelősségű Társaság</w:t>
      </w:r>
    </w:p>
    <w:p w14:paraId="13DA814B" w14:textId="455E42DA" w:rsidR="00522460" w:rsidRPr="00C02F24" w:rsidRDefault="000F3691" w:rsidP="000F3691">
      <w:pPr>
        <w:tabs>
          <w:tab w:val="left" w:pos="930"/>
        </w:tabs>
        <w:spacing w:before="240" w:after="240"/>
        <w:jc w:val="both"/>
        <w:rPr>
          <w:rFonts w:ascii="Calibri" w:hAnsi="Calibri" w:cs="Calibri"/>
          <w:i/>
          <w:iCs/>
          <w:sz w:val="23"/>
          <w:szCs w:val="23"/>
        </w:rPr>
      </w:pPr>
      <w:r w:rsidRPr="00C02F24">
        <w:rPr>
          <w:rFonts w:ascii="Calibri" w:hAnsi="Calibri" w:cs="Calibri"/>
          <w:i/>
          <w:iCs/>
          <w:sz w:val="23"/>
          <w:szCs w:val="23"/>
        </w:rPr>
        <w:t>a</w:t>
      </w:r>
      <w:r w:rsidR="004F2D67" w:rsidRPr="00C02F24">
        <w:rPr>
          <w:rFonts w:ascii="Calibri" w:hAnsi="Calibri" w:cs="Calibri"/>
          <w:i/>
          <w:iCs/>
          <w:sz w:val="23"/>
          <w:szCs w:val="23"/>
        </w:rPr>
        <w:t xml:space="preserve"> Társaság Felügyelő Bizottsága és díjazása:</w:t>
      </w:r>
    </w:p>
    <w:p w14:paraId="14A4C061" w14:textId="6C3E0361" w:rsidR="000F3691" w:rsidRPr="00C02F24" w:rsidRDefault="000F3691" w:rsidP="000F3691">
      <w:pPr>
        <w:tabs>
          <w:tab w:val="left" w:pos="930"/>
        </w:tabs>
        <w:spacing w:before="240" w:after="240"/>
        <w:ind w:left="567"/>
        <w:rPr>
          <w:rFonts w:ascii="Calibri" w:hAnsi="Calibri" w:cs="Calibri"/>
          <w:sz w:val="23"/>
          <w:szCs w:val="23"/>
        </w:rPr>
      </w:pPr>
      <w:r w:rsidRPr="00C02F24">
        <w:rPr>
          <w:rFonts w:ascii="Calibri" w:hAnsi="Calibri" w:cs="Calibri"/>
          <w:i/>
          <w:iCs/>
          <w:sz w:val="23"/>
          <w:szCs w:val="23"/>
        </w:rPr>
        <w:t>e</w:t>
      </w:r>
      <w:r w:rsidR="004F2D67" w:rsidRPr="00C02F24">
        <w:rPr>
          <w:rFonts w:ascii="Calibri" w:hAnsi="Calibri" w:cs="Calibri"/>
          <w:i/>
          <w:iCs/>
          <w:sz w:val="23"/>
          <w:szCs w:val="23"/>
        </w:rPr>
        <w:t>lnök:</w:t>
      </w:r>
      <w:r w:rsidR="004F2D67" w:rsidRPr="00C02F24">
        <w:rPr>
          <w:rFonts w:ascii="Calibri" w:hAnsi="Calibri" w:cs="Calibri"/>
          <w:sz w:val="23"/>
          <w:szCs w:val="23"/>
        </w:rPr>
        <w:t xml:space="preserve"> </w:t>
      </w:r>
      <w:r w:rsidRPr="00C02F24">
        <w:rPr>
          <w:rFonts w:ascii="Calibri" w:hAnsi="Calibri" w:cs="Calibri"/>
          <w:sz w:val="23"/>
          <w:szCs w:val="23"/>
        </w:rPr>
        <w:tab/>
      </w:r>
      <w:r w:rsidR="00E0605A">
        <w:rPr>
          <w:rFonts w:ascii="Calibri" w:hAnsi="Calibri" w:cs="Calibri"/>
          <w:sz w:val="23"/>
          <w:szCs w:val="23"/>
        </w:rPr>
        <w:t>Juhász Szabolcs</w:t>
      </w:r>
      <w:r w:rsidR="004F2D67" w:rsidRPr="00C02F24">
        <w:rPr>
          <w:rFonts w:ascii="Calibri" w:hAnsi="Calibri" w:cs="Calibri"/>
          <w:sz w:val="23"/>
          <w:szCs w:val="23"/>
        </w:rPr>
        <w:t xml:space="preserve"> </w:t>
      </w:r>
      <w:r w:rsidR="007E6322" w:rsidRPr="00C02F24">
        <w:rPr>
          <w:rFonts w:ascii="Calibri" w:hAnsi="Calibri" w:cs="Calibri"/>
          <w:sz w:val="23"/>
          <w:szCs w:val="23"/>
        </w:rPr>
        <w:t>(</w:t>
      </w:r>
      <w:r w:rsidR="00884BE2" w:rsidRPr="00C02F24">
        <w:rPr>
          <w:rFonts w:ascii="Calibri" w:hAnsi="Calibri" w:cs="Calibri"/>
          <w:sz w:val="23"/>
          <w:szCs w:val="23"/>
        </w:rPr>
        <w:t>250.000.-</w:t>
      </w:r>
      <w:r w:rsidRPr="00C02F24">
        <w:rPr>
          <w:rFonts w:ascii="Calibri" w:hAnsi="Calibri" w:cs="Calibri"/>
          <w:sz w:val="23"/>
          <w:szCs w:val="23"/>
        </w:rPr>
        <w:t xml:space="preserve"> Ft</w:t>
      </w:r>
      <w:r w:rsidR="007E6322" w:rsidRPr="00C02F24">
        <w:rPr>
          <w:rFonts w:ascii="Calibri" w:hAnsi="Calibri" w:cs="Calibri"/>
          <w:sz w:val="23"/>
          <w:szCs w:val="23"/>
        </w:rPr>
        <w:t>)</w:t>
      </w:r>
    </w:p>
    <w:p w14:paraId="39864C8C" w14:textId="167099DA" w:rsidR="000F3691" w:rsidRPr="00C02F24" w:rsidRDefault="000F3691" w:rsidP="000F3691">
      <w:pPr>
        <w:tabs>
          <w:tab w:val="left" w:pos="930"/>
        </w:tabs>
        <w:spacing w:before="240" w:after="240"/>
        <w:ind w:left="567"/>
        <w:rPr>
          <w:rFonts w:ascii="Calibri" w:hAnsi="Calibri" w:cs="Calibri"/>
          <w:sz w:val="23"/>
          <w:szCs w:val="23"/>
        </w:rPr>
      </w:pPr>
      <w:r w:rsidRPr="00C02F24">
        <w:rPr>
          <w:rFonts w:ascii="Calibri" w:hAnsi="Calibri" w:cs="Calibri"/>
          <w:i/>
          <w:iCs/>
          <w:sz w:val="23"/>
          <w:szCs w:val="23"/>
        </w:rPr>
        <w:t>t</w:t>
      </w:r>
      <w:r w:rsidR="007E6322" w:rsidRPr="00C02F24">
        <w:rPr>
          <w:rFonts w:ascii="Calibri" w:hAnsi="Calibri" w:cs="Calibri"/>
          <w:i/>
          <w:iCs/>
          <w:sz w:val="23"/>
          <w:szCs w:val="23"/>
        </w:rPr>
        <w:t>ag:</w:t>
      </w:r>
      <w:r w:rsidR="007E6322" w:rsidRPr="00C02F24">
        <w:rPr>
          <w:rFonts w:ascii="Calibri" w:hAnsi="Calibri" w:cs="Calibri"/>
          <w:sz w:val="23"/>
          <w:szCs w:val="23"/>
        </w:rPr>
        <w:t xml:space="preserve"> </w:t>
      </w:r>
      <w:r w:rsidRPr="00C02F24">
        <w:rPr>
          <w:rFonts w:ascii="Calibri" w:hAnsi="Calibri" w:cs="Calibri"/>
          <w:sz w:val="23"/>
          <w:szCs w:val="23"/>
        </w:rPr>
        <w:tab/>
      </w:r>
      <w:r w:rsidR="007E6322" w:rsidRPr="00C02F24">
        <w:rPr>
          <w:rFonts w:ascii="Calibri" w:hAnsi="Calibri" w:cs="Calibri"/>
          <w:sz w:val="23"/>
          <w:szCs w:val="23"/>
        </w:rPr>
        <w:t>Dr. Böröczky Zita (200.000</w:t>
      </w:r>
      <w:r w:rsidR="00884BE2" w:rsidRPr="00C02F24">
        <w:rPr>
          <w:rFonts w:ascii="Calibri" w:hAnsi="Calibri" w:cs="Calibri"/>
          <w:sz w:val="23"/>
          <w:szCs w:val="23"/>
        </w:rPr>
        <w:t>.-</w:t>
      </w:r>
      <w:r w:rsidR="007E6322" w:rsidRPr="00C02F24">
        <w:rPr>
          <w:rFonts w:ascii="Calibri" w:hAnsi="Calibri" w:cs="Calibri"/>
          <w:sz w:val="23"/>
          <w:szCs w:val="23"/>
        </w:rPr>
        <w:t xml:space="preserve"> Ft/hó)</w:t>
      </w:r>
    </w:p>
    <w:p w14:paraId="4B5F72C8" w14:textId="0A0BBB71" w:rsidR="004F2D67" w:rsidRPr="00C02F24" w:rsidRDefault="000F3691" w:rsidP="000F3691">
      <w:pPr>
        <w:tabs>
          <w:tab w:val="left" w:pos="930"/>
        </w:tabs>
        <w:spacing w:before="240" w:after="240"/>
        <w:ind w:left="567"/>
        <w:rPr>
          <w:rFonts w:ascii="Calibri" w:hAnsi="Calibri" w:cs="Calibri"/>
          <w:sz w:val="23"/>
          <w:szCs w:val="23"/>
        </w:rPr>
      </w:pPr>
      <w:r w:rsidRPr="00C02F24">
        <w:rPr>
          <w:rFonts w:ascii="Calibri" w:hAnsi="Calibri" w:cs="Calibri"/>
          <w:i/>
          <w:iCs/>
          <w:sz w:val="23"/>
          <w:szCs w:val="23"/>
        </w:rPr>
        <w:t>tag:</w:t>
      </w:r>
      <w:r w:rsidRPr="00C02F24">
        <w:rPr>
          <w:rFonts w:ascii="Calibri" w:hAnsi="Calibri" w:cs="Calibri"/>
          <w:sz w:val="23"/>
          <w:szCs w:val="23"/>
        </w:rPr>
        <w:t xml:space="preserve"> </w:t>
      </w:r>
      <w:r w:rsidRPr="00C02F24">
        <w:rPr>
          <w:rFonts w:ascii="Calibri" w:hAnsi="Calibri" w:cs="Calibri"/>
          <w:sz w:val="23"/>
          <w:szCs w:val="23"/>
        </w:rPr>
        <w:tab/>
      </w:r>
      <w:r w:rsidR="00E0605A">
        <w:rPr>
          <w:rFonts w:ascii="Calibri" w:hAnsi="Calibri" w:cs="Calibri"/>
          <w:sz w:val="23"/>
          <w:szCs w:val="23"/>
        </w:rPr>
        <w:t>Dr. Horváth Viktória</w:t>
      </w:r>
      <w:r w:rsidR="007E6322" w:rsidRPr="00C02F24">
        <w:rPr>
          <w:rFonts w:ascii="Calibri" w:hAnsi="Calibri" w:cs="Calibri"/>
          <w:sz w:val="23"/>
          <w:szCs w:val="23"/>
        </w:rPr>
        <w:t xml:space="preserve"> (200.000</w:t>
      </w:r>
      <w:r w:rsidR="00884BE2" w:rsidRPr="00C02F24">
        <w:rPr>
          <w:rFonts w:ascii="Calibri" w:hAnsi="Calibri" w:cs="Calibri"/>
          <w:sz w:val="23"/>
          <w:szCs w:val="23"/>
        </w:rPr>
        <w:t>.-</w:t>
      </w:r>
      <w:r w:rsidR="007E6322" w:rsidRPr="00C02F24">
        <w:rPr>
          <w:rFonts w:ascii="Calibri" w:hAnsi="Calibri" w:cs="Calibri"/>
          <w:sz w:val="23"/>
          <w:szCs w:val="23"/>
        </w:rPr>
        <w:t xml:space="preserve"> Ft/hó)</w:t>
      </w:r>
      <w:r w:rsidRPr="00C02F24">
        <w:rPr>
          <w:rFonts w:ascii="Calibri" w:hAnsi="Calibri" w:cs="Calibri"/>
          <w:sz w:val="23"/>
          <w:szCs w:val="23"/>
        </w:rPr>
        <w:t xml:space="preserve"> </w:t>
      </w:r>
    </w:p>
    <w:p w14:paraId="337B92B6" w14:textId="62F2699C" w:rsidR="009B1D47" w:rsidRPr="00C02F24" w:rsidRDefault="009B1D47" w:rsidP="0064481B">
      <w:pPr>
        <w:tabs>
          <w:tab w:val="left" w:pos="930"/>
        </w:tabs>
        <w:jc w:val="both"/>
        <w:rPr>
          <w:rFonts w:ascii="Calibri" w:hAnsi="Calibri" w:cs="Calibri"/>
          <w:b/>
          <w:bCs/>
          <w:sz w:val="28"/>
          <w:szCs w:val="28"/>
        </w:rPr>
      </w:pPr>
    </w:p>
    <w:p w14:paraId="71F35162" w14:textId="5886FBBB" w:rsidR="00060869" w:rsidRPr="00C02F24" w:rsidRDefault="00CC36DD" w:rsidP="00EB0527">
      <w:pPr>
        <w:pStyle w:val="Cmsor1"/>
        <w:numPr>
          <w:ilvl w:val="0"/>
          <w:numId w:val="35"/>
        </w:numPr>
        <w:spacing w:before="240" w:after="240"/>
        <w:ind w:left="426" w:hanging="426"/>
        <w:rPr>
          <w:rFonts w:ascii="Calibri" w:hAnsi="Calibri" w:cs="Calibri"/>
          <w:b/>
          <w:bCs/>
          <w:caps/>
          <w:sz w:val="26"/>
          <w:szCs w:val="26"/>
        </w:rPr>
      </w:pPr>
      <w:bookmarkStart w:id="2" w:name="_Toc196485745"/>
      <w:r w:rsidRPr="00C02F24">
        <w:rPr>
          <w:rFonts w:ascii="Calibri" w:hAnsi="Calibri" w:cs="Calibri"/>
          <w:b/>
          <w:bCs/>
          <w:caps/>
          <w:sz w:val="26"/>
          <w:szCs w:val="26"/>
        </w:rPr>
        <w:lastRenderedPageBreak/>
        <w:t>VEZETŐI ÖSSZEFOGLALÓ</w:t>
      </w:r>
      <w:bookmarkEnd w:id="2"/>
    </w:p>
    <w:p w14:paraId="41BAE08B" w14:textId="701BE3D8" w:rsidR="005968C2" w:rsidRPr="00D675EC" w:rsidRDefault="003B16DF" w:rsidP="00CC36DD">
      <w:pPr>
        <w:tabs>
          <w:tab w:val="left" w:pos="930"/>
        </w:tabs>
        <w:jc w:val="both"/>
        <w:rPr>
          <w:rFonts w:ascii="Calibri" w:hAnsi="Calibri" w:cs="Calibri"/>
          <w:sz w:val="23"/>
          <w:szCs w:val="23"/>
        </w:rPr>
      </w:pPr>
      <w:r w:rsidRPr="00D675EC">
        <w:rPr>
          <w:rFonts w:ascii="Calibri" w:hAnsi="Calibri" w:cs="Calibri"/>
          <w:sz w:val="23"/>
          <w:szCs w:val="23"/>
        </w:rPr>
        <w:t xml:space="preserve">A </w:t>
      </w:r>
      <w:r w:rsidR="005968C2" w:rsidRPr="00D675EC">
        <w:rPr>
          <w:rFonts w:ascii="Calibri" w:hAnsi="Calibri" w:cs="Calibri"/>
          <w:sz w:val="23"/>
          <w:szCs w:val="23"/>
        </w:rPr>
        <w:t xml:space="preserve">Társaság </w:t>
      </w:r>
      <w:r w:rsidR="00E0605A" w:rsidRPr="00D675EC">
        <w:rPr>
          <w:rFonts w:ascii="Calibri" w:hAnsi="Calibri" w:cs="Calibri"/>
          <w:sz w:val="23"/>
          <w:szCs w:val="23"/>
        </w:rPr>
        <w:t>202</w:t>
      </w:r>
      <w:r w:rsidR="00E0605A">
        <w:rPr>
          <w:rFonts w:ascii="Calibri" w:hAnsi="Calibri" w:cs="Calibri"/>
          <w:sz w:val="23"/>
          <w:szCs w:val="23"/>
        </w:rPr>
        <w:t>4</w:t>
      </w:r>
      <w:r w:rsidR="00003376" w:rsidRPr="00D675EC">
        <w:rPr>
          <w:rFonts w:ascii="Calibri" w:hAnsi="Calibri" w:cs="Calibri"/>
          <w:sz w:val="23"/>
          <w:szCs w:val="23"/>
        </w:rPr>
        <w:t>.</w:t>
      </w:r>
      <w:r w:rsidR="005968C2" w:rsidRPr="00D675EC">
        <w:rPr>
          <w:rFonts w:ascii="Calibri" w:hAnsi="Calibri" w:cs="Calibri"/>
          <w:sz w:val="23"/>
          <w:szCs w:val="23"/>
        </w:rPr>
        <w:t xml:space="preserve"> évben </w:t>
      </w:r>
      <w:r w:rsidR="00FD673E" w:rsidRPr="00D675EC">
        <w:rPr>
          <w:rFonts w:ascii="Calibri" w:hAnsi="Calibri" w:cs="Calibri"/>
          <w:sz w:val="23"/>
          <w:szCs w:val="23"/>
        </w:rPr>
        <w:t xml:space="preserve">a légi szállítást kiegészítő szolgáltatás </w:t>
      </w:r>
      <w:r w:rsidR="005968C2" w:rsidRPr="00D675EC">
        <w:rPr>
          <w:rFonts w:ascii="Calibri" w:hAnsi="Calibri" w:cs="Calibri"/>
          <w:sz w:val="23"/>
          <w:szCs w:val="23"/>
        </w:rPr>
        <w:t>tevékenységét</w:t>
      </w:r>
      <w:r w:rsidR="00FD673E" w:rsidRPr="00D675EC">
        <w:rPr>
          <w:rFonts w:ascii="Calibri" w:hAnsi="Calibri" w:cs="Calibri"/>
          <w:sz w:val="23"/>
          <w:szCs w:val="23"/>
        </w:rPr>
        <w:t>, mint főtevékenységet</w:t>
      </w:r>
      <w:r w:rsidR="005968C2" w:rsidRPr="00D675EC">
        <w:rPr>
          <w:rFonts w:ascii="Calibri" w:hAnsi="Calibri" w:cs="Calibri"/>
          <w:sz w:val="23"/>
          <w:szCs w:val="23"/>
        </w:rPr>
        <w:t xml:space="preserve"> folyamatosan ellátta,</w:t>
      </w:r>
      <w:r w:rsidR="00FD673E" w:rsidRPr="00D675EC">
        <w:rPr>
          <w:rFonts w:ascii="Calibri" w:hAnsi="Calibri" w:cs="Calibri"/>
          <w:sz w:val="23"/>
          <w:szCs w:val="23"/>
        </w:rPr>
        <w:t xml:space="preserve"> biztosította a</w:t>
      </w:r>
      <w:r w:rsidRPr="00D675EC">
        <w:rPr>
          <w:rFonts w:ascii="Calibri" w:hAnsi="Calibri" w:cs="Calibri"/>
          <w:sz w:val="23"/>
          <w:szCs w:val="23"/>
        </w:rPr>
        <w:t xml:space="preserve"> tulajdonában lévő vagy rendelkezésére bocsátott</w:t>
      </w:r>
      <w:r w:rsidR="00FD673E" w:rsidRPr="00D675EC">
        <w:rPr>
          <w:rFonts w:ascii="Calibri" w:hAnsi="Calibri" w:cs="Calibri"/>
          <w:sz w:val="23"/>
          <w:szCs w:val="23"/>
        </w:rPr>
        <w:t xml:space="preserve"> eszközök és források rendeltetésszerű és a tevékenység célja szerinti</w:t>
      </w:r>
      <w:r w:rsidR="008C5900">
        <w:rPr>
          <w:rFonts w:ascii="Calibri" w:hAnsi="Calibri" w:cs="Calibri"/>
          <w:sz w:val="23"/>
          <w:szCs w:val="23"/>
        </w:rPr>
        <w:t>,</w:t>
      </w:r>
      <w:r w:rsidR="00FD673E" w:rsidRPr="00D675EC">
        <w:rPr>
          <w:rFonts w:ascii="Calibri" w:hAnsi="Calibri" w:cs="Calibri"/>
          <w:sz w:val="23"/>
          <w:szCs w:val="23"/>
        </w:rPr>
        <w:t xml:space="preserve"> hatékony és </w:t>
      </w:r>
      <w:r w:rsidRPr="00D675EC">
        <w:rPr>
          <w:rFonts w:ascii="Calibri" w:hAnsi="Calibri" w:cs="Calibri"/>
          <w:sz w:val="23"/>
          <w:szCs w:val="23"/>
        </w:rPr>
        <w:t>gazdaságos</w:t>
      </w:r>
      <w:r w:rsidR="00FD673E" w:rsidRPr="00D675EC">
        <w:rPr>
          <w:rFonts w:ascii="Calibri" w:hAnsi="Calibri" w:cs="Calibri"/>
          <w:sz w:val="23"/>
          <w:szCs w:val="23"/>
        </w:rPr>
        <w:t xml:space="preserve"> felhasználás</w:t>
      </w:r>
      <w:r w:rsidR="006455E9" w:rsidRPr="00D675EC">
        <w:rPr>
          <w:rFonts w:ascii="Calibri" w:hAnsi="Calibri" w:cs="Calibri"/>
          <w:sz w:val="23"/>
          <w:szCs w:val="23"/>
        </w:rPr>
        <w:t>á</w:t>
      </w:r>
      <w:r w:rsidR="00FD673E" w:rsidRPr="00D675EC">
        <w:rPr>
          <w:rFonts w:ascii="Calibri" w:hAnsi="Calibri" w:cs="Calibri"/>
          <w:sz w:val="23"/>
          <w:szCs w:val="23"/>
        </w:rPr>
        <w:t>t</w:t>
      </w:r>
      <w:r w:rsidRPr="00D675EC">
        <w:rPr>
          <w:rFonts w:ascii="Calibri" w:hAnsi="Calibri" w:cs="Calibri"/>
          <w:sz w:val="23"/>
          <w:szCs w:val="23"/>
        </w:rPr>
        <w:t xml:space="preserve">. </w:t>
      </w:r>
      <w:r w:rsidR="00FD673E" w:rsidRPr="00D675EC">
        <w:rPr>
          <w:rFonts w:ascii="Calibri" w:hAnsi="Calibri" w:cs="Calibri"/>
          <w:sz w:val="23"/>
          <w:szCs w:val="23"/>
        </w:rPr>
        <w:t xml:space="preserve"> </w:t>
      </w:r>
      <w:r w:rsidRPr="00D675EC">
        <w:rPr>
          <w:rFonts w:ascii="Calibri" w:hAnsi="Calibri" w:cs="Calibri"/>
          <w:sz w:val="23"/>
          <w:szCs w:val="23"/>
        </w:rPr>
        <w:t>Körültekintő és fokozottan tervezett gazdálkodást igényelt a tárgyév annak ismeretében, hogy</w:t>
      </w:r>
      <w:r w:rsidR="00E12464">
        <w:rPr>
          <w:rFonts w:ascii="Calibri" w:hAnsi="Calibri" w:cs="Calibri"/>
          <w:sz w:val="23"/>
          <w:szCs w:val="23"/>
        </w:rPr>
        <w:t xml:space="preserve"> </w:t>
      </w:r>
      <w:r w:rsidRPr="00D675EC">
        <w:rPr>
          <w:rFonts w:ascii="Calibri" w:hAnsi="Calibri" w:cs="Calibri"/>
          <w:sz w:val="23"/>
          <w:szCs w:val="23"/>
        </w:rPr>
        <w:t>a</w:t>
      </w:r>
      <w:r w:rsidR="00FB7500">
        <w:rPr>
          <w:rFonts w:ascii="Calibri" w:hAnsi="Calibri" w:cs="Calibri"/>
          <w:sz w:val="23"/>
          <w:szCs w:val="23"/>
        </w:rPr>
        <w:t xml:space="preserve"> tervezéskor prognosztizált</w:t>
      </w:r>
      <w:r w:rsidR="00D87EB4">
        <w:rPr>
          <w:rFonts w:ascii="Calibri" w:hAnsi="Calibri" w:cs="Calibri"/>
          <w:sz w:val="23"/>
          <w:szCs w:val="23"/>
        </w:rPr>
        <w:t xml:space="preserve"> alacsony számú</w:t>
      </w:r>
      <w:r w:rsidR="00FB7500">
        <w:rPr>
          <w:rFonts w:ascii="Calibri" w:hAnsi="Calibri" w:cs="Calibri"/>
          <w:sz w:val="23"/>
          <w:szCs w:val="23"/>
        </w:rPr>
        <w:t xml:space="preserve"> légi utas</w:t>
      </w:r>
      <w:r w:rsidR="00B2322A">
        <w:rPr>
          <w:rFonts w:ascii="Calibri" w:hAnsi="Calibri" w:cs="Calibri"/>
          <w:sz w:val="23"/>
          <w:szCs w:val="23"/>
        </w:rPr>
        <w:t>-</w:t>
      </w:r>
      <w:r w:rsidR="00FB7500">
        <w:rPr>
          <w:rFonts w:ascii="Calibri" w:hAnsi="Calibri" w:cs="Calibri"/>
          <w:sz w:val="23"/>
          <w:szCs w:val="23"/>
        </w:rPr>
        <w:t xml:space="preserve"> és áruforgalom</w:t>
      </w:r>
      <w:r w:rsidR="00074FAB">
        <w:rPr>
          <w:rFonts w:ascii="Calibri" w:hAnsi="Calibri" w:cs="Calibri"/>
          <w:sz w:val="23"/>
          <w:szCs w:val="23"/>
        </w:rPr>
        <w:t xml:space="preserve"> valamint</w:t>
      </w:r>
      <w:r w:rsidR="00E12464">
        <w:rPr>
          <w:rFonts w:ascii="Calibri" w:hAnsi="Calibri" w:cs="Calibri"/>
          <w:sz w:val="23"/>
          <w:szCs w:val="23"/>
        </w:rPr>
        <w:t xml:space="preserve"> a működési támogatás előző évihez való változatlan mértéke</w:t>
      </w:r>
      <w:r w:rsidR="00074FAB">
        <w:rPr>
          <w:rFonts w:ascii="Calibri" w:hAnsi="Calibri" w:cs="Calibri"/>
          <w:sz w:val="23"/>
          <w:szCs w:val="23"/>
        </w:rPr>
        <w:t xml:space="preserve"> </w:t>
      </w:r>
      <w:r w:rsidR="00B2322A">
        <w:rPr>
          <w:rFonts w:ascii="Calibri" w:hAnsi="Calibri" w:cs="Calibri"/>
          <w:sz w:val="23"/>
          <w:szCs w:val="23"/>
        </w:rPr>
        <w:t xml:space="preserve">előrevetítette, hogy a költségek és bevételek racionalizálása szükséges a likviditás folyamatos fenntartásához, mivel a bérek és a </w:t>
      </w:r>
      <w:r w:rsidRPr="00D675EC">
        <w:rPr>
          <w:rFonts w:ascii="Calibri" w:hAnsi="Calibri" w:cs="Calibri"/>
          <w:sz w:val="23"/>
          <w:szCs w:val="23"/>
        </w:rPr>
        <w:t>fogyasztói árinde</w:t>
      </w:r>
      <w:r w:rsidR="00074FAB">
        <w:rPr>
          <w:rFonts w:ascii="Calibri" w:hAnsi="Calibri" w:cs="Calibri"/>
          <w:sz w:val="23"/>
          <w:szCs w:val="23"/>
        </w:rPr>
        <w:t>xet</w:t>
      </w:r>
      <w:r w:rsidRPr="00D675EC">
        <w:rPr>
          <w:rFonts w:ascii="Calibri" w:hAnsi="Calibri" w:cs="Calibri"/>
          <w:sz w:val="23"/>
          <w:szCs w:val="23"/>
        </w:rPr>
        <w:t xml:space="preserve"> (</w:t>
      </w:r>
      <w:r w:rsidR="00E0605A">
        <w:rPr>
          <w:rFonts w:ascii="Calibri" w:hAnsi="Calibri" w:cs="Calibri"/>
          <w:sz w:val="23"/>
          <w:szCs w:val="23"/>
        </w:rPr>
        <w:t>17,6</w:t>
      </w:r>
      <w:r w:rsidRPr="00D675EC">
        <w:rPr>
          <w:rFonts w:ascii="Calibri" w:hAnsi="Calibri" w:cs="Calibri"/>
          <w:sz w:val="23"/>
          <w:szCs w:val="23"/>
        </w:rPr>
        <w:t>%)</w:t>
      </w:r>
      <w:r w:rsidR="00E0605A">
        <w:rPr>
          <w:rFonts w:ascii="Calibri" w:hAnsi="Calibri" w:cs="Calibri"/>
          <w:sz w:val="23"/>
          <w:szCs w:val="23"/>
        </w:rPr>
        <w:t xml:space="preserve"> </w:t>
      </w:r>
      <w:r w:rsidR="00074FAB">
        <w:rPr>
          <w:rFonts w:ascii="Calibri" w:hAnsi="Calibri" w:cs="Calibri"/>
          <w:sz w:val="23"/>
          <w:szCs w:val="23"/>
        </w:rPr>
        <w:t xml:space="preserve">meghaladó áru- és szolgáltatási díjak </w:t>
      </w:r>
      <w:r w:rsidR="001C3CA3" w:rsidRPr="00D675EC">
        <w:rPr>
          <w:rFonts w:ascii="Calibri" w:hAnsi="Calibri" w:cs="Calibri"/>
          <w:sz w:val="23"/>
          <w:szCs w:val="23"/>
        </w:rPr>
        <w:t xml:space="preserve">növekedése </w:t>
      </w:r>
      <w:r w:rsidR="00074FAB">
        <w:rPr>
          <w:rFonts w:ascii="Calibri" w:hAnsi="Calibri" w:cs="Calibri"/>
          <w:sz w:val="23"/>
          <w:szCs w:val="23"/>
        </w:rPr>
        <w:t xml:space="preserve">miatti a költségek, ráfordítások </w:t>
      </w:r>
      <w:r w:rsidR="00B2322A">
        <w:rPr>
          <w:rFonts w:ascii="Calibri" w:hAnsi="Calibri" w:cs="Calibri"/>
          <w:sz w:val="23"/>
          <w:szCs w:val="23"/>
        </w:rPr>
        <w:t xml:space="preserve">növekedését közvetlenül a Társaság kevésbé tudja befolyásolni. </w:t>
      </w:r>
    </w:p>
    <w:p w14:paraId="4D748DFD" w14:textId="3917775E" w:rsidR="00B2322A" w:rsidRDefault="001C3CA3" w:rsidP="00CC36DD">
      <w:pPr>
        <w:tabs>
          <w:tab w:val="left" w:pos="930"/>
        </w:tabs>
        <w:jc w:val="both"/>
        <w:rPr>
          <w:rFonts w:ascii="Calibri" w:hAnsi="Calibri" w:cs="Calibri"/>
          <w:sz w:val="23"/>
          <w:szCs w:val="23"/>
        </w:rPr>
      </w:pPr>
      <w:r w:rsidRPr="00D675EC">
        <w:rPr>
          <w:rFonts w:ascii="Calibri" w:hAnsi="Calibri" w:cs="Calibri"/>
          <w:sz w:val="23"/>
          <w:szCs w:val="23"/>
        </w:rPr>
        <w:t xml:space="preserve">A fizetőképesség a tárgyév során mindvégig biztosított volt, a rendelkezésre álló, </w:t>
      </w:r>
      <w:r w:rsidR="00B2322A" w:rsidRPr="00D675EC">
        <w:rPr>
          <w:rFonts w:ascii="Calibri" w:hAnsi="Calibri" w:cs="Calibri"/>
          <w:sz w:val="23"/>
          <w:szCs w:val="23"/>
        </w:rPr>
        <w:t>2</w:t>
      </w:r>
      <w:r w:rsidR="00B2322A">
        <w:rPr>
          <w:rFonts w:ascii="Calibri" w:hAnsi="Calibri" w:cs="Calibri"/>
          <w:sz w:val="23"/>
          <w:szCs w:val="23"/>
        </w:rPr>
        <w:t>5</w:t>
      </w:r>
      <w:r w:rsidR="00B2322A" w:rsidRPr="00D675EC">
        <w:rPr>
          <w:rFonts w:ascii="Calibri" w:hAnsi="Calibri" w:cs="Calibri"/>
          <w:sz w:val="23"/>
          <w:szCs w:val="23"/>
        </w:rPr>
        <w:t xml:space="preserve">0 </w:t>
      </w:r>
      <w:r w:rsidRPr="00D675EC">
        <w:rPr>
          <w:rFonts w:ascii="Calibri" w:hAnsi="Calibri" w:cs="Calibri"/>
          <w:sz w:val="23"/>
          <w:szCs w:val="23"/>
        </w:rPr>
        <w:t xml:space="preserve">millió Ft összegű rulírozó hitelkeretből történő lehívásra </w:t>
      </w:r>
      <w:r w:rsidR="00B2322A">
        <w:rPr>
          <w:rFonts w:ascii="Calibri" w:hAnsi="Calibri" w:cs="Calibri"/>
          <w:sz w:val="23"/>
          <w:szCs w:val="23"/>
        </w:rPr>
        <w:t xml:space="preserve">három alkalommal, </w:t>
      </w:r>
      <w:r w:rsidR="00C67E6C">
        <w:rPr>
          <w:rFonts w:ascii="Calibri" w:hAnsi="Calibri" w:cs="Calibri"/>
          <w:sz w:val="23"/>
          <w:szCs w:val="23"/>
        </w:rPr>
        <w:t>mind</w:t>
      </w:r>
      <w:r w:rsidR="00B2322A">
        <w:rPr>
          <w:rFonts w:ascii="Calibri" w:hAnsi="Calibri" w:cs="Calibri"/>
          <w:sz w:val="23"/>
          <w:szCs w:val="23"/>
        </w:rPr>
        <w:t xml:space="preserve">összesen </w:t>
      </w:r>
      <w:r w:rsidR="00C67E6C">
        <w:rPr>
          <w:rFonts w:ascii="Calibri" w:hAnsi="Calibri" w:cs="Calibri"/>
          <w:sz w:val="23"/>
          <w:szCs w:val="23"/>
        </w:rPr>
        <w:t xml:space="preserve">egybefüggő </w:t>
      </w:r>
      <w:r w:rsidR="00B2322A">
        <w:rPr>
          <w:rFonts w:ascii="Calibri" w:hAnsi="Calibri" w:cs="Calibri"/>
          <w:sz w:val="23"/>
          <w:szCs w:val="23"/>
        </w:rPr>
        <w:t>három hónap időtartam</w:t>
      </w:r>
      <w:r w:rsidR="001A0CA0">
        <w:rPr>
          <w:rFonts w:ascii="Calibri" w:hAnsi="Calibri" w:cs="Calibri"/>
          <w:sz w:val="23"/>
          <w:szCs w:val="23"/>
        </w:rPr>
        <w:t>ra</w:t>
      </w:r>
      <w:r w:rsidR="00B2322A">
        <w:rPr>
          <w:rFonts w:ascii="Calibri" w:hAnsi="Calibri" w:cs="Calibri"/>
          <w:sz w:val="23"/>
          <w:szCs w:val="23"/>
        </w:rPr>
        <w:t xml:space="preserve"> volt</w:t>
      </w:r>
      <w:r w:rsidRPr="00D675EC">
        <w:rPr>
          <w:rFonts w:ascii="Calibri" w:hAnsi="Calibri" w:cs="Calibri"/>
          <w:sz w:val="23"/>
          <w:szCs w:val="23"/>
        </w:rPr>
        <w:t xml:space="preserve"> szükség. </w:t>
      </w:r>
    </w:p>
    <w:p w14:paraId="4CB62D36" w14:textId="429E690C" w:rsidR="001C3CA3" w:rsidRPr="00B01F73" w:rsidRDefault="006455E9" w:rsidP="00B01F73">
      <w:pPr>
        <w:tabs>
          <w:tab w:val="left" w:pos="930"/>
        </w:tabs>
        <w:jc w:val="both"/>
        <w:rPr>
          <w:rFonts w:ascii="Calibri" w:hAnsi="Calibri" w:cs="Calibri"/>
          <w:sz w:val="23"/>
          <w:szCs w:val="23"/>
        </w:rPr>
      </w:pPr>
      <w:r w:rsidRPr="00D675EC">
        <w:rPr>
          <w:rFonts w:ascii="Calibri" w:hAnsi="Calibri" w:cs="Calibri"/>
          <w:sz w:val="23"/>
          <w:szCs w:val="23"/>
        </w:rPr>
        <w:t>A Társaság az üzleti év</w:t>
      </w:r>
      <w:r w:rsidR="00D3455F" w:rsidRPr="00D675EC">
        <w:rPr>
          <w:rFonts w:ascii="Calibri" w:hAnsi="Calibri" w:cs="Calibri"/>
          <w:sz w:val="23"/>
          <w:szCs w:val="23"/>
        </w:rPr>
        <w:t>e</w:t>
      </w:r>
      <w:r w:rsidRPr="00D675EC">
        <w:rPr>
          <w:rFonts w:ascii="Calibri" w:hAnsi="Calibri" w:cs="Calibri"/>
          <w:sz w:val="23"/>
          <w:szCs w:val="23"/>
        </w:rPr>
        <w:t>t eredményesen zárta</w:t>
      </w:r>
      <w:r w:rsidR="00C67E6C">
        <w:rPr>
          <w:rFonts w:ascii="Calibri" w:hAnsi="Calibri" w:cs="Calibri"/>
          <w:sz w:val="23"/>
          <w:szCs w:val="23"/>
        </w:rPr>
        <w:t xml:space="preserve"> (adózott eredmény: 15 millió Ft)</w:t>
      </w:r>
      <w:r w:rsidRPr="00D675EC">
        <w:rPr>
          <w:rFonts w:ascii="Calibri" w:hAnsi="Calibri" w:cs="Calibri"/>
          <w:sz w:val="23"/>
          <w:szCs w:val="23"/>
        </w:rPr>
        <w:t xml:space="preserve">, amely </w:t>
      </w:r>
      <w:r w:rsidR="00B2322A">
        <w:rPr>
          <w:rFonts w:ascii="Calibri" w:hAnsi="Calibri" w:cs="Calibri"/>
          <w:sz w:val="23"/>
          <w:szCs w:val="23"/>
        </w:rPr>
        <w:t>elsősorban a</w:t>
      </w:r>
      <w:r w:rsidR="00B2322A" w:rsidRPr="00D675EC">
        <w:rPr>
          <w:rFonts w:ascii="Calibri" w:hAnsi="Calibri" w:cs="Calibri"/>
          <w:sz w:val="23"/>
          <w:szCs w:val="23"/>
        </w:rPr>
        <w:t xml:space="preserve"> </w:t>
      </w:r>
      <w:r w:rsidRPr="00D675EC">
        <w:rPr>
          <w:rFonts w:ascii="Calibri" w:hAnsi="Calibri" w:cs="Calibri"/>
          <w:sz w:val="23"/>
          <w:szCs w:val="23"/>
        </w:rPr>
        <w:t xml:space="preserve">pénzügyi tevékenységből </w:t>
      </w:r>
      <w:r w:rsidR="00D3455F" w:rsidRPr="00D675EC">
        <w:rPr>
          <w:rFonts w:ascii="Calibri" w:hAnsi="Calibri" w:cs="Calibri"/>
          <w:sz w:val="23"/>
          <w:szCs w:val="23"/>
        </w:rPr>
        <w:t>elért</w:t>
      </w:r>
      <w:r w:rsidRPr="00D675EC">
        <w:rPr>
          <w:rFonts w:ascii="Calibri" w:hAnsi="Calibri" w:cs="Calibri"/>
          <w:sz w:val="23"/>
          <w:szCs w:val="23"/>
        </w:rPr>
        <w:t xml:space="preserve"> eredmény. Az üzemi(üzleti) tevékenység </w:t>
      </w:r>
      <w:r w:rsidR="001A0CA0">
        <w:rPr>
          <w:rFonts w:ascii="Calibri" w:hAnsi="Calibri" w:cs="Calibri"/>
          <w:sz w:val="23"/>
          <w:szCs w:val="23"/>
        </w:rPr>
        <w:t xml:space="preserve">pozitív </w:t>
      </w:r>
      <w:r w:rsidRPr="00D675EC">
        <w:rPr>
          <w:rFonts w:ascii="Calibri" w:hAnsi="Calibri" w:cs="Calibri"/>
          <w:sz w:val="23"/>
          <w:szCs w:val="23"/>
        </w:rPr>
        <w:t xml:space="preserve">eredménye </w:t>
      </w:r>
      <w:r w:rsidR="001A0CA0">
        <w:rPr>
          <w:rFonts w:ascii="Calibri" w:hAnsi="Calibri" w:cs="Calibri"/>
          <w:sz w:val="23"/>
          <w:szCs w:val="23"/>
        </w:rPr>
        <w:t xml:space="preserve">az utolsó negyedévben induló légi áruszállításhoz kapcsolható. </w:t>
      </w:r>
      <w:r w:rsidR="00D3455F" w:rsidRPr="00D675EC">
        <w:rPr>
          <w:rFonts w:ascii="Calibri" w:hAnsi="Calibri" w:cs="Calibri"/>
          <w:sz w:val="23"/>
          <w:szCs w:val="23"/>
        </w:rPr>
        <w:t xml:space="preserve">Az </w:t>
      </w:r>
      <w:r w:rsidR="000C51B5">
        <w:rPr>
          <w:rFonts w:ascii="Calibri" w:hAnsi="Calibri" w:cs="Calibri"/>
          <w:sz w:val="23"/>
          <w:szCs w:val="23"/>
        </w:rPr>
        <w:t xml:space="preserve">elért </w:t>
      </w:r>
      <w:r w:rsidR="00D3455F" w:rsidRPr="00D675EC">
        <w:rPr>
          <w:rFonts w:ascii="Calibri" w:hAnsi="Calibri" w:cs="Calibri"/>
          <w:sz w:val="23"/>
          <w:szCs w:val="23"/>
        </w:rPr>
        <w:t>eredmény kedvező, pozitív értékét befolyásolta</w:t>
      </w:r>
      <w:r w:rsidR="000C51B5">
        <w:rPr>
          <w:rFonts w:ascii="Calibri" w:hAnsi="Calibri" w:cs="Calibri"/>
          <w:sz w:val="23"/>
          <w:szCs w:val="23"/>
        </w:rPr>
        <w:t xml:space="preserve"> továbbá</w:t>
      </w:r>
      <w:r w:rsidR="00D3455F" w:rsidRPr="00D675EC">
        <w:rPr>
          <w:rFonts w:ascii="Calibri" w:hAnsi="Calibri" w:cs="Calibri"/>
          <w:sz w:val="23"/>
          <w:szCs w:val="23"/>
        </w:rPr>
        <w:t>, hogy a Társaság</w:t>
      </w:r>
      <w:r w:rsidR="001A0CA0">
        <w:rPr>
          <w:rFonts w:ascii="Calibri" w:hAnsi="Calibri" w:cs="Calibri"/>
          <w:sz w:val="23"/>
          <w:szCs w:val="23"/>
        </w:rPr>
        <w:t xml:space="preserve"> korábbi évek adó</w:t>
      </w:r>
      <w:r w:rsidR="00B76683">
        <w:rPr>
          <w:rFonts w:ascii="Calibri" w:hAnsi="Calibri" w:cs="Calibri"/>
          <w:sz w:val="23"/>
          <w:szCs w:val="23"/>
        </w:rPr>
        <w:t xml:space="preserve">alap csökkentő kedvezményeit a tárgyévi </w:t>
      </w:r>
      <w:r w:rsidR="00B76683" w:rsidRPr="00B01F73">
        <w:rPr>
          <w:rFonts w:ascii="Calibri" w:hAnsi="Calibri" w:cs="Calibri"/>
          <w:sz w:val="23"/>
          <w:szCs w:val="23"/>
        </w:rPr>
        <w:t>adómegállapításnál figyelembe vette, mely</w:t>
      </w:r>
      <w:r w:rsidR="001A0CA0" w:rsidRPr="00B01F73">
        <w:rPr>
          <w:rFonts w:ascii="Calibri" w:hAnsi="Calibri" w:cs="Calibri"/>
          <w:sz w:val="23"/>
          <w:szCs w:val="23"/>
        </w:rPr>
        <w:t xml:space="preserve"> a tárgyévi adófizetési kötelezettséget csökkentett</w:t>
      </w:r>
      <w:r w:rsidR="00B76683" w:rsidRPr="00B01F73">
        <w:rPr>
          <w:rFonts w:ascii="Calibri" w:hAnsi="Calibri" w:cs="Calibri"/>
          <w:sz w:val="23"/>
          <w:szCs w:val="23"/>
        </w:rPr>
        <w:t>e</w:t>
      </w:r>
      <w:r w:rsidR="00D3455F" w:rsidRPr="00B01F73">
        <w:rPr>
          <w:rFonts w:ascii="Calibri" w:hAnsi="Calibri" w:cs="Calibri"/>
          <w:sz w:val="23"/>
          <w:szCs w:val="23"/>
        </w:rPr>
        <w:t>.</w:t>
      </w:r>
    </w:p>
    <w:p w14:paraId="6E7DF044" w14:textId="2DEFBA01" w:rsidR="00D9549C" w:rsidRPr="00B01F73" w:rsidRDefault="005F15C9" w:rsidP="00B01F73">
      <w:pPr>
        <w:pStyle w:val="Cmsor1"/>
        <w:numPr>
          <w:ilvl w:val="0"/>
          <w:numId w:val="35"/>
        </w:numPr>
        <w:spacing w:before="240" w:after="240"/>
        <w:ind w:left="426" w:hanging="426"/>
        <w:rPr>
          <w:rFonts w:ascii="Calibri" w:hAnsi="Calibri" w:cs="Calibri"/>
          <w:b/>
          <w:bCs/>
          <w:caps/>
          <w:sz w:val="26"/>
          <w:szCs w:val="26"/>
        </w:rPr>
      </w:pPr>
      <w:bookmarkStart w:id="3" w:name="_Toc196485746"/>
      <w:r w:rsidRPr="00B01F73">
        <w:rPr>
          <w:rFonts w:ascii="Calibri" w:hAnsi="Calibri" w:cs="Calibri"/>
          <w:b/>
          <w:bCs/>
          <w:caps/>
          <w:sz w:val="26"/>
          <w:szCs w:val="26"/>
        </w:rPr>
        <w:t xml:space="preserve">A </w:t>
      </w:r>
      <w:r w:rsidR="00CC36DD" w:rsidRPr="00B01F73">
        <w:rPr>
          <w:rFonts w:ascii="Calibri" w:hAnsi="Calibri" w:cs="Calibri"/>
          <w:b/>
          <w:bCs/>
          <w:caps/>
          <w:sz w:val="26"/>
          <w:szCs w:val="26"/>
        </w:rPr>
        <w:t xml:space="preserve">REPÜLŐTÉR </w:t>
      </w:r>
      <w:r w:rsidR="00C822F3" w:rsidRPr="00B01F73">
        <w:rPr>
          <w:rFonts w:ascii="Calibri" w:hAnsi="Calibri" w:cs="Calibri"/>
          <w:b/>
          <w:bCs/>
          <w:caps/>
          <w:sz w:val="26"/>
          <w:szCs w:val="26"/>
        </w:rPr>
        <w:t>2024</w:t>
      </w:r>
      <w:r w:rsidR="00CC36DD" w:rsidRPr="00B01F73">
        <w:rPr>
          <w:rFonts w:ascii="Calibri" w:hAnsi="Calibri" w:cs="Calibri"/>
          <w:b/>
          <w:bCs/>
          <w:caps/>
          <w:sz w:val="26"/>
          <w:szCs w:val="26"/>
        </w:rPr>
        <w:t>. ÉVI FORGALMA ÉS CÉLÁLLOMÁSAI</w:t>
      </w:r>
      <w:bookmarkEnd w:id="3"/>
    </w:p>
    <w:tbl>
      <w:tblPr>
        <w:tblW w:w="94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05"/>
        <w:gridCol w:w="920"/>
        <w:gridCol w:w="863"/>
        <w:gridCol w:w="863"/>
        <w:gridCol w:w="863"/>
        <w:gridCol w:w="863"/>
        <w:gridCol w:w="863"/>
      </w:tblGrid>
      <w:tr w:rsidR="008A6288" w:rsidRPr="00B01F73" w14:paraId="3F63D952" w14:textId="77777777" w:rsidTr="008A6288">
        <w:trPr>
          <w:trHeight w:val="492"/>
        </w:trPr>
        <w:tc>
          <w:tcPr>
            <w:tcW w:w="944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655467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  <w:r w:rsidRPr="00B01F73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Hévíz-Balaton Repülőtér forgalmi adatai</w:t>
            </w:r>
          </w:p>
        </w:tc>
      </w:tr>
      <w:tr w:rsidR="008A6288" w:rsidRPr="00B01F73" w14:paraId="3E29A1B3" w14:textId="77777777" w:rsidTr="008A6288">
        <w:trPr>
          <w:trHeight w:val="288"/>
        </w:trPr>
        <w:tc>
          <w:tcPr>
            <w:tcW w:w="4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7494F9D3" w14:textId="77777777" w:rsidR="008A6288" w:rsidRPr="00B01F73" w:rsidRDefault="008A6288" w:rsidP="00B01F7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12410818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B01F73">
              <w:rPr>
                <w:rFonts w:ascii="Calibri" w:eastAsia="Times New Roman" w:hAnsi="Calibri" w:cs="Calibri"/>
                <w:b/>
                <w:bCs/>
                <w:color w:val="000000"/>
              </w:rPr>
              <w:t>2019. év</w:t>
            </w:r>
          </w:p>
        </w:tc>
        <w:tc>
          <w:tcPr>
            <w:tcW w:w="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63E03EAF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B01F73">
              <w:rPr>
                <w:rFonts w:ascii="Calibri" w:eastAsia="Times New Roman" w:hAnsi="Calibri" w:cs="Calibri"/>
                <w:b/>
                <w:bCs/>
                <w:color w:val="000000"/>
              </w:rPr>
              <w:t>2020.év</w:t>
            </w:r>
          </w:p>
        </w:tc>
        <w:tc>
          <w:tcPr>
            <w:tcW w:w="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2CD1A1BB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B01F73">
              <w:rPr>
                <w:rFonts w:ascii="Calibri" w:eastAsia="Times New Roman" w:hAnsi="Calibri" w:cs="Calibri"/>
                <w:b/>
                <w:bCs/>
                <w:color w:val="000000"/>
              </w:rPr>
              <w:t>2021.év</w:t>
            </w:r>
          </w:p>
        </w:tc>
        <w:tc>
          <w:tcPr>
            <w:tcW w:w="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01365AD4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B01F73">
              <w:rPr>
                <w:rFonts w:ascii="Calibri" w:eastAsia="Times New Roman" w:hAnsi="Calibri" w:cs="Calibri"/>
                <w:b/>
                <w:bCs/>
                <w:color w:val="000000"/>
              </w:rPr>
              <w:t>2022.év</w:t>
            </w:r>
          </w:p>
        </w:tc>
        <w:tc>
          <w:tcPr>
            <w:tcW w:w="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1D472CF7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B01F73">
              <w:rPr>
                <w:rFonts w:ascii="Calibri" w:eastAsia="Times New Roman" w:hAnsi="Calibri" w:cs="Calibri"/>
                <w:b/>
                <w:bCs/>
                <w:color w:val="000000"/>
              </w:rPr>
              <w:t>2023.év</w:t>
            </w:r>
          </w:p>
        </w:tc>
        <w:tc>
          <w:tcPr>
            <w:tcW w:w="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4E94D12E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B01F73">
              <w:rPr>
                <w:rFonts w:ascii="Calibri" w:eastAsia="Times New Roman" w:hAnsi="Calibri" w:cs="Calibri"/>
                <w:b/>
                <w:bCs/>
                <w:color w:val="000000"/>
              </w:rPr>
              <w:t>2024.év</w:t>
            </w:r>
          </w:p>
        </w:tc>
      </w:tr>
      <w:tr w:rsidR="008A6288" w:rsidRPr="00B01F73" w14:paraId="5F8E575D" w14:textId="77777777" w:rsidTr="008A6288">
        <w:trPr>
          <w:trHeight w:val="288"/>
        </w:trPr>
        <w:tc>
          <w:tcPr>
            <w:tcW w:w="42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5E2D12DD" w14:textId="77777777" w:rsidR="008A6288" w:rsidRPr="00B01F73" w:rsidRDefault="008A6288" w:rsidP="00B01F7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Utasszállító járatok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02398307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52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736455BE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3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6B3A4EB0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10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36E99FAA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52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3B9EFBA0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5D27EBCF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21</w:t>
            </w:r>
          </w:p>
        </w:tc>
      </w:tr>
      <w:tr w:rsidR="008A6288" w:rsidRPr="00B01F73" w14:paraId="4C00BAA8" w14:textId="77777777" w:rsidTr="008A6288">
        <w:trPr>
          <w:trHeight w:val="288"/>
        </w:trPr>
        <w:tc>
          <w:tcPr>
            <w:tcW w:w="42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2BA6B97" w14:textId="77777777" w:rsidR="008A6288" w:rsidRPr="00B01F73" w:rsidRDefault="008A6288" w:rsidP="00B01F7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Üzleti célú repülőgépek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4BE73C4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176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96C2668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149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50A3587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282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3B45C68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230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949A586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197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95FD1CE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191</w:t>
            </w:r>
          </w:p>
        </w:tc>
      </w:tr>
      <w:tr w:rsidR="008A6288" w:rsidRPr="00B01F73" w14:paraId="548CF945" w14:textId="77777777" w:rsidTr="008A6288">
        <w:trPr>
          <w:trHeight w:val="288"/>
        </w:trPr>
        <w:tc>
          <w:tcPr>
            <w:tcW w:w="42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3058B4F" w14:textId="77777777" w:rsidR="008A6288" w:rsidRPr="00B01F73" w:rsidRDefault="008A6288" w:rsidP="00B01F7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Magán- és sport célú repülőgépek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6BE2C18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541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8AE58C2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346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38FBB41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759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C0F8FF7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729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C12F18A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678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DC909E1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627</w:t>
            </w:r>
          </w:p>
        </w:tc>
      </w:tr>
      <w:tr w:rsidR="008A6288" w:rsidRPr="00B01F73" w14:paraId="1B474D90" w14:textId="77777777" w:rsidTr="008A6288">
        <w:trPr>
          <w:trHeight w:val="288"/>
        </w:trPr>
        <w:tc>
          <w:tcPr>
            <w:tcW w:w="42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F43A1B6" w14:textId="77777777" w:rsidR="008A6288" w:rsidRPr="00B01F73" w:rsidRDefault="008A6288" w:rsidP="00B01F7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Cargo járatok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209F8E33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241EEE28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1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1A32DC7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C1FFC70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6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2244A06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8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538B366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50</w:t>
            </w:r>
          </w:p>
        </w:tc>
      </w:tr>
      <w:tr w:rsidR="008A6288" w:rsidRPr="00B01F73" w14:paraId="048D4A23" w14:textId="77777777" w:rsidTr="008A6288">
        <w:trPr>
          <w:trHeight w:val="288"/>
        </w:trPr>
        <w:tc>
          <w:tcPr>
            <w:tcW w:w="420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19774A62" w14:textId="77777777" w:rsidR="008A6288" w:rsidRPr="00B01F73" w:rsidRDefault="008A6288" w:rsidP="00B01F7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106D4681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4B367F7B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4C56981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246D28D8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AC4BC0A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86E8FBE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8A6288" w:rsidRPr="00B01F73" w14:paraId="775A56E3" w14:textId="77777777" w:rsidTr="008A6288">
        <w:trPr>
          <w:trHeight w:val="288"/>
        </w:trPr>
        <w:tc>
          <w:tcPr>
            <w:tcW w:w="42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B61D996" w14:textId="77777777" w:rsidR="008A6288" w:rsidRPr="00B01F73" w:rsidRDefault="008A6288" w:rsidP="00B01F7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3E5242A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B01F73">
              <w:rPr>
                <w:rFonts w:ascii="Calibri" w:eastAsia="Times New Roman" w:hAnsi="Calibri" w:cs="Calibri"/>
                <w:b/>
                <w:bCs/>
                <w:color w:val="000000"/>
              </w:rPr>
              <w:t>2019. év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78A91C79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B01F73">
              <w:rPr>
                <w:rFonts w:ascii="Calibri" w:eastAsia="Times New Roman" w:hAnsi="Calibri" w:cs="Calibri"/>
                <w:b/>
                <w:bCs/>
                <w:color w:val="000000"/>
              </w:rPr>
              <w:t>2020.év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0AB63729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B01F73">
              <w:rPr>
                <w:rFonts w:ascii="Calibri" w:eastAsia="Times New Roman" w:hAnsi="Calibri" w:cs="Calibri"/>
                <w:b/>
                <w:bCs/>
                <w:color w:val="000000"/>
              </w:rPr>
              <w:t>2021.év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0B6ED446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B01F73">
              <w:rPr>
                <w:rFonts w:ascii="Calibri" w:eastAsia="Times New Roman" w:hAnsi="Calibri" w:cs="Calibri"/>
                <w:b/>
                <w:bCs/>
                <w:color w:val="000000"/>
              </w:rPr>
              <w:t>2022.év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5D233A2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B01F73">
              <w:rPr>
                <w:rFonts w:ascii="Calibri" w:eastAsia="Times New Roman" w:hAnsi="Calibri" w:cs="Calibri"/>
                <w:b/>
                <w:bCs/>
                <w:color w:val="000000"/>
              </w:rPr>
              <w:t>2023.év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5C139C26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B01F73">
              <w:rPr>
                <w:rFonts w:ascii="Calibri" w:eastAsia="Times New Roman" w:hAnsi="Calibri" w:cs="Calibri"/>
                <w:b/>
                <w:bCs/>
                <w:color w:val="000000"/>
              </w:rPr>
              <w:t>2024.év</w:t>
            </w:r>
          </w:p>
        </w:tc>
      </w:tr>
      <w:tr w:rsidR="008A6288" w:rsidRPr="00B01F73" w14:paraId="1A7F0D0C" w14:textId="77777777" w:rsidTr="008A6288">
        <w:trPr>
          <w:trHeight w:val="288"/>
        </w:trPr>
        <w:tc>
          <w:tcPr>
            <w:tcW w:w="42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5FC430AF" w14:textId="77777777" w:rsidR="008A6288" w:rsidRPr="00B01F73" w:rsidRDefault="008A6288" w:rsidP="00B01F7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Utasszállító járatok utasai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048C8AE9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6669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1EB9BE40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389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56C45A2A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1165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45C3F0F2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10172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08FF5F24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1644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47F198C8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2433</w:t>
            </w:r>
          </w:p>
        </w:tc>
      </w:tr>
      <w:tr w:rsidR="008A6288" w:rsidRPr="00B01F73" w14:paraId="0C490B93" w14:textId="77777777" w:rsidTr="008A6288">
        <w:trPr>
          <w:trHeight w:val="288"/>
        </w:trPr>
        <w:tc>
          <w:tcPr>
            <w:tcW w:w="42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724376A" w14:textId="77777777" w:rsidR="008A6288" w:rsidRPr="00B01F73" w:rsidRDefault="008A6288" w:rsidP="00B01F7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Üzleti célú repülőgépek utasai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36E9DDF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1108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5AB4EFA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618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80193EE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1072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F94D366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1117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B7EC3E5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1068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92E3236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710</w:t>
            </w:r>
          </w:p>
        </w:tc>
      </w:tr>
      <w:tr w:rsidR="008A6288" w:rsidRPr="00B01F73" w14:paraId="60EE73DD" w14:textId="77777777" w:rsidTr="008A6288">
        <w:trPr>
          <w:trHeight w:val="288"/>
        </w:trPr>
        <w:tc>
          <w:tcPr>
            <w:tcW w:w="42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94DC497" w14:textId="77777777" w:rsidR="008A6288" w:rsidRPr="00B01F73" w:rsidRDefault="008A6288" w:rsidP="00B01F7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Magán- és sport célú repülőgépek utasai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77BCBEA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1346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34AC1E7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744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5FD71FE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1191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70AE428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1164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7DFA5ED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830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9ED554E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709</w:t>
            </w:r>
          </w:p>
        </w:tc>
      </w:tr>
      <w:tr w:rsidR="008A6288" w:rsidRPr="00B01F73" w14:paraId="5173947A" w14:textId="77777777" w:rsidTr="008A6288">
        <w:trPr>
          <w:trHeight w:val="288"/>
        </w:trPr>
        <w:tc>
          <w:tcPr>
            <w:tcW w:w="42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6DFE005" w14:textId="77777777" w:rsidR="008A6288" w:rsidRPr="00B01F73" w:rsidRDefault="008A6288" w:rsidP="00B01F7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Cargo járatok áruforgalma (tonna)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45A1E786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F3BD2FF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5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51A803D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44B68AE3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26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29FB016E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114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1D72A012" w14:textId="77777777" w:rsidR="008A6288" w:rsidRPr="00B01F73" w:rsidRDefault="008A6288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color w:val="000000"/>
              </w:rPr>
              <w:t>1695</w:t>
            </w:r>
          </w:p>
        </w:tc>
      </w:tr>
    </w:tbl>
    <w:p w14:paraId="23F425F9" w14:textId="5354793C" w:rsidR="00003376" w:rsidRPr="00B01F73" w:rsidRDefault="00003376" w:rsidP="00B01F73">
      <w:pPr>
        <w:tabs>
          <w:tab w:val="left" w:pos="930"/>
        </w:tabs>
        <w:jc w:val="both"/>
        <w:rPr>
          <w:rFonts w:ascii="Calibri" w:hAnsi="Calibri" w:cs="Calibri"/>
          <w:sz w:val="23"/>
          <w:szCs w:val="23"/>
        </w:rPr>
      </w:pPr>
    </w:p>
    <w:p w14:paraId="7472D9AD" w14:textId="3FFA458F" w:rsidR="00C822F3" w:rsidRPr="00B01F73" w:rsidRDefault="00C822F3" w:rsidP="00B01F73">
      <w:pPr>
        <w:tabs>
          <w:tab w:val="left" w:pos="930"/>
        </w:tabs>
        <w:spacing w:line="360" w:lineRule="auto"/>
        <w:jc w:val="both"/>
        <w:rPr>
          <w:rFonts w:ascii="Calibri" w:hAnsi="Calibri" w:cs="Calibri"/>
          <w:sz w:val="23"/>
          <w:szCs w:val="23"/>
        </w:rPr>
      </w:pPr>
      <w:r w:rsidRPr="00B01F73">
        <w:rPr>
          <w:rFonts w:ascii="Calibri" w:hAnsi="Calibri" w:cs="Calibri"/>
          <w:sz w:val="23"/>
          <w:szCs w:val="23"/>
        </w:rPr>
        <w:t xml:space="preserve">Hévíz-Balaton Repülőtér 2024.évi forgalma a 2023. évhez képest több változást mutat, ezt támasztják alá a táblázatban látható statisztikai adatok, melyek a repülőtéren megjelenő forgalom eredményét tükrözik. </w:t>
      </w:r>
    </w:p>
    <w:p w14:paraId="7515B5D5" w14:textId="0829F41A" w:rsidR="00C822F3" w:rsidRPr="00B01F73" w:rsidRDefault="00C822F3" w:rsidP="00B01F73">
      <w:pPr>
        <w:tabs>
          <w:tab w:val="left" w:pos="930"/>
        </w:tabs>
        <w:spacing w:line="360" w:lineRule="auto"/>
        <w:jc w:val="both"/>
        <w:rPr>
          <w:rFonts w:ascii="Calibri" w:hAnsi="Calibri" w:cs="Calibri"/>
          <w:sz w:val="23"/>
          <w:szCs w:val="23"/>
        </w:rPr>
      </w:pPr>
      <w:r w:rsidRPr="00B01F73">
        <w:rPr>
          <w:rFonts w:ascii="Calibri" w:hAnsi="Calibri" w:cs="Calibri"/>
          <w:b/>
          <w:bCs/>
          <w:i/>
          <w:iCs/>
          <w:sz w:val="23"/>
          <w:szCs w:val="23"/>
        </w:rPr>
        <w:t>Utasszállító járatok</w:t>
      </w:r>
      <w:r w:rsidRPr="00B01F73">
        <w:rPr>
          <w:rFonts w:ascii="Calibri" w:hAnsi="Calibri" w:cs="Calibri"/>
          <w:sz w:val="23"/>
          <w:szCs w:val="23"/>
        </w:rPr>
        <w:t xml:space="preserve"> tekintetében </w:t>
      </w:r>
      <w:r w:rsidR="00B430D3" w:rsidRPr="00B01F73">
        <w:rPr>
          <w:rFonts w:ascii="Calibri" w:hAnsi="Calibri" w:cs="Calibri"/>
          <w:sz w:val="23"/>
          <w:szCs w:val="23"/>
        </w:rPr>
        <w:t>2024</w:t>
      </w:r>
      <w:r w:rsidRPr="00B01F73">
        <w:rPr>
          <w:rFonts w:ascii="Calibri" w:hAnsi="Calibri" w:cs="Calibri"/>
          <w:sz w:val="23"/>
          <w:szCs w:val="23"/>
        </w:rPr>
        <w:t xml:space="preserve"> évben menetrendszerinti járat nem közlekedett a repülőtérre. Szezonális jelleggel elindult a Sundair charterjárata, </w:t>
      </w:r>
      <w:r w:rsidR="00B430D3" w:rsidRPr="00B01F73">
        <w:rPr>
          <w:rFonts w:ascii="Calibri" w:hAnsi="Calibri" w:cs="Calibri"/>
          <w:sz w:val="23"/>
          <w:szCs w:val="23"/>
        </w:rPr>
        <w:t xml:space="preserve">mely </w:t>
      </w:r>
      <w:r w:rsidRPr="00B01F73">
        <w:rPr>
          <w:rFonts w:ascii="Calibri" w:hAnsi="Calibri" w:cs="Calibri"/>
          <w:sz w:val="23"/>
          <w:szCs w:val="23"/>
        </w:rPr>
        <w:t xml:space="preserve">összesen 9 járatot bonyolított Drezdából, ebből 4 járatot összekapcsolt Debrecennel. Tovább növelték a kereskedelmi forgalmat az EU soros elnökség miatt érkező charterjáratok, valamint azok a sportolói járatok, melyek egyszeri alkalommal jelentek meg </w:t>
      </w:r>
      <w:r w:rsidRPr="00B01F73">
        <w:rPr>
          <w:rFonts w:ascii="Calibri" w:hAnsi="Calibri" w:cs="Calibri"/>
          <w:sz w:val="23"/>
          <w:szCs w:val="23"/>
        </w:rPr>
        <w:lastRenderedPageBreak/>
        <w:t xml:space="preserve">és a magyarországi mérkőzésekre szállították a játékosokat. A kereskedelmi járatok száma több, mint a duplájára emelkedett. Ezzel együtt az utasszám tekintetében mintegy 800 főre tehető az emelkedés.  </w:t>
      </w:r>
    </w:p>
    <w:p w14:paraId="5CEDB379" w14:textId="77777777" w:rsidR="00C822F3" w:rsidRPr="00B01F73" w:rsidRDefault="00C822F3" w:rsidP="00B01F73">
      <w:pPr>
        <w:tabs>
          <w:tab w:val="left" w:pos="930"/>
        </w:tabs>
        <w:jc w:val="both"/>
        <w:rPr>
          <w:rFonts w:ascii="Calibri" w:hAnsi="Calibri" w:cs="Calibri"/>
          <w:bCs/>
          <w:sz w:val="24"/>
          <w:szCs w:val="24"/>
        </w:rPr>
      </w:pPr>
      <w:r w:rsidRPr="00B01F73">
        <w:rPr>
          <w:rFonts w:ascii="Calibri" w:hAnsi="Calibri" w:cs="Calibri"/>
          <w:bCs/>
          <w:sz w:val="24"/>
          <w:szCs w:val="24"/>
        </w:rPr>
        <w:t>Célállomások 2024. évben</w:t>
      </w:r>
    </w:p>
    <w:p w14:paraId="260B15FB" w14:textId="77777777" w:rsidR="00C822F3" w:rsidRPr="00B01F73" w:rsidRDefault="00C822F3" w:rsidP="00B01F73">
      <w:pPr>
        <w:pStyle w:val="Listaszerbekezds"/>
        <w:numPr>
          <w:ilvl w:val="0"/>
          <w:numId w:val="29"/>
        </w:numPr>
        <w:tabs>
          <w:tab w:val="left" w:pos="930"/>
        </w:tabs>
        <w:spacing w:after="200" w:line="276" w:lineRule="auto"/>
        <w:jc w:val="both"/>
        <w:rPr>
          <w:rFonts w:ascii="Calibri" w:hAnsi="Calibri" w:cs="Calibri"/>
          <w:bCs/>
          <w:sz w:val="24"/>
          <w:szCs w:val="24"/>
        </w:rPr>
      </w:pPr>
      <w:r w:rsidRPr="00B01F73">
        <w:rPr>
          <w:rFonts w:ascii="Calibri" w:hAnsi="Calibri" w:cs="Calibri"/>
          <w:bCs/>
          <w:sz w:val="24"/>
          <w:szCs w:val="24"/>
        </w:rPr>
        <w:t>Drezda</w:t>
      </w:r>
    </w:p>
    <w:p w14:paraId="1256FCAD" w14:textId="77777777" w:rsidR="00C822F3" w:rsidRPr="00B01F73" w:rsidRDefault="00C822F3" w:rsidP="00B01F73">
      <w:pPr>
        <w:pStyle w:val="Listaszerbekezds"/>
        <w:numPr>
          <w:ilvl w:val="0"/>
          <w:numId w:val="29"/>
        </w:numPr>
        <w:tabs>
          <w:tab w:val="left" w:pos="930"/>
        </w:tabs>
        <w:spacing w:after="200" w:line="276" w:lineRule="auto"/>
        <w:jc w:val="both"/>
        <w:rPr>
          <w:rFonts w:ascii="Calibri" w:hAnsi="Calibri" w:cs="Calibri"/>
          <w:bCs/>
          <w:sz w:val="24"/>
          <w:szCs w:val="24"/>
        </w:rPr>
      </w:pPr>
      <w:r w:rsidRPr="00B01F73">
        <w:rPr>
          <w:rFonts w:ascii="Calibri" w:hAnsi="Calibri" w:cs="Calibri"/>
          <w:bCs/>
          <w:sz w:val="24"/>
          <w:szCs w:val="24"/>
        </w:rPr>
        <w:t>Brüsszel</w:t>
      </w:r>
    </w:p>
    <w:p w14:paraId="2E283F0F" w14:textId="77777777" w:rsidR="00C822F3" w:rsidRPr="00B01F73" w:rsidRDefault="00C822F3" w:rsidP="00B01F73">
      <w:pPr>
        <w:pStyle w:val="Listaszerbekezds"/>
        <w:numPr>
          <w:ilvl w:val="0"/>
          <w:numId w:val="29"/>
        </w:numPr>
        <w:tabs>
          <w:tab w:val="left" w:pos="930"/>
        </w:tabs>
        <w:spacing w:after="200" w:line="276" w:lineRule="auto"/>
        <w:jc w:val="both"/>
        <w:rPr>
          <w:rFonts w:ascii="Calibri" w:hAnsi="Calibri" w:cs="Calibri"/>
          <w:bCs/>
          <w:sz w:val="24"/>
          <w:szCs w:val="24"/>
        </w:rPr>
      </w:pPr>
      <w:r w:rsidRPr="00B01F73">
        <w:rPr>
          <w:rFonts w:ascii="Calibri" w:hAnsi="Calibri" w:cs="Calibri"/>
          <w:bCs/>
          <w:sz w:val="24"/>
          <w:szCs w:val="24"/>
        </w:rPr>
        <w:t>Rimini</w:t>
      </w:r>
    </w:p>
    <w:p w14:paraId="5907DD7E" w14:textId="77777777" w:rsidR="00C822F3" w:rsidRPr="00B01F73" w:rsidRDefault="00C822F3" w:rsidP="00B01F73">
      <w:pPr>
        <w:pStyle w:val="Listaszerbekezds"/>
        <w:numPr>
          <w:ilvl w:val="0"/>
          <w:numId w:val="29"/>
        </w:numPr>
        <w:tabs>
          <w:tab w:val="left" w:pos="930"/>
        </w:tabs>
        <w:spacing w:after="200" w:line="276" w:lineRule="auto"/>
        <w:jc w:val="both"/>
        <w:rPr>
          <w:rFonts w:ascii="Calibri" w:hAnsi="Calibri" w:cs="Calibri"/>
          <w:bCs/>
          <w:sz w:val="24"/>
          <w:szCs w:val="24"/>
        </w:rPr>
      </w:pPr>
      <w:r w:rsidRPr="00B01F73">
        <w:rPr>
          <w:rFonts w:ascii="Calibri" w:hAnsi="Calibri" w:cs="Calibri"/>
          <w:bCs/>
          <w:sz w:val="24"/>
          <w:szCs w:val="24"/>
        </w:rPr>
        <w:t>Milano</w:t>
      </w:r>
    </w:p>
    <w:p w14:paraId="1DC909B6" w14:textId="77777777" w:rsidR="00C822F3" w:rsidRPr="00B01F73" w:rsidRDefault="00C822F3" w:rsidP="00B01F73">
      <w:pPr>
        <w:pStyle w:val="Listaszerbekezds"/>
        <w:numPr>
          <w:ilvl w:val="0"/>
          <w:numId w:val="29"/>
        </w:numPr>
        <w:tabs>
          <w:tab w:val="left" w:pos="930"/>
        </w:tabs>
        <w:spacing w:after="200" w:line="276" w:lineRule="auto"/>
        <w:jc w:val="both"/>
        <w:rPr>
          <w:rFonts w:ascii="Calibri" w:hAnsi="Calibri" w:cs="Calibri"/>
          <w:bCs/>
          <w:sz w:val="24"/>
          <w:szCs w:val="24"/>
        </w:rPr>
      </w:pPr>
      <w:r w:rsidRPr="00B01F73">
        <w:rPr>
          <w:rFonts w:ascii="Calibri" w:hAnsi="Calibri" w:cs="Calibri"/>
          <w:bCs/>
          <w:sz w:val="24"/>
          <w:szCs w:val="24"/>
        </w:rPr>
        <w:t>Vilnius</w:t>
      </w:r>
    </w:p>
    <w:p w14:paraId="448643EA" w14:textId="77777777" w:rsidR="00C822F3" w:rsidRPr="00B01F73" w:rsidRDefault="00C822F3" w:rsidP="00B01F73">
      <w:pPr>
        <w:pStyle w:val="Listaszerbekezds"/>
        <w:numPr>
          <w:ilvl w:val="0"/>
          <w:numId w:val="29"/>
        </w:numPr>
        <w:tabs>
          <w:tab w:val="left" w:pos="930"/>
        </w:tabs>
        <w:spacing w:after="200" w:line="276" w:lineRule="auto"/>
        <w:jc w:val="both"/>
        <w:rPr>
          <w:rFonts w:ascii="Calibri" w:hAnsi="Calibri" w:cs="Calibri"/>
          <w:bCs/>
          <w:sz w:val="24"/>
          <w:szCs w:val="24"/>
        </w:rPr>
      </w:pPr>
      <w:r w:rsidRPr="00B01F73">
        <w:rPr>
          <w:rFonts w:ascii="Calibri" w:hAnsi="Calibri" w:cs="Calibri"/>
          <w:bCs/>
          <w:sz w:val="24"/>
          <w:szCs w:val="24"/>
        </w:rPr>
        <w:t>Burgas</w:t>
      </w:r>
    </w:p>
    <w:p w14:paraId="15075012" w14:textId="77777777" w:rsidR="00C822F3" w:rsidRPr="00B01F73" w:rsidRDefault="00C822F3" w:rsidP="00B01F73">
      <w:pPr>
        <w:rPr>
          <w:rFonts w:ascii="Calibri" w:eastAsia="Calibri" w:hAnsi="Calibri" w:cs="Calibri"/>
          <w:b/>
          <w:sz w:val="24"/>
          <w:szCs w:val="24"/>
          <w:lang w:eastAsia="en-US"/>
        </w:rPr>
      </w:pPr>
      <w:r w:rsidRPr="00B01F73">
        <w:rPr>
          <w:rFonts w:ascii="Calibri" w:eastAsia="Calibri" w:hAnsi="Calibri" w:cs="Calibri"/>
          <w:b/>
          <w:sz w:val="24"/>
          <w:szCs w:val="24"/>
          <w:lang w:eastAsia="en-US"/>
        </w:rPr>
        <w:br w:type="page"/>
      </w:r>
    </w:p>
    <w:p w14:paraId="2F2572F7" w14:textId="5042280D" w:rsidR="00C822F3" w:rsidRPr="00B01F73" w:rsidRDefault="00C822F3" w:rsidP="00B01F73">
      <w:pPr>
        <w:spacing w:before="240" w:after="240" w:line="276" w:lineRule="auto"/>
        <w:ind w:left="360"/>
        <w:jc w:val="center"/>
        <w:rPr>
          <w:rFonts w:ascii="Calibri" w:eastAsia="Calibri" w:hAnsi="Calibri" w:cs="Calibri"/>
          <w:b/>
          <w:sz w:val="24"/>
          <w:szCs w:val="24"/>
          <w:lang w:eastAsia="en-US"/>
        </w:rPr>
      </w:pPr>
      <w:r w:rsidRPr="00B01F73">
        <w:rPr>
          <w:rFonts w:ascii="Calibri" w:eastAsia="Calibri" w:hAnsi="Calibri" w:cs="Calibri"/>
          <w:b/>
          <w:sz w:val="24"/>
          <w:szCs w:val="24"/>
          <w:lang w:eastAsia="en-US"/>
        </w:rPr>
        <w:lastRenderedPageBreak/>
        <w:t>Utasszállító járatok forgalmi adatainak összehasonlítása a légijáratok száma és a szállított utasok létszáma alapján 2019-2024. években</w:t>
      </w:r>
    </w:p>
    <w:p w14:paraId="4AB84BFE" w14:textId="77777777" w:rsidR="00C822F3" w:rsidRPr="00B01F73" w:rsidRDefault="00C822F3" w:rsidP="00B01F73">
      <w:pPr>
        <w:spacing w:before="240" w:after="240" w:line="276" w:lineRule="auto"/>
        <w:ind w:left="360"/>
        <w:jc w:val="center"/>
        <w:rPr>
          <w:rFonts w:ascii="Calibri" w:eastAsia="Calibri" w:hAnsi="Calibri" w:cs="Calibri"/>
          <w:b/>
          <w:sz w:val="24"/>
          <w:szCs w:val="24"/>
          <w:lang w:eastAsia="en-US"/>
        </w:rPr>
      </w:pPr>
    </w:p>
    <w:tbl>
      <w:tblPr>
        <w:tblW w:w="981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00"/>
        <w:gridCol w:w="968"/>
        <w:gridCol w:w="968"/>
        <w:gridCol w:w="968"/>
        <w:gridCol w:w="968"/>
        <w:gridCol w:w="968"/>
        <w:gridCol w:w="968"/>
        <w:gridCol w:w="968"/>
        <w:gridCol w:w="968"/>
        <w:gridCol w:w="968"/>
      </w:tblGrid>
      <w:tr w:rsidR="00C822F3" w:rsidRPr="00B01F73" w14:paraId="320B205A" w14:textId="77777777" w:rsidTr="008A6288">
        <w:trPr>
          <w:trHeight w:val="300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B482478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9ABD73A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06C986D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1204499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DF4617F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34D1CA7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0511281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13F9E8D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0B27032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8871A5C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1F5F97CA" w14:textId="77777777" w:rsidTr="008A6288">
        <w:trPr>
          <w:trHeight w:val="300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E4E9DE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ECED4C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585BFF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CE01E1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2AF014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48F2DA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9968E4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59C88C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6F74E8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E4BE26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2351A1E2" w14:textId="77777777" w:rsidTr="008A6288">
        <w:trPr>
          <w:trHeight w:val="315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4EEE02" w14:textId="77777777" w:rsidR="00C822F3" w:rsidRPr="00B01F73" w:rsidRDefault="00C822F3" w:rsidP="00B01F7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noProof/>
                <w:color w:val="000000"/>
              </w:rPr>
              <w:drawing>
                <wp:anchor distT="0" distB="0" distL="114300" distR="114300" simplePos="0" relativeHeight="251664384" behindDoc="0" locked="0" layoutInCell="1" allowOverlap="1" wp14:anchorId="79F6C152" wp14:editId="0A635157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9525</wp:posOffset>
                  </wp:positionV>
                  <wp:extent cx="5486400" cy="2105025"/>
                  <wp:effectExtent l="0" t="0" r="0" b="9525"/>
                  <wp:wrapNone/>
                  <wp:docPr id="143314245" name="Diagram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E75A84A-D441-4DCE-80AB-F454A4D31D2E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1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"/>
            </w:tblGrid>
            <w:tr w:rsidR="00C822F3" w:rsidRPr="00B01F73" w14:paraId="7244AC72" w14:textId="77777777" w:rsidTr="002923F2">
              <w:trPr>
                <w:trHeight w:val="315"/>
                <w:tblCellSpacing w:w="0" w:type="dxa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C0DA376" w14:textId="77777777" w:rsidR="00C822F3" w:rsidRPr="00B01F73" w:rsidRDefault="00C822F3" w:rsidP="00B01F73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</w:tr>
          </w:tbl>
          <w:p w14:paraId="4F9895A9" w14:textId="77777777" w:rsidR="00C822F3" w:rsidRPr="00B01F73" w:rsidRDefault="00C822F3" w:rsidP="00B01F7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B2652A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DFBDE4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84D887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7380E5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24A076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2CD5D1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136BA5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158609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C3F318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5A0D6C02" w14:textId="77777777" w:rsidTr="008A6288">
        <w:trPr>
          <w:trHeight w:val="300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BC1D7E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C41BB5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679351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8B7CD8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412C08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430645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547D53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58C785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EB2896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80D238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31489FED" w14:textId="77777777" w:rsidTr="008A6288">
        <w:trPr>
          <w:trHeight w:val="315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F5755F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A4A5E4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7CD047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4F1353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A547B2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BC4AC2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8CDF2D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5A8E00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0668DE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F208CF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41F974DB" w14:textId="77777777" w:rsidTr="008A6288">
        <w:trPr>
          <w:trHeight w:val="315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C1FD0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CD4ACD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BB64F3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1CAD3E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2F242D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8BA78C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A74720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608958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81ABF7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AF0902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00EE75BA" w14:textId="77777777" w:rsidTr="008A6288">
        <w:trPr>
          <w:trHeight w:val="315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04DB50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5E592A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8F7694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C4C8D5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596EA5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F66C8F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AF81C5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12118C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37FD6D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022912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026F9CD8" w14:textId="77777777" w:rsidTr="008A6288">
        <w:trPr>
          <w:trHeight w:val="315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272068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132CB2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A671B8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657D81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8C99A6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EF62B4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AA4E5C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8CF764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FB743E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A76236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2D152206" w14:textId="77777777" w:rsidTr="008A6288">
        <w:trPr>
          <w:trHeight w:val="315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E0BB40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7C433E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2C8CD2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233253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4E726A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884BAA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CB7599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6B5B4D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9A93C7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242E68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65EA08AC" w14:textId="77777777" w:rsidTr="008A6288">
        <w:trPr>
          <w:trHeight w:val="315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C71CA5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A29EF6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925FA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F29CCC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7601B1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2BDD5B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D7E837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F45F11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F00E41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5FAFDB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327CC20A" w14:textId="77777777" w:rsidTr="008A6288">
        <w:trPr>
          <w:trHeight w:val="315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B9D74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B4455A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D58235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F1167B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F81D63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8C3B5A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CDC41C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E94CE7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37EE85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C62B6D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3C02A92B" w14:textId="77777777" w:rsidTr="008A6288">
        <w:trPr>
          <w:trHeight w:val="315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2CB5C2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45DDE9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5EEA44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4E1C80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A8469F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AA1FB9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8FCDA7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D16A84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F0248B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B6B320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4DAE9DC7" w14:textId="77777777" w:rsidTr="008A6288">
        <w:trPr>
          <w:trHeight w:val="300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19F7B7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40D21D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C989EF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BD8923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42F275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5C5E2C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95BEEF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CAC7E5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635357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80FE74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A6288" w:rsidRPr="00B01F73" w14:paraId="3D1A9F66" w14:textId="77777777" w:rsidTr="008A6288">
        <w:trPr>
          <w:trHeight w:val="300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F0AC07" w14:textId="77777777" w:rsidR="008A6288" w:rsidRPr="00B01F73" w:rsidRDefault="008A6288" w:rsidP="00B01F7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noProof/>
                <w:color w:val="000000"/>
              </w:rPr>
              <w:drawing>
                <wp:anchor distT="0" distB="0" distL="114300" distR="114300" simplePos="0" relativeHeight="251670528" behindDoc="0" locked="0" layoutInCell="1" allowOverlap="1" wp14:anchorId="701E3BCE" wp14:editId="52E94F03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142875</wp:posOffset>
                  </wp:positionV>
                  <wp:extent cx="5553075" cy="2466975"/>
                  <wp:effectExtent l="0" t="0" r="9525" b="9525"/>
                  <wp:wrapNone/>
                  <wp:docPr id="1897422959" name="Diagram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7B1D2E4-821E-4291-90E4-A70A4D73898A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2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"/>
            </w:tblGrid>
            <w:tr w:rsidR="008A6288" w:rsidRPr="00B01F73" w14:paraId="5CC45A62" w14:textId="77777777" w:rsidTr="002923F2">
              <w:trPr>
                <w:trHeight w:val="300"/>
                <w:tblCellSpacing w:w="0" w:type="dxa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B043DD2" w14:textId="77777777" w:rsidR="008A6288" w:rsidRPr="00B01F73" w:rsidRDefault="008A6288" w:rsidP="00B01F73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</w:tr>
          </w:tbl>
          <w:p w14:paraId="73CC4B2C" w14:textId="77777777" w:rsidR="008A6288" w:rsidRPr="00B01F73" w:rsidRDefault="008A6288" w:rsidP="00B01F7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6CD490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2382A4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577777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8ED851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0D44DC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1796EB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059DE5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8742F1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1FEED8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A6288" w:rsidRPr="00B01F73" w14:paraId="69793E89" w14:textId="77777777" w:rsidTr="008A6288">
        <w:trPr>
          <w:trHeight w:val="300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61D81B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AC6BA8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AB02CB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96FBC3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555C2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F7DF4D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3E4F10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6BD43C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B9B6D8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A86D63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A6288" w:rsidRPr="00B01F73" w14:paraId="2A85FEA9" w14:textId="77777777" w:rsidTr="008A6288">
        <w:trPr>
          <w:trHeight w:val="300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610A39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D22199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5FABD9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505F53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65D589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BDAF34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F72DD7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A663AD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4AC422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530F7D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A6288" w:rsidRPr="00B01F73" w14:paraId="6816C5B6" w14:textId="77777777" w:rsidTr="008A6288">
        <w:trPr>
          <w:trHeight w:val="300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876179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B3551E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D54AFA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A9FBAA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286DFE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107CD1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914C13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2028D5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CB2223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E95961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A6288" w:rsidRPr="00B01F73" w14:paraId="607853E7" w14:textId="77777777" w:rsidTr="008A6288">
        <w:trPr>
          <w:trHeight w:val="300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ABD166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8D20AD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2B78E6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C9C055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E4603D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4CB218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590376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E676F2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6DFAC7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3A8E78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A6288" w:rsidRPr="00B01F73" w14:paraId="5D7B1143" w14:textId="77777777" w:rsidTr="008A6288">
        <w:trPr>
          <w:trHeight w:val="300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37BB9C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24F85D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58AD1B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F59A73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32FA76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BF4041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10F115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FD62A9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BEB16F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A9ADBD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A6288" w:rsidRPr="00B01F73" w14:paraId="029B8093" w14:textId="77777777" w:rsidTr="008A6288">
        <w:trPr>
          <w:trHeight w:val="300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521CDE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A4F35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2D86EF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9E6121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0114D0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886A13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5A0DB4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CC9213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0CBB05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6F79AB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A6288" w:rsidRPr="00B01F73" w14:paraId="5EBA407E" w14:textId="77777777" w:rsidTr="008A6288">
        <w:trPr>
          <w:trHeight w:val="300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A026A6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F77E54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B64D0F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B70BB2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487DF0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142499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CCD534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1C11A4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DDB40C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50E050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A6288" w:rsidRPr="00B01F73" w14:paraId="0B10F7B8" w14:textId="77777777" w:rsidTr="008A6288">
        <w:trPr>
          <w:trHeight w:val="300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48FD0A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202540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41E010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3DC185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35E0E2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012893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7E6D97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3EF9B1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FDF236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41E592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A6288" w:rsidRPr="00B01F73" w14:paraId="5B01A375" w14:textId="77777777" w:rsidTr="008A6288">
        <w:trPr>
          <w:trHeight w:val="300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FC13FB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973841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561F08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F154D8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509B44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614D68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E3501E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8577BA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4ED277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ED0C68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A6288" w:rsidRPr="00B01F73" w14:paraId="2B5C123A" w14:textId="77777777" w:rsidTr="008A6288">
        <w:trPr>
          <w:trHeight w:val="300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E8A9C1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C53152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01F951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C69329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08539B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7C0E44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3C1FF1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A24734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269E2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F4F4B2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A6288" w:rsidRPr="00B01F73" w14:paraId="43929033" w14:textId="77777777" w:rsidTr="008A6288">
        <w:trPr>
          <w:trHeight w:val="300"/>
        </w:trPr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341271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B42496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EC566D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BC5575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275CBF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1DCCCC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469DE7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24810F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77E3A2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6486C1" w14:textId="77777777" w:rsidR="008A6288" w:rsidRPr="00B01F73" w:rsidRDefault="008A6288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587534F6" w14:textId="77777777" w:rsidR="00C822F3" w:rsidRPr="00B01F73" w:rsidRDefault="00C822F3" w:rsidP="00B01F73">
      <w:pPr>
        <w:tabs>
          <w:tab w:val="left" w:pos="930"/>
        </w:tabs>
        <w:spacing w:after="0" w:line="276" w:lineRule="auto"/>
        <w:jc w:val="both"/>
        <w:rPr>
          <w:rFonts w:ascii="Calibri" w:hAnsi="Calibri" w:cs="Calibri"/>
          <w:b/>
          <w:i/>
          <w:iCs/>
          <w:sz w:val="24"/>
          <w:szCs w:val="24"/>
        </w:rPr>
      </w:pPr>
    </w:p>
    <w:p w14:paraId="4AF31D71" w14:textId="77777777" w:rsidR="008A6288" w:rsidRPr="00B01F73" w:rsidRDefault="008A6288" w:rsidP="00B01F73">
      <w:pPr>
        <w:tabs>
          <w:tab w:val="left" w:pos="930"/>
        </w:tabs>
        <w:spacing w:after="0" w:line="276" w:lineRule="auto"/>
        <w:jc w:val="both"/>
        <w:rPr>
          <w:rFonts w:ascii="Calibri" w:hAnsi="Calibri" w:cs="Calibri"/>
          <w:b/>
          <w:i/>
          <w:iCs/>
          <w:sz w:val="24"/>
          <w:szCs w:val="24"/>
        </w:rPr>
      </w:pPr>
    </w:p>
    <w:p w14:paraId="237D96DD" w14:textId="2387B6E2" w:rsidR="00C822F3" w:rsidRPr="00B01F73" w:rsidRDefault="00C822F3" w:rsidP="00B01F73">
      <w:pPr>
        <w:tabs>
          <w:tab w:val="left" w:pos="930"/>
        </w:tabs>
        <w:spacing w:after="0" w:line="276" w:lineRule="auto"/>
        <w:jc w:val="both"/>
        <w:rPr>
          <w:rFonts w:ascii="Calibri" w:hAnsi="Calibri" w:cs="Calibri"/>
          <w:bCs/>
          <w:sz w:val="24"/>
          <w:szCs w:val="24"/>
        </w:rPr>
      </w:pPr>
      <w:r w:rsidRPr="00B01F73">
        <w:rPr>
          <w:rFonts w:ascii="Calibri" w:hAnsi="Calibri" w:cs="Calibri"/>
          <w:b/>
          <w:i/>
          <w:iCs/>
          <w:sz w:val="24"/>
          <w:szCs w:val="24"/>
        </w:rPr>
        <w:t xml:space="preserve">Üzleti gépek </w:t>
      </w:r>
      <w:r w:rsidRPr="00B01F73">
        <w:rPr>
          <w:rFonts w:ascii="Calibri" w:hAnsi="Calibri" w:cs="Calibri"/>
          <w:bCs/>
          <w:sz w:val="24"/>
          <w:szCs w:val="24"/>
        </w:rPr>
        <w:t>számának emelkedése a Covid időszak</w:t>
      </w:r>
      <w:r w:rsidR="00B430D3" w:rsidRPr="00B01F73">
        <w:rPr>
          <w:rFonts w:ascii="Calibri" w:hAnsi="Calibri" w:cs="Calibri"/>
          <w:bCs/>
          <w:sz w:val="24"/>
          <w:szCs w:val="24"/>
        </w:rPr>
        <w:t>ban volt jelentős.</w:t>
      </w:r>
      <w:r w:rsidRPr="00B01F73">
        <w:rPr>
          <w:rFonts w:ascii="Calibri" w:hAnsi="Calibri" w:cs="Calibri"/>
          <w:bCs/>
          <w:sz w:val="24"/>
          <w:szCs w:val="24"/>
        </w:rPr>
        <w:t xml:space="preserve"> </w:t>
      </w:r>
      <w:r w:rsidR="00B430D3" w:rsidRPr="00B01F73">
        <w:rPr>
          <w:rFonts w:ascii="Calibri" w:hAnsi="Calibri" w:cs="Calibri"/>
          <w:bCs/>
          <w:sz w:val="24"/>
          <w:szCs w:val="24"/>
        </w:rPr>
        <w:t xml:space="preserve">A 2024-es év üzleti forgalma </w:t>
      </w:r>
      <w:r w:rsidRPr="00B01F73">
        <w:rPr>
          <w:rFonts w:ascii="Calibri" w:hAnsi="Calibri" w:cs="Calibri"/>
          <w:bCs/>
          <w:sz w:val="24"/>
          <w:szCs w:val="24"/>
        </w:rPr>
        <w:t xml:space="preserve">ugyan nem </w:t>
      </w:r>
      <w:r w:rsidR="00B430D3" w:rsidRPr="00B01F73">
        <w:rPr>
          <w:rFonts w:ascii="Calibri" w:hAnsi="Calibri" w:cs="Calibri"/>
          <w:bCs/>
          <w:sz w:val="24"/>
          <w:szCs w:val="24"/>
        </w:rPr>
        <w:t>érte el ezt a mértéket</w:t>
      </w:r>
      <w:r w:rsidRPr="00B01F73">
        <w:rPr>
          <w:rFonts w:ascii="Calibri" w:hAnsi="Calibri" w:cs="Calibri"/>
          <w:bCs/>
          <w:sz w:val="24"/>
          <w:szCs w:val="24"/>
        </w:rPr>
        <w:t>, de még mindig magasabb, mint az azt megelőző időszakban. A jégtelenítési szolgáltatás</w:t>
      </w:r>
      <w:r w:rsidR="008777F5" w:rsidRPr="00B01F73">
        <w:rPr>
          <w:rFonts w:ascii="Calibri" w:hAnsi="Calibri" w:cs="Calibri"/>
          <w:bCs/>
          <w:sz w:val="24"/>
          <w:szCs w:val="24"/>
        </w:rPr>
        <w:t xml:space="preserve"> bevezetésének köszönhetően</w:t>
      </w:r>
      <w:r w:rsidRPr="00B01F73">
        <w:rPr>
          <w:rFonts w:ascii="Calibri" w:hAnsi="Calibri" w:cs="Calibri"/>
          <w:bCs/>
          <w:sz w:val="24"/>
          <w:szCs w:val="24"/>
        </w:rPr>
        <w:t xml:space="preserve"> a téli időszakban sem volt </w:t>
      </w:r>
      <w:proofErr w:type="gramStart"/>
      <w:r w:rsidRPr="00B01F73">
        <w:rPr>
          <w:rFonts w:ascii="Calibri" w:hAnsi="Calibri" w:cs="Calibri"/>
          <w:bCs/>
          <w:sz w:val="24"/>
          <w:szCs w:val="24"/>
        </w:rPr>
        <w:t>visszaesés,  viszonylag</w:t>
      </w:r>
      <w:proofErr w:type="gramEnd"/>
      <w:r w:rsidRPr="00B01F73">
        <w:rPr>
          <w:rFonts w:ascii="Calibri" w:hAnsi="Calibri" w:cs="Calibri"/>
          <w:bCs/>
          <w:sz w:val="24"/>
          <w:szCs w:val="24"/>
        </w:rPr>
        <w:t xml:space="preserve"> egyenletesnek mondható az eloszlás. Emellett a 16 óra utáni időszakban is gyakran használják a repülőteret annak ellenére, hogy az üzemidőn kívüli kiszolgálásnak külön díja van. </w:t>
      </w:r>
    </w:p>
    <w:p w14:paraId="241167D1" w14:textId="77777777" w:rsidR="00C822F3" w:rsidRPr="00B01F73" w:rsidRDefault="00C822F3" w:rsidP="00B01F73">
      <w:pPr>
        <w:tabs>
          <w:tab w:val="left" w:pos="930"/>
        </w:tabs>
        <w:spacing w:after="200" w:line="276" w:lineRule="auto"/>
        <w:jc w:val="both"/>
        <w:rPr>
          <w:rFonts w:ascii="Calibri" w:hAnsi="Calibri" w:cs="Calibri"/>
          <w:b/>
          <w:i/>
          <w:iCs/>
          <w:sz w:val="24"/>
          <w:szCs w:val="24"/>
        </w:rPr>
      </w:pPr>
    </w:p>
    <w:p w14:paraId="4AC873FF" w14:textId="496225B1" w:rsidR="00C822F3" w:rsidRPr="00B01F73" w:rsidRDefault="00C822F3" w:rsidP="00B01F73">
      <w:pPr>
        <w:tabs>
          <w:tab w:val="left" w:pos="930"/>
        </w:tabs>
        <w:spacing w:after="200" w:line="276" w:lineRule="auto"/>
        <w:jc w:val="both"/>
        <w:rPr>
          <w:rFonts w:ascii="Calibri" w:hAnsi="Calibri" w:cs="Calibri"/>
          <w:bCs/>
          <w:sz w:val="24"/>
          <w:szCs w:val="24"/>
        </w:rPr>
      </w:pPr>
      <w:r w:rsidRPr="00B01F73">
        <w:rPr>
          <w:rFonts w:ascii="Calibri" w:hAnsi="Calibri" w:cs="Calibri"/>
          <w:b/>
          <w:i/>
          <w:iCs/>
          <w:sz w:val="24"/>
          <w:szCs w:val="24"/>
        </w:rPr>
        <w:t>Magán-és sportcélú repülőgépek</w:t>
      </w:r>
      <w:r w:rsidRPr="00B01F73">
        <w:rPr>
          <w:rFonts w:ascii="Calibri" w:hAnsi="Calibri" w:cs="Calibri"/>
          <w:bCs/>
          <w:sz w:val="24"/>
          <w:szCs w:val="24"/>
        </w:rPr>
        <w:t xml:space="preserve"> forgalma némi visszaesést mutat. Ahogy az már 2023-ban is megmutatkozott</w:t>
      </w:r>
      <w:r w:rsidR="008777F5" w:rsidRPr="00B01F73">
        <w:rPr>
          <w:rFonts w:ascii="Calibri" w:hAnsi="Calibri" w:cs="Calibri"/>
          <w:bCs/>
          <w:sz w:val="24"/>
          <w:szCs w:val="24"/>
        </w:rPr>
        <w:t>.</w:t>
      </w:r>
      <w:r w:rsidRPr="00B01F73">
        <w:rPr>
          <w:rFonts w:ascii="Calibri" w:hAnsi="Calibri" w:cs="Calibri"/>
          <w:bCs/>
          <w:sz w:val="24"/>
          <w:szCs w:val="24"/>
        </w:rPr>
        <w:t xml:space="preserve"> Horvátország schengeni csatlakozása miatt a kilépőpont szerepe megszűnt a repülőtér</w:t>
      </w:r>
      <w:r w:rsidR="008777F5" w:rsidRPr="00B01F73">
        <w:rPr>
          <w:rFonts w:ascii="Calibri" w:hAnsi="Calibri" w:cs="Calibri"/>
          <w:bCs/>
          <w:sz w:val="24"/>
          <w:szCs w:val="24"/>
        </w:rPr>
        <w:t>nek</w:t>
      </w:r>
      <w:r w:rsidRPr="00B01F73">
        <w:rPr>
          <w:rFonts w:ascii="Calibri" w:hAnsi="Calibri" w:cs="Calibri"/>
          <w:bCs/>
          <w:sz w:val="24"/>
          <w:szCs w:val="24"/>
        </w:rPr>
        <w:t xml:space="preserve"> és ez a csökkenés nem változott 2024-ben sem. Főként kirándulási és gyakorlási  céllal </w:t>
      </w:r>
      <w:r w:rsidRPr="00B01F73">
        <w:rPr>
          <w:rFonts w:ascii="Calibri" w:hAnsi="Calibri" w:cs="Calibri"/>
          <w:bCs/>
          <w:sz w:val="24"/>
          <w:szCs w:val="24"/>
        </w:rPr>
        <w:lastRenderedPageBreak/>
        <w:t xml:space="preserve">használják a repülőteret. A gyakorló repülősiskolák általában szerződött partnerek, így a gyakorlást követően nem szállnak le, ami szintén csökkenti a műveletszámot. </w:t>
      </w:r>
    </w:p>
    <w:p w14:paraId="153DB380" w14:textId="554CCA3F" w:rsidR="00C822F3" w:rsidRPr="00B01F73" w:rsidRDefault="00C822F3" w:rsidP="00B01F73">
      <w:pPr>
        <w:tabs>
          <w:tab w:val="left" w:pos="930"/>
        </w:tabs>
        <w:spacing w:line="276" w:lineRule="auto"/>
        <w:jc w:val="both"/>
        <w:rPr>
          <w:rFonts w:ascii="Calibri" w:hAnsi="Calibri" w:cs="Calibri"/>
          <w:sz w:val="23"/>
          <w:szCs w:val="23"/>
        </w:rPr>
      </w:pPr>
      <w:r w:rsidRPr="00B01F73">
        <w:rPr>
          <w:rFonts w:ascii="Calibri" w:hAnsi="Calibri" w:cs="Calibri"/>
          <w:b/>
          <w:bCs/>
          <w:i/>
          <w:iCs/>
          <w:sz w:val="23"/>
          <w:szCs w:val="23"/>
        </w:rPr>
        <w:t xml:space="preserve">Katonai </w:t>
      </w:r>
      <w:r w:rsidRPr="00B01F73">
        <w:rPr>
          <w:rFonts w:ascii="Calibri" w:hAnsi="Calibri" w:cs="Calibri"/>
          <w:sz w:val="23"/>
          <w:szCs w:val="23"/>
        </w:rPr>
        <w:t xml:space="preserve">aktivitásra az őszi és téli időszakban került sor, 17 napot tartózkodott a Magyar Honvédség a belső területen, kialakítva ott a </w:t>
      </w:r>
      <w:r w:rsidR="008777F5" w:rsidRPr="00B01F73">
        <w:rPr>
          <w:rFonts w:ascii="Calibri" w:hAnsi="Calibri" w:cs="Calibri"/>
          <w:sz w:val="23"/>
          <w:szCs w:val="23"/>
        </w:rPr>
        <w:t xml:space="preserve">feladat végrehajtáshoz </w:t>
      </w:r>
      <w:r w:rsidRPr="00B01F73">
        <w:rPr>
          <w:rFonts w:ascii="Calibri" w:hAnsi="Calibri" w:cs="Calibri"/>
          <w:sz w:val="23"/>
          <w:szCs w:val="23"/>
        </w:rPr>
        <w:t xml:space="preserve">szükséges infrastruktúrát. A gyakorlat lehetőséget adott a polgári és katonai párhuzamos üzemelés kipróbálására, mely zökkenőmentesen végrehajtásra került. </w:t>
      </w:r>
    </w:p>
    <w:p w14:paraId="7B1BEF57" w14:textId="77777777" w:rsidR="00C822F3" w:rsidRPr="00B01F73" w:rsidRDefault="00C822F3" w:rsidP="00B01F73">
      <w:pPr>
        <w:tabs>
          <w:tab w:val="left" w:pos="930"/>
        </w:tabs>
        <w:spacing w:line="276" w:lineRule="auto"/>
        <w:jc w:val="both"/>
        <w:rPr>
          <w:rFonts w:ascii="Calibri" w:hAnsi="Calibri" w:cs="Calibri"/>
          <w:b/>
          <w:bCs/>
          <w:i/>
          <w:iCs/>
          <w:sz w:val="24"/>
          <w:szCs w:val="24"/>
        </w:rPr>
      </w:pPr>
      <w:r w:rsidRPr="00B01F73">
        <w:rPr>
          <w:rFonts w:ascii="Calibri" w:hAnsi="Calibri" w:cs="Calibri"/>
          <w:sz w:val="23"/>
          <w:szCs w:val="23"/>
        </w:rPr>
        <w:t>Az év utolsó hónapjában a belga különleges alakulat szintén többnapos nemzetközi hadgyakorlatot hajtott végre a területen.</w:t>
      </w:r>
    </w:p>
    <w:p w14:paraId="6BA633F1" w14:textId="77777777" w:rsidR="00C822F3" w:rsidRPr="00B01F73" w:rsidRDefault="00C822F3" w:rsidP="00B01F73">
      <w:pPr>
        <w:tabs>
          <w:tab w:val="left" w:pos="930"/>
        </w:tabs>
        <w:spacing w:line="276" w:lineRule="auto"/>
        <w:jc w:val="both"/>
        <w:rPr>
          <w:rFonts w:ascii="Calibri" w:hAnsi="Calibri" w:cs="Calibri"/>
          <w:sz w:val="23"/>
          <w:szCs w:val="23"/>
        </w:rPr>
      </w:pPr>
      <w:r w:rsidRPr="00B01F73">
        <w:rPr>
          <w:rFonts w:ascii="Calibri" w:hAnsi="Calibri" w:cs="Calibri"/>
          <w:b/>
          <w:bCs/>
          <w:i/>
          <w:iCs/>
          <w:sz w:val="24"/>
          <w:szCs w:val="24"/>
        </w:rPr>
        <w:t>Cargo</w:t>
      </w:r>
      <w:r w:rsidRPr="00B01F73">
        <w:rPr>
          <w:rFonts w:ascii="Calibri" w:hAnsi="Calibri" w:cs="Calibri"/>
          <w:sz w:val="24"/>
          <w:szCs w:val="24"/>
        </w:rPr>
        <w:t xml:space="preserve"> </w:t>
      </w:r>
      <w:r w:rsidRPr="00B01F73">
        <w:rPr>
          <w:rFonts w:ascii="Calibri" w:hAnsi="Calibri" w:cs="Calibri"/>
          <w:sz w:val="23"/>
          <w:szCs w:val="23"/>
        </w:rPr>
        <w:t xml:space="preserve">forgalom 2024. év elején folytatódott a Bábolna Tetra szervezésében. A korábbi évben elindult tojás és áruszállító forgalom10 alkalommal bonyolította forgalmát Hévíz-Balaton repülőtérről. Emellett szeptemberben az Air Hungary Cargo gépe szállított árut szintén a Bábolna Tetrának Asmarába. </w:t>
      </w:r>
    </w:p>
    <w:p w14:paraId="622399A9" w14:textId="77777777" w:rsidR="00C822F3" w:rsidRPr="00B01F73" w:rsidRDefault="00C822F3" w:rsidP="00B01F73">
      <w:pPr>
        <w:tabs>
          <w:tab w:val="left" w:pos="930"/>
        </w:tabs>
        <w:spacing w:line="276" w:lineRule="auto"/>
        <w:jc w:val="both"/>
        <w:rPr>
          <w:rFonts w:ascii="Calibri" w:hAnsi="Calibri" w:cs="Calibri"/>
          <w:sz w:val="23"/>
          <w:szCs w:val="23"/>
        </w:rPr>
      </w:pPr>
      <w:r w:rsidRPr="00B01F73">
        <w:rPr>
          <w:rFonts w:ascii="Calibri" w:hAnsi="Calibri" w:cs="Calibri"/>
          <w:sz w:val="23"/>
          <w:szCs w:val="23"/>
        </w:rPr>
        <w:t xml:space="preserve">A harmadik negyedév igazi áttörést jelentett a cargo forgalomban, mivel szerződéskötésre került sor két légitársasággal (Georgian Airlines és MNG Airlines), akik heti rendszerességgel több járatot üzemeltetnek a repülőtérre. A Georgian Airlines szeptember 12-én kezdte meg az üzemelést Hévíz-Balaton repülőtérre és heti háromszor érkezett. Az MNG Airlines első járata szeptember 30. volt. Azt követően egyelőre csak néhány alkalommal repült, állandó menetrend 2024-ben nem alakult ki. </w:t>
      </w:r>
    </w:p>
    <w:p w14:paraId="24C00D77" w14:textId="77777777" w:rsidR="00C822F3" w:rsidRPr="00B01F73" w:rsidRDefault="00C822F3" w:rsidP="00B01F73">
      <w:pPr>
        <w:pStyle w:val="Listaszerbekezds"/>
        <w:numPr>
          <w:ilvl w:val="0"/>
          <w:numId w:val="29"/>
        </w:numPr>
        <w:tabs>
          <w:tab w:val="left" w:pos="930"/>
        </w:tabs>
        <w:spacing w:after="200" w:line="276" w:lineRule="auto"/>
        <w:jc w:val="both"/>
        <w:rPr>
          <w:rFonts w:ascii="Calibri" w:hAnsi="Calibri" w:cs="Calibri"/>
          <w:bCs/>
          <w:sz w:val="24"/>
          <w:szCs w:val="24"/>
        </w:rPr>
      </w:pPr>
      <w:r w:rsidRPr="00B01F73">
        <w:rPr>
          <w:rFonts w:ascii="Calibri" w:hAnsi="Calibri" w:cs="Calibri"/>
          <w:bCs/>
          <w:sz w:val="24"/>
          <w:szCs w:val="24"/>
        </w:rPr>
        <w:t xml:space="preserve">Tojás szállítás Algéria (Bábolna Tetra Kft. - Algír) – 10 járat </w:t>
      </w:r>
    </w:p>
    <w:p w14:paraId="76D1473F" w14:textId="77777777" w:rsidR="00C822F3" w:rsidRPr="00B01F73" w:rsidRDefault="00C822F3" w:rsidP="00B01F73">
      <w:pPr>
        <w:pStyle w:val="Listaszerbekezds"/>
        <w:numPr>
          <w:ilvl w:val="0"/>
          <w:numId w:val="29"/>
        </w:numPr>
        <w:tabs>
          <w:tab w:val="left" w:pos="930"/>
        </w:tabs>
        <w:spacing w:after="200" w:line="276" w:lineRule="auto"/>
        <w:jc w:val="both"/>
        <w:rPr>
          <w:rFonts w:ascii="Calibri" w:hAnsi="Calibri" w:cs="Calibri"/>
          <w:bCs/>
          <w:sz w:val="24"/>
          <w:szCs w:val="24"/>
        </w:rPr>
      </w:pPr>
      <w:r w:rsidRPr="00B01F73">
        <w:rPr>
          <w:rFonts w:ascii="Calibri" w:hAnsi="Calibri" w:cs="Calibri"/>
          <w:bCs/>
          <w:sz w:val="24"/>
          <w:szCs w:val="24"/>
        </w:rPr>
        <w:t>Georgian Airlines (Tbilisi) –  járat</w:t>
      </w:r>
    </w:p>
    <w:p w14:paraId="55A744DB" w14:textId="77777777" w:rsidR="00C822F3" w:rsidRPr="00B01F73" w:rsidRDefault="00C822F3" w:rsidP="00B01F73">
      <w:pPr>
        <w:pStyle w:val="Listaszerbekezds"/>
        <w:numPr>
          <w:ilvl w:val="0"/>
          <w:numId w:val="29"/>
        </w:numPr>
        <w:tabs>
          <w:tab w:val="left" w:pos="930"/>
        </w:tabs>
        <w:spacing w:after="200" w:line="276" w:lineRule="auto"/>
        <w:jc w:val="both"/>
        <w:rPr>
          <w:rFonts w:ascii="Calibri" w:hAnsi="Calibri" w:cs="Calibri"/>
          <w:bCs/>
          <w:sz w:val="24"/>
          <w:szCs w:val="24"/>
        </w:rPr>
      </w:pPr>
      <w:r w:rsidRPr="00B01F73">
        <w:rPr>
          <w:rFonts w:ascii="Calibri" w:hAnsi="Calibri" w:cs="Calibri"/>
          <w:bCs/>
          <w:sz w:val="24"/>
          <w:szCs w:val="24"/>
        </w:rPr>
        <w:t>MNG Airlines (Isztambul) – járat</w:t>
      </w:r>
    </w:p>
    <w:p w14:paraId="0D0960E6" w14:textId="77777777" w:rsidR="00C822F3" w:rsidRPr="00B01F73" w:rsidRDefault="00C822F3" w:rsidP="00B01F73">
      <w:pPr>
        <w:pStyle w:val="Listaszerbekezds"/>
        <w:numPr>
          <w:ilvl w:val="0"/>
          <w:numId w:val="29"/>
        </w:numPr>
        <w:tabs>
          <w:tab w:val="left" w:pos="930"/>
        </w:tabs>
        <w:spacing w:after="200" w:line="276" w:lineRule="auto"/>
        <w:jc w:val="both"/>
        <w:rPr>
          <w:rFonts w:ascii="Calibri" w:hAnsi="Calibri" w:cs="Calibri"/>
          <w:bCs/>
          <w:sz w:val="24"/>
          <w:szCs w:val="24"/>
        </w:rPr>
      </w:pPr>
      <w:r w:rsidRPr="00B01F73">
        <w:rPr>
          <w:rFonts w:ascii="Calibri" w:hAnsi="Calibri" w:cs="Calibri"/>
          <w:bCs/>
          <w:sz w:val="24"/>
          <w:szCs w:val="24"/>
        </w:rPr>
        <w:t>Air Hungary Cargo (Asmara) – 1 járat</w:t>
      </w:r>
    </w:p>
    <w:p w14:paraId="56F600C7" w14:textId="77777777" w:rsidR="008A6288" w:rsidRPr="00B01F73" w:rsidRDefault="008A6288" w:rsidP="00B01F73">
      <w:pPr>
        <w:spacing w:before="240" w:after="240" w:line="276" w:lineRule="auto"/>
        <w:ind w:left="360"/>
        <w:jc w:val="center"/>
        <w:rPr>
          <w:rFonts w:ascii="Calibri" w:eastAsia="Calibri" w:hAnsi="Calibri" w:cs="Calibri"/>
          <w:b/>
          <w:sz w:val="24"/>
          <w:szCs w:val="24"/>
          <w:lang w:eastAsia="en-US"/>
        </w:rPr>
      </w:pPr>
    </w:p>
    <w:p w14:paraId="3EAE0E5A" w14:textId="1FA4C085" w:rsidR="00C822F3" w:rsidRPr="00B01F73" w:rsidRDefault="00C822F3" w:rsidP="00B01F73">
      <w:pPr>
        <w:spacing w:before="240" w:after="240" w:line="276" w:lineRule="auto"/>
        <w:ind w:left="360"/>
        <w:jc w:val="center"/>
        <w:rPr>
          <w:rFonts w:ascii="Calibri" w:eastAsia="Calibri" w:hAnsi="Calibri" w:cs="Calibri"/>
          <w:b/>
          <w:sz w:val="24"/>
          <w:szCs w:val="24"/>
          <w:lang w:eastAsia="en-US"/>
        </w:rPr>
      </w:pPr>
    </w:p>
    <w:tbl>
      <w:tblPr>
        <w:tblpPr w:leftFromText="141" w:rightFromText="141" w:vertAnchor="page" w:horzAnchor="margin" w:tblpXSpec="center" w:tblpY="3571"/>
        <w:tblOverlap w:val="never"/>
        <w:tblW w:w="900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80"/>
        <w:gridCol w:w="1676"/>
        <w:gridCol w:w="1676"/>
        <w:gridCol w:w="1676"/>
      </w:tblGrid>
      <w:tr w:rsidR="00C822F3" w:rsidRPr="00B01F73" w14:paraId="1369F285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25C787" w14:textId="025E9D44" w:rsidR="00C822F3" w:rsidRPr="00B01F73" w:rsidRDefault="00C822F3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noProof/>
                <w:color w:val="000000"/>
              </w:rPr>
              <w:lastRenderedPageBreak/>
              <w:drawing>
                <wp:anchor distT="0" distB="0" distL="114300" distR="114300" simplePos="0" relativeHeight="251666432" behindDoc="0" locked="0" layoutInCell="1" allowOverlap="1" wp14:anchorId="2154F7BF" wp14:editId="3143B154">
                  <wp:simplePos x="0" y="0"/>
                  <wp:positionH relativeFrom="column">
                    <wp:posOffset>9525</wp:posOffset>
                  </wp:positionH>
                  <wp:positionV relativeFrom="paragraph">
                    <wp:posOffset>152400</wp:posOffset>
                  </wp:positionV>
                  <wp:extent cx="5467350" cy="2305050"/>
                  <wp:effectExtent l="0" t="0" r="0" b="0"/>
                  <wp:wrapNone/>
                  <wp:docPr id="8" name="Diagram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B380D12-6D24-4FC8-A791-D85527F5E7AE}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3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840"/>
            </w:tblGrid>
            <w:tr w:rsidR="00C822F3" w:rsidRPr="00B01F73" w14:paraId="399C31F2" w14:textId="77777777" w:rsidTr="002923F2">
              <w:trPr>
                <w:trHeight w:val="300"/>
                <w:tblCellSpacing w:w="0" w:type="dxa"/>
              </w:trPr>
              <w:tc>
                <w:tcPr>
                  <w:tcW w:w="38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56472FD" w14:textId="77777777" w:rsidR="00C822F3" w:rsidRPr="00B01F73" w:rsidRDefault="00C822F3" w:rsidP="00B01F73">
                  <w:pPr>
                    <w:framePr w:hSpace="141" w:wrap="around" w:vAnchor="page" w:hAnchor="margin" w:xAlign="center" w:y="3571"/>
                    <w:spacing w:after="0" w:line="240" w:lineRule="auto"/>
                    <w:suppressOverlap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</w:tr>
          </w:tbl>
          <w:p w14:paraId="3834E92E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E26280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E9ABB4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6D051D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3A5AC715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8988A5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4C01D9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EFCEDA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DF660C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31FE18B8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94399C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72EC5E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E28BB1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15F253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2563E71A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071804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31551A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9AA5D3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D898A0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281DD6B5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A59409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2CCA99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654BAA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148ACE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7F00991F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C29760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360B81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640E3C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82DA61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0B8AC579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FF2AF4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1FB3AC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3CAFF1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67DF3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16173260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C65F8A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4C0DE6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BDDF16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24211D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3AD7C536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F44260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A32AE0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B0B095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7342D6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1AFC20A7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B58EAC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2F1F19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C8C7EB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AA57EE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6A482FAE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7D5C51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4B6B5D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62A3C0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30FC34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58C32753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5A096A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28143B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9CE47E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F66D13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3CC99760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C8888C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2B4432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E3E3C4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A5B97C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04F7BCC9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C102BD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92BD5D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77752D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D6F166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4A4100AC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121F9F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B01F73">
              <w:rPr>
                <w:rFonts w:ascii="Calibri" w:eastAsia="Times New Roman" w:hAnsi="Calibri" w:cs="Calibri"/>
                <w:noProof/>
                <w:color w:val="000000"/>
              </w:rPr>
              <w:drawing>
                <wp:anchor distT="0" distB="0" distL="114300" distR="114300" simplePos="0" relativeHeight="251667456" behindDoc="0" locked="0" layoutInCell="1" allowOverlap="1" wp14:anchorId="4B78FCEE" wp14:editId="7B8C1039">
                  <wp:simplePos x="0" y="0"/>
                  <wp:positionH relativeFrom="column">
                    <wp:posOffset>-9525</wp:posOffset>
                  </wp:positionH>
                  <wp:positionV relativeFrom="paragraph">
                    <wp:posOffset>180975</wp:posOffset>
                  </wp:positionV>
                  <wp:extent cx="5553075" cy="2476500"/>
                  <wp:effectExtent l="0" t="0" r="9525" b="0"/>
                  <wp:wrapNone/>
                  <wp:docPr id="9" name="Diagram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ADC81CE-872E-490E-ACCC-7F6E6DC93558}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4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840"/>
            </w:tblGrid>
            <w:tr w:rsidR="00C822F3" w:rsidRPr="00B01F73" w14:paraId="5D7375F2" w14:textId="77777777" w:rsidTr="002923F2">
              <w:trPr>
                <w:trHeight w:val="300"/>
                <w:tblCellSpacing w:w="0" w:type="dxa"/>
              </w:trPr>
              <w:tc>
                <w:tcPr>
                  <w:tcW w:w="38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553DDDE" w14:textId="77777777" w:rsidR="00C822F3" w:rsidRPr="00B01F73" w:rsidRDefault="00C822F3" w:rsidP="00B01F73">
                  <w:pPr>
                    <w:framePr w:hSpace="141" w:wrap="around" w:vAnchor="page" w:hAnchor="margin" w:xAlign="center" w:y="3571"/>
                    <w:spacing w:after="0" w:line="240" w:lineRule="auto"/>
                    <w:suppressOverlap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</w:tr>
          </w:tbl>
          <w:p w14:paraId="3180BF20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30EBEB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D7602C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9174F7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17227E4B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C39143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A89BD1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6E9106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BE3C77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7C1259A4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53CDA7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05414F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A72BAD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433343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1AE9CE7C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05F3A5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60DF93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6DF40E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3874E9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6C4E8F44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A33B99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321A2D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22EFAA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5112E4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7FE054F7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DB06C3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9F1F6A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84DE4F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512409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3A7103D2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2896EB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3293B5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595487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0CADB7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5C384141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AC6DED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01E063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09EDC9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F41E39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281DCA1C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2C3E91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69265B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F13745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E20D1D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43CD526C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DF4CF8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9893CC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6ABA72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7F903E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1B46967D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DFC00B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D7326C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B63D91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649F78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53FE3617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07EF5B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766DDF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61C893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586A98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3A09D021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6DE745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4E36E1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9C3665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DFA6AB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7A01388C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824BF2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8411C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D67981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003BC1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822F3" w:rsidRPr="00B01F73" w14:paraId="3F00168D" w14:textId="77777777" w:rsidTr="002923F2">
        <w:trPr>
          <w:trHeight w:val="300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E3401B" w14:textId="77777777" w:rsidR="00C822F3" w:rsidRPr="00B01F73" w:rsidRDefault="00C822F3" w:rsidP="00B01F73">
            <w:pPr>
              <w:spacing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1F1F5A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02ADD7" w14:textId="77777777" w:rsidR="00C822F3" w:rsidRPr="00B01F73" w:rsidRDefault="00C822F3" w:rsidP="00B01F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D3EB8B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43527B9D" w14:textId="0E7A72A8" w:rsidR="00FA01ED" w:rsidRPr="00B01F73" w:rsidRDefault="00FA01ED" w:rsidP="00B01F73">
      <w:pPr>
        <w:jc w:val="center"/>
        <w:rPr>
          <w:noProof/>
        </w:rPr>
      </w:pPr>
      <w:r w:rsidRPr="00B01F73">
        <w:rPr>
          <w:rFonts w:ascii="Calibri" w:eastAsia="Calibri" w:hAnsi="Calibri" w:cs="Calibri"/>
          <w:b/>
          <w:sz w:val="24"/>
          <w:szCs w:val="24"/>
          <w:lang w:eastAsia="en-US"/>
        </w:rPr>
        <w:t>Cargo járatok forgalmi adatainak összehasonlítása a légijáratok száma és a szállított áru mennyisége alapján 2019-2024. években</w:t>
      </w:r>
    </w:p>
    <w:p w14:paraId="6142AC8C" w14:textId="2646BA1C" w:rsidR="00FA01ED" w:rsidRPr="00B01F73" w:rsidRDefault="00FA01ED" w:rsidP="00B01F73">
      <w:pPr>
        <w:rPr>
          <w:noProof/>
        </w:rPr>
      </w:pPr>
      <w:r w:rsidRPr="00B01F73">
        <w:rPr>
          <w:noProof/>
        </w:rPr>
        <w:br w:type="page"/>
      </w:r>
    </w:p>
    <w:p w14:paraId="4E7F46BB" w14:textId="77777777" w:rsidR="00FA01ED" w:rsidRPr="00B01F73" w:rsidRDefault="00FA01ED" w:rsidP="00B01F73">
      <w:pPr>
        <w:spacing w:before="240" w:after="120" w:line="276" w:lineRule="auto"/>
        <w:jc w:val="center"/>
        <w:rPr>
          <w:rFonts w:eastAsia="Calibri" w:cstheme="minorHAnsi"/>
          <w:b/>
          <w:sz w:val="24"/>
          <w:szCs w:val="24"/>
          <w:lang w:eastAsia="en-US"/>
        </w:rPr>
      </w:pPr>
      <w:r w:rsidRPr="00B01F73">
        <w:rPr>
          <w:rFonts w:eastAsia="Calibri" w:cstheme="minorHAnsi"/>
          <w:b/>
          <w:sz w:val="24"/>
          <w:szCs w:val="24"/>
          <w:lang w:eastAsia="en-US"/>
        </w:rPr>
        <w:lastRenderedPageBreak/>
        <w:t>A forgalom megoszlása a kereskedelmi és az általános célú repülés résztvevői közt</w:t>
      </w:r>
    </w:p>
    <w:p w14:paraId="03C95605" w14:textId="77777777" w:rsidR="00FA01ED" w:rsidRPr="00B01F73" w:rsidRDefault="00FA01ED" w:rsidP="00B01F73">
      <w:pPr>
        <w:spacing w:after="120" w:line="276" w:lineRule="auto"/>
        <w:jc w:val="center"/>
        <w:rPr>
          <w:rFonts w:eastAsia="Calibri" w:cstheme="minorHAnsi"/>
          <w:b/>
          <w:sz w:val="24"/>
          <w:szCs w:val="24"/>
          <w:lang w:eastAsia="en-US"/>
        </w:rPr>
      </w:pPr>
      <w:r w:rsidRPr="00B01F73">
        <w:rPr>
          <w:rFonts w:eastAsia="Calibri" w:cstheme="minorHAnsi"/>
          <w:b/>
          <w:sz w:val="24"/>
          <w:szCs w:val="24"/>
          <w:lang w:eastAsia="en-US"/>
        </w:rPr>
        <w:t>2024. évben</w:t>
      </w:r>
    </w:p>
    <w:p w14:paraId="310E1289" w14:textId="4E5D02D6" w:rsidR="00C822F3" w:rsidRPr="00B01F73" w:rsidRDefault="00C822F3" w:rsidP="00B01F73">
      <w:pPr>
        <w:jc w:val="center"/>
        <w:rPr>
          <w:rFonts w:ascii="Arial" w:hAnsi="Arial" w:cs="Arial"/>
          <w:b/>
          <w:bCs/>
          <w:caps/>
        </w:rPr>
      </w:pPr>
      <w:r w:rsidRPr="00B01F73">
        <w:rPr>
          <w:noProof/>
        </w:rPr>
        <w:drawing>
          <wp:inline distT="0" distB="0" distL="0" distR="0" wp14:anchorId="47574BC6" wp14:editId="7B02C883">
            <wp:extent cx="4572000" cy="2743200"/>
            <wp:effectExtent l="0" t="0" r="0" b="0"/>
            <wp:docPr id="944041833" name="Diagram 1">
              <a:extLst xmlns:a="http://schemas.openxmlformats.org/drawingml/2006/main">
                <a:ext uri="{FF2B5EF4-FFF2-40B4-BE49-F238E27FC236}">
                  <a16:creationId xmlns:a16="http://schemas.microsoft.com/office/drawing/2014/main" id="{4D58EA60-5348-4A1F-B65A-0BE3D321277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03E9D103" w14:textId="77777777" w:rsidR="00C822F3" w:rsidRPr="00B01F73" w:rsidRDefault="00C822F3" w:rsidP="00B01F73">
      <w:pPr>
        <w:rPr>
          <w:rFonts w:ascii="Arial" w:hAnsi="Arial" w:cs="Arial"/>
          <w:b/>
          <w:bCs/>
          <w:caps/>
        </w:rPr>
      </w:pPr>
    </w:p>
    <w:p w14:paraId="3C041F41" w14:textId="77777777" w:rsidR="00C822F3" w:rsidRPr="00B01F73" w:rsidRDefault="00C822F3" w:rsidP="00B01F73">
      <w:pPr>
        <w:jc w:val="center"/>
      </w:pPr>
      <w:r w:rsidRPr="00B01F73">
        <w:rPr>
          <w:noProof/>
        </w:rPr>
        <w:drawing>
          <wp:inline distT="0" distB="0" distL="0" distR="0" wp14:anchorId="34D344C6" wp14:editId="28022B16">
            <wp:extent cx="4572000" cy="2743200"/>
            <wp:effectExtent l="0" t="0" r="0" b="0"/>
            <wp:docPr id="863297970" name="Diagram 1">
              <a:extLst xmlns:a="http://schemas.openxmlformats.org/drawingml/2006/main">
                <a:ext uri="{FF2B5EF4-FFF2-40B4-BE49-F238E27FC236}">
                  <a16:creationId xmlns:a16="http://schemas.microsoft.com/office/drawing/2014/main" id="{84313932-805B-46AB-BCE0-73C9DA6EB27C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052FDF2D" w14:textId="77777777" w:rsidR="00C822F3" w:rsidRPr="00B01F73" w:rsidRDefault="00C822F3" w:rsidP="00B01F73">
      <w:pPr>
        <w:spacing w:before="240" w:after="240" w:line="276" w:lineRule="auto"/>
        <w:jc w:val="center"/>
        <w:rPr>
          <w:rFonts w:ascii="Calibri" w:eastAsia="Calibri" w:hAnsi="Calibri" w:cs="Calibri"/>
          <w:b/>
          <w:sz w:val="24"/>
          <w:szCs w:val="24"/>
          <w:lang w:eastAsia="en-US"/>
        </w:rPr>
      </w:pPr>
    </w:p>
    <w:p w14:paraId="18917DAB" w14:textId="77777777" w:rsidR="00C822F3" w:rsidRPr="00B01F73" w:rsidRDefault="00C822F3" w:rsidP="00B01F73">
      <w:pPr>
        <w:spacing w:before="240" w:after="240" w:line="276" w:lineRule="auto"/>
        <w:jc w:val="center"/>
        <w:rPr>
          <w:rFonts w:ascii="Calibri" w:eastAsia="Calibri" w:hAnsi="Calibri" w:cs="Calibri"/>
          <w:b/>
          <w:sz w:val="24"/>
          <w:szCs w:val="24"/>
          <w:lang w:eastAsia="en-US"/>
        </w:rPr>
      </w:pPr>
    </w:p>
    <w:p w14:paraId="208EC511" w14:textId="77777777" w:rsidR="00C822F3" w:rsidRPr="00B01F73" w:rsidRDefault="00C822F3" w:rsidP="00B01F73">
      <w:pPr>
        <w:spacing w:before="240" w:after="240" w:line="276" w:lineRule="auto"/>
        <w:jc w:val="center"/>
        <w:rPr>
          <w:rFonts w:ascii="Calibri" w:eastAsia="Calibri" w:hAnsi="Calibri" w:cs="Calibri"/>
          <w:b/>
          <w:sz w:val="24"/>
          <w:szCs w:val="24"/>
          <w:lang w:eastAsia="en-US"/>
        </w:rPr>
      </w:pPr>
    </w:p>
    <w:p w14:paraId="202ADCA4" w14:textId="77777777" w:rsidR="00C822F3" w:rsidRPr="00B01F73" w:rsidRDefault="00C822F3" w:rsidP="00B01F73">
      <w:pPr>
        <w:spacing w:before="240" w:after="240" w:line="276" w:lineRule="auto"/>
        <w:jc w:val="center"/>
        <w:rPr>
          <w:rFonts w:ascii="Calibri" w:eastAsia="Calibri" w:hAnsi="Calibri" w:cs="Calibri"/>
          <w:b/>
          <w:sz w:val="24"/>
          <w:szCs w:val="24"/>
          <w:lang w:eastAsia="en-US"/>
        </w:rPr>
      </w:pPr>
    </w:p>
    <w:p w14:paraId="275F53A6" w14:textId="77777777" w:rsidR="00C822F3" w:rsidRPr="00B01F73" w:rsidRDefault="00C822F3" w:rsidP="00B01F73">
      <w:pPr>
        <w:spacing w:before="240" w:after="240" w:line="276" w:lineRule="auto"/>
        <w:jc w:val="center"/>
        <w:rPr>
          <w:rFonts w:ascii="Calibri" w:eastAsia="Calibri" w:hAnsi="Calibri" w:cs="Calibri"/>
          <w:b/>
          <w:sz w:val="24"/>
          <w:szCs w:val="24"/>
          <w:lang w:eastAsia="en-US"/>
        </w:rPr>
      </w:pPr>
    </w:p>
    <w:tbl>
      <w:tblPr>
        <w:tblW w:w="178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148"/>
        <w:gridCol w:w="968"/>
        <w:gridCol w:w="968"/>
        <w:gridCol w:w="968"/>
        <w:gridCol w:w="968"/>
        <w:gridCol w:w="968"/>
        <w:gridCol w:w="968"/>
        <w:gridCol w:w="968"/>
        <w:gridCol w:w="968"/>
        <w:gridCol w:w="968"/>
      </w:tblGrid>
      <w:tr w:rsidR="00C822F3" w:rsidRPr="00B01F73" w14:paraId="312F2DA4" w14:textId="77777777" w:rsidTr="002923F2">
        <w:trPr>
          <w:trHeight w:val="80"/>
        </w:trPr>
        <w:tc>
          <w:tcPr>
            <w:tcW w:w="9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F18D981" w14:textId="77777777" w:rsidR="00C822F3" w:rsidRPr="00B01F73" w:rsidRDefault="00C822F3" w:rsidP="00B01F73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5CE74E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227314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A594A5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443145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22E7CE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23851B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B635C9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3A416C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ECD188" w14:textId="77777777" w:rsidR="00C822F3" w:rsidRPr="00B01F73" w:rsidRDefault="00C822F3" w:rsidP="00B01F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6314E4BA" w14:textId="372F8452" w:rsidR="00D675EC" w:rsidRPr="00B01F73" w:rsidRDefault="00D675EC" w:rsidP="00B01F73">
      <w:pPr>
        <w:pStyle w:val="Cmsor1"/>
        <w:numPr>
          <w:ilvl w:val="0"/>
          <w:numId w:val="35"/>
        </w:numPr>
        <w:spacing w:before="240" w:after="240"/>
        <w:ind w:left="426" w:hanging="426"/>
        <w:rPr>
          <w:rFonts w:ascii="Calibri" w:hAnsi="Calibri" w:cs="Calibri"/>
          <w:b/>
          <w:caps/>
          <w:sz w:val="26"/>
          <w:szCs w:val="26"/>
        </w:rPr>
      </w:pPr>
      <w:bookmarkStart w:id="4" w:name="_Toc196485747"/>
      <w:r w:rsidRPr="00B01F73">
        <w:rPr>
          <w:rFonts w:ascii="Calibri" w:hAnsi="Calibri" w:cs="Calibri"/>
          <w:b/>
          <w:caps/>
          <w:sz w:val="26"/>
          <w:szCs w:val="26"/>
        </w:rPr>
        <w:lastRenderedPageBreak/>
        <w:t>A repülőtér üzemeltetésével összefüggő célok teljesülése</w:t>
      </w:r>
      <w:bookmarkEnd w:id="4"/>
    </w:p>
    <w:p w14:paraId="4AB8559F" w14:textId="77777777" w:rsidR="00FA01ED" w:rsidRPr="00B01F73" w:rsidRDefault="00FA01ED" w:rsidP="00B01F73">
      <w:r w:rsidRPr="00B01F73">
        <w:t>Megvalósult feladatok:</w:t>
      </w:r>
    </w:p>
    <w:p w14:paraId="1CB9926D" w14:textId="77777777" w:rsidR="00FA01ED" w:rsidRPr="00B01F73" w:rsidRDefault="00FA01ED" w:rsidP="00B01F73">
      <w:pPr>
        <w:pStyle w:val="Listaszerbekezds"/>
        <w:numPr>
          <w:ilvl w:val="0"/>
          <w:numId w:val="49"/>
        </w:numPr>
      </w:pPr>
      <w:r w:rsidRPr="00B01F73">
        <w:t>A repülőtér működéséhez szükséges engedélyek feltételeinek folyamatos fenntartása, felülvizsgálatok, hitelesítések, ellenőrzések elvégzése minden érintett szakterületen:</w:t>
      </w:r>
    </w:p>
    <w:p w14:paraId="16331506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Üzemeltetési engedély</w:t>
      </w:r>
    </w:p>
    <w:p w14:paraId="40BA4E36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Munka-, tűz- és környezetvédelem, veszélyes anyag kezelés</w:t>
      </w:r>
    </w:p>
    <w:p w14:paraId="46574EF3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Repülés védelem (FBÖ és Repülés védelmi ellenőr)</w:t>
      </w:r>
    </w:p>
    <w:p w14:paraId="1E7C983F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Légiforgalmi szolgálat és navigáció (CNS), akadály felülvizsgálat</w:t>
      </w:r>
    </w:p>
    <w:p w14:paraId="2CE965CE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Jövedéki és ÁFA raktár</w:t>
      </w:r>
    </w:p>
    <w:p w14:paraId="10F35D2A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Repülőtéri Létesítményi Tűzoltóság</w:t>
      </w:r>
    </w:p>
    <w:p w14:paraId="6349D91D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Iparbiztonság</w:t>
      </w:r>
    </w:p>
    <w:p w14:paraId="231B2AF8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Vadvédekezés</w:t>
      </w:r>
    </w:p>
    <w:p w14:paraId="644C221D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IT Security</w:t>
      </w:r>
    </w:p>
    <w:p w14:paraId="57C5B150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Földi kiszolgáló berendezések</w:t>
      </w:r>
    </w:p>
    <w:p w14:paraId="563030CA" w14:textId="77777777" w:rsidR="00FA01ED" w:rsidRPr="00B01F73" w:rsidRDefault="00FA01ED" w:rsidP="00B01F73">
      <w:pPr>
        <w:pStyle w:val="Listaszerbekezds"/>
        <w:numPr>
          <w:ilvl w:val="0"/>
          <w:numId w:val="49"/>
        </w:numPr>
      </w:pPr>
      <w:r w:rsidRPr="00B01F73">
        <w:t>Repülőtéri Létesítményi Tűzoltóság felállítása, külső szolgáltató bevonásával</w:t>
      </w:r>
    </w:p>
    <w:p w14:paraId="11CC9059" w14:textId="77777777" w:rsidR="00FA01ED" w:rsidRPr="00B01F73" w:rsidRDefault="00FA01ED" w:rsidP="00B01F73">
      <w:pPr>
        <w:pStyle w:val="Listaszerbekezds"/>
        <w:numPr>
          <w:ilvl w:val="0"/>
          <w:numId w:val="49"/>
        </w:numPr>
      </w:pPr>
      <w:r w:rsidRPr="00B01F73">
        <w:t>Infrastruktúra elemek és eszközök időszakos karbantartása, eseti javítása</w:t>
      </w:r>
    </w:p>
    <w:p w14:paraId="6FCA6D70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épületek</w:t>
      </w:r>
    </w:p>
    <w:p w14:paraId="43D549FD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közmű hálózat</w:t>
      </w:r>
    </w:p>
    <w:p w14:paraId="688442C1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burkolt felületek</w:t>
      </w:r>
    </w:p>
    <w:p w14:paraId="3501C9C5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zöld területek</w:t>
      </w:r>
    </w:p>
    <w:p w14:paraId="20A6545F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fenntartó és kiszolgáló eszközök</w:t>
      </w:r>
    </w:p>
    <w:p w14:paraId="27FF9721" w14:textId="77777777" w:rsidR="00FA01ED" w:rsidRPr="00B01F73" w:rsidRDefault="00FA01ED" w:rsidP="00B01F73">
      <w:pPr>
        <w:pStyle w:val="Listaszerbekezds"/>
        <w:numPr>
          <w:ilvl w:val="0"/>
          <w:numId w:val="49"/>
        </w:numPr>
      </w:pPr>
      <w:r w:rsidRPr="00B01F73">
        <w:t>Vadvédekezési program felülvizsgálata és fejlesztése, szakértő személyi állomány felállítása</w:t>
      </w:r>
    </w:p>
    <w:p w14:paraId="1355A5EE" w14:textId="77777777" w:rsidR="00FA01ED" w:rsidRPr="00B01F73" w:rsidRDefault="00FA01ED" w:rsidP="00B01F73">
      <w:pPr>
        <w:pStyle w:val="Listaszerbekezds"/>
        <w:numPr>
          <w:ilvl w:val="0"/>
          <w:numId w:val="49"/>
        </w:numPr>
      </w:pPr>
      <w:r w:rsidRPr="00B01F73">
        <w:t>Repülés védelmi képesség növelése:</w:t>
      </w:r>
    </w:p>
    <w:p w14:paraId="57CB663D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 xml:space="preserve"> „Robbanóanyag és kábítószer kereső berendezés” beszerzése</w:t>
      </w:r>
    </w:p>
    <w:p w14:paraId="311E16A4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Cargo terminál beléptető és kamera rendszer kiépítése</w:t>
      </w:r>
    </w:p>
    <w:p w14:paraId="6A575B4E" w14:textId="77777777" w:rsidR="00FA01ED" w:rsidRPr="00B01F73" w:rsidRDefault="00FA01ED" w:rsidP="00B01F73">
      <w:pPr>
        <w:pStyle w:val="Listaszerbekezds"/>
        <w:numPr>
          <w:ilvl w:val="0"/>
          <w:numId w:val="49"/>
        </w:numPr>
      </w:pPr>
      <w:r w:rsidRPr="00B01F73">
        <w:t>Fegyveres Biztonsági Őrség fegyver állományának részleges korszerűsítése</w:t>
      </w:r>
    </w:p>
    <w:p w14:paraId="3456B559" w14:textId="77777777" w:rsidR="00FA01ED" w:rsidRPr="00B01F73" w:rsidRDefault="00FA01ED" w:rsidP="00B01F73">
      <w:pPr>
        <w:pStyle w:val="Listaszerbekezds"/>
        <w:numPr>
          <w:ilvl w:val="0"/>
          <w:numId w:val="49"/>
        </w:numPr>
      </w:pPr>
      <w:r w:rsidRPr="00B01F73">
        <w:t>Földi kiszolgáló képesség növelése</w:t>
      </w:r>
    </w:p>
    <w:p w14:paraId="7D77F464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Cargo terminál egységrakomány mozgató és tároló eszközök beszerzése</w:t>
      </w:r>
    </w:p>
    <w:p w14:paraId="7DE79117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Egységrakomány rakodó gép beszerzése</w:t>
      </w:r>
    </w:p>
    <w:p w14:paraId="37B62DCC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Egységrakomány szállító utánfutók beszerzése</w:t>
      </w:r>
    </w:p>
    <w:p w14:paraId="6307AA1F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Villás targonca beszerzése</w:t>
      </w:r>
    </w:p>
    <w:p w14:paraId="38165E40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Feladott poggyász futószalag rendszer automatizálása és felügyeleti rendszer kiépítése</w:t>
      </w:r>
    </w:p>
    <w:p w14:paraId="4D2A81CF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10T kapacitású hiteles mérleg beszerzése</w:t>
      </w:r>
    </w:p>
    <w:p w14:paraId="72C2C3C1" w14:textId="77777777" w:rsidR="00FA01ED" w:rsidRPr="00B01F73" w:rsidRDefault="00FA01ED" w:rsidP="00B01F73">
      <w:pPr>
        <w:pStyle w:val="Listaszerbekezds"/>
        <w:numPr>
          <w:ilvl w:val="0"/>
          <w:numId w:val="49"/>
        </w:numPr>
      </w:pPr>
      <w:r w:rsidRPr="00B01F73">
        <w:t>Elsősegély nyújtó hely kialakítása</w:t>
      </w:r>
    </w:p>
    <w:p w14:paraId="34DCAFFC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Félautomata defibrillátor beszerzése és használatának oktatása</w:t>
      </w:r>
    </w:p>
    <w:p w14:paraId="11582D8B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t>Vizsgáló / fektető helyiség kialakítása és felszerelése</w:t>
      </w:r>
    </w:p>
    <w:p w14:paraId="7ED7DC8C" w14:textId="77777777" w:rsidR="00FA01ED" w:rsidRPr="00B01F73" w:rsidRDefault="00FA01ED" w:rsidP="00B01F73">
      <w:pPr>
        <w:pStyle w:val="Listaszerbekezds"/>
        <w:numPr>
          <w:ilvl w:val="0"/>
          <w:numId w:val="49"/>
        </w:numPr>
      </w:pPr>
      <w:r w:rsidRPr="00B01F73">
        <w:t>Ital és Snack automata bérlete és üzembe helyezése</w:t>
      </w:r>
    </w:p>
    <w:p w14:paraId="3A34E9C3" w14:textId="77777777" w:rsidR="00FA01ED" w:rsidRPr="00B01F73" w:rsidRDefault="00FA01ED" w:rsidP="00B01F73">
      <w:pPr>
        <w:pStyle w:val="Listaszerbekezds"/>
        <w:numPr>
          <w:ilvl w:val="0"/>
          <w:numId w:val="49"/>
        </w:numPr>
      </w:pPr>
      <w:r w:rsidRPr="00B01F73">
        <w:t>Repülőtér felügyelői személyzet képzése</w:t>
      </w:r>
    </w:p>
    <w:p w14:paraId="1AF89DE8" w14:textId="77777777" w:rsidR="00FA01ED" w:rsidRPr="00B01F73" w:rsidRDefault="00FA01ED" w:rsidP="00B01F73">
      <w:pPr>
        <w:pStyle w:val="Listaszerbekezds"/>
        <w:numPr>
          <w:ilvl w:val="0"/>
          <w:numId w:val="49"/>
        </w:numPr>
      </w:pPr>
      <w:r w:rsidRPr="00B01F73">
        <w:rPr>
          <w:rFonts w:cs="Arial"/>
        </w:rPr>
        <w:t>„A Hévíz-Balaton Airport, repülőtér infrastruktúra karbantartáshoz, fejlesztéséhez szükséges engedélyezési és kiviteli terveinek elkészítése, teljeskörű hatósági engedélyeztetése, és kivitelezése” című projekt indítása, a következő feladatokra:</w:t>
      </w:r>
    </w:p>
    <w:p w14:paraId="4ECE8C5F" w14:textId="77777777" w:rsidR="00FA01ED" w:rsidRPr="00B01F73" w:rsidRDefault="00FA01ED" w:rsidP="00B01F73">
      <w:pPr>
        <w:numPr>
          <w:ilvl w:val="1"/>
          <w:numId w:val="49"/>
        </w:numPr>
        <w:spacing w:after="120" w:line="240" w:lineRule="auto"/>
        <w:rPr>
          <w:rFonts w:cs="Arial"/>
        </w:rPr>
      </w:pPr>
      <w:r w:rsidRPr="00B01F73">
        <w:rPr>
          <w:rFonts w:cs="Arial"/>
        </w:rPr>
        <w:t xml:space="preserve">koncepció terv </w:t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  <w:r w:rsidRPr="00B01F73">
        <w:rPr>
          <w:rFonts w:cs="Arial"/>
        </w:rPr>
        <w:tab/>
        <w:t xml:space="preserve"> </w:t>
      </w:r>
      <w:r w:rsidRPr="00B01F73">
        <w:rPr>
          <w:rFonts w:cs="Arial"/>
        </w:rPr>
        <w:tab/>
      </w:r>
    </w:p>
    <w:p w14:paraId="64EBF01A" w14:textId="77777777" w:rsidR="00FA01ED" w:rsidRPr="00B01F73" w:rsidRDefault="00FA01ED" w:rsidP="00B01F73">
      <w:pPr>
        <w:numPr>
          <w:ilvl w:val="1"/>
          <w:numId w:val="49"/>
        </w:numPr>
        <w:spacing w:after="120" w:line="240" w:lineRule="auto"/>
        <w:rPr>
          <w:rFonts w:cs="Arial"/>
        </w:rPr>
      </w:pPr>
      <w:r w:rsidRPr="00B01F73">
        <w:rPr>
          <w:rFonts w:cs="Arial"/>
        </w:rPr>
        <w:t>engedélyezési tervdokumentáció</w:t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</w:p>
    <w:p w14:paraId="4A66FC3F" w14:textId="77777777" w:rsidR="00FA01ED" w:rsidRPr="00B01F73" w:rsidRDefault="00FA01ED" w:rsidP="00B01F73">
      <w:pPr>
        <w:numPr>
          <w:ilvl w:val="1"/>
          <w:numId w:val="49"/>
        </w:numPr>
        <w:spacing w:after="120" w:line="240" w:lineRule="auto"/>
        <w:rPr>
          <w:rFonts w:cs="Arial"/>
        </w:rPr>
      </w:pPr>
      <w:r w:rsidRPr="00B01F73">
        <w:rPr>
          <w:rFonts w:cs="Arial"/>
        </w:rPr>
        <w:t>építési engedély</w:t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  <w:r w:rsidRPr="00B01F73">
        <w:rPr>
          <w:rFonts w:cs="Arial"/>
        </w:rPr>
        <w:tab/>
        <w:t xml:space="preserve"> </w:t>
      </w:r>
      <w:r w:rsidRPr="00B01F73">
        <w:rPr>
          <w:rFonts w:cs="Arial"/>
        </w:rPr>
        <w:tab/>
      </w:r>
    </w:p>
    <w:p w14:paraId="6BE7DED1" w14:textId="77777777" w:rsidR="00FA01ED" w:rsidRPr="00B01F73" w:rsidRDefault="00FA01ED" w:rsidP="00B01F73">
      <w:pPr>
        <w:numPr>
          <w:ilvl w:val="1"/>
          <w:numId w:val="49"/>
        </w:numPr>
        <w:spacing w:after="120" w:line="240" w:lineRule="auto"/>
        <w:rPr>
          <w:rFonts w:cs="Arial"/>
        </w:rPr>
      </w:pPr>
      <w:r w:rsidRPr="00B01F73">
        <w:rPr>
          <w:rFonts w:cs="Arial"/>
        </w:rPr>
        <w:t>kiviteli terv dokumentáció</w:t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</w:p>
    <w:p w14:paraId="395BE147" w14:textId="77777777" w:rsidR="00FA01ED" w:rsidRPr="00B01F73" w:rsidRDefault="00FA01ED" w:rsidP="00B01F73">
      <w:pPr>
        <w:numPr>
          <w:ilvl w:val="1"/>
          <w:numId w:val="49"/>
        </w:numPr>
        <w:spacing w:after="120" w:line="240" w:lineRule="auto"/>
        <w:rPr>
          <w:rFonts w:cs="Arial"/>
        </w:rPr>
      </w:pPr>
      <w:r w:rsidRPr="00B01F73">
        <w:rPr>
          <w:rFonts w:cs="Arial"/>
        </w:rPr>
        <w:lastRenderedPageBreak/>
        <w:t>Terminál épület szakági munkái</w:t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</w:p>
    <w:p w14:paraId="14DE2342" w14:textId="77777777" w:rsidR="00FA01ED" w:rsidRPr="00B01F73" w:rsidRDefault="00FA01ED" w:rsidP="00B01F73">
      <w:pPr>
        <w:numPr>
          <w:ilvl w:val="1"/>
          <w:numId w:val="49"/>
        </w:numPr>
        <w:spacing w:after="120" w:line="240" w:lineRule="auto"/>
        <w:rPr>
          <w:rFonts w:cs="Arial"/>
        </w:rPr>
      </w:pPr>
      <w:r w:rsidRPr="00B01F73">
        <w:rPr>
          <w:rFonts w:cs="Arial"/>
        </w:rPr>
        <w:t>Gurulóút - TWY A3 átépítési munkái</w:t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</w:p>
    <w:p w14:paraId="28FB52E0" w14:textId="77777777" w:rsidR="00FA01ED" w:rsidRPr="00B01F73" w:rsidRDefault="00FA01ED" w:rsidP="00B01F73">
      <w:pPr>
        <w:numPr>
          <w:ilvl w:val="1"/>
          <w:numId w:val="49"/>
        </w:numPr>
        <w:spacing w:after="120" w:line="240" w:lineRule="auto"/>
        <w:rPr>
          <w:rFonts w:cs="Arial"/>
        </w:rPr>
      </w:pPr>
      <w:r w:rsidRPr="00B01F73">
        <w:rPr>
          <w:rFonts w:cs="Arial"/>
        </w:rPr>
        <w:t xml:space="preserve">Közművek és térvilágítás korszerűsítés  </w:t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</w:p>
    <w:p w14:paraId="4CA7222F" w14:textId="77777777" w:rsidR="00FA01ED" w:rsidRPr="00B01F73" w:rsidRDefault="00FA01ED" w:rsidP="00B01F73">
      <w:pPr>
        <w:numPr>
          <w:ilvl w:val="1"/>
          <w:numId w:val="49"/>
        </w:numPr>
        <w:spacing w:after="120" w:line="240" w:lineRule="auto"/>
        <w:rPr>
          <w:rFonts w:cs="Arial"/>
        </w:rPr>
      </w:pPr>
      <w:r w:rsidRPr="00B01F73">
        <w:rPr>
          <w:rFonts w:cs="Arial"/>
        </w:rPr>
        <w:t>TWR munkaterem kivitelezés</w:t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</w:p>
    <w:p w14:paraId="42D73180" w14:textId="77777777" w:rsidR="00FA01ED" w:rsidRPr="00B01F73" w:rsidRDefault="00FA01ED" w:rsidP="00B01F73">
      <w:pPr>
        <w:numPr>
          <w:ilvl w:val="1"/>
          <w:numId w:val="49"/>
        </w:numPr>
        <w:spacing w:after="120" w:line="256" w:lineRule="auto"/>
        <w:jc w:val="both"/>
        <w:rPr>
          <w:rFonts w:cs="Arial"/>
        </w:rPr>
      </w:pPr>
      <w:r w:rsidRPr="00B01F73">
        <w:rPr>
          <w:rFonts w:cs="Arial"/>
        </w:rPr>
        <w:t>Futópálya dilatáció felújítása</w:t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</w:p>
    <w:p w14:paraId="5492DFD4" w14:textId="77777777" w:rsidR="00FA01ED" w:rsidRPr="00B01F73" w:rsidRDefault="00FA01ED" w:rsidP="00B01F73">
      <w:pPr>
        <w:numPr>
          <w:ilvl w:val="1"/>
          <w:numId w:val="49"/>
        </w:numPr>
        <w:spacing w:after="120" w:line="256" w:lineRule="auto"/>
        <w:jc w:val="both"/>
        <w:rPr>
          <w:rFonts w:cs="Arial"/>
        </w:rPr>
      </w:pPr>
      <w:r w:rsidRPr="00B01F73">
        <w:rPr>
          <w:rFonts w:cs="Arial"/>
        </w:rPr>
        <w:t>ILS rendszer kiépítése</w:t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</w:p>
    <w:p w14:paraId="21A1AA2D" w14:textId="77777777" w:rsidR="00FA01ED" w:rsidRPr="00B01F73" w:rsidRDefault="00FA01ED" w:rsidP="00B01F73">
      <w:pPr>
        <w:numPr>
          <w:ilvl w:val="1"/>
          <w:numId w:val="49"/>
        </w:numPr>
        <w:spacing w:after="120" w:line="256" w:lineRule="auto"/>
        <w:jc w:val="both"/>
        <w:rPr>
          <w:rFonts w:cs="Arial"/>
        </w:rPr>
      </w:pPr>
      <w:r w:rsidRPr="00B01F73">
        <w:rPr>
          <w:rFonts w:cs="Arial"/>
        </w:rPr>
        <w:t>Eszköztároló építése</w:t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  <w:r w:rsidRPr="00B01F73">
        <w:rPr>
          <w:rFonts w:cs="Arial"/>
        </w:rPr>
        <w:tab/>
      </w:r>
    </w:p>
    <w:p w14:paraId="520A31E0" w14:textId="77777777" w:rsidR="00FA01ED" w:rsidRPr="00B01F73" w:rsidRDefault="00FA01ED" w:rsidP="00B01F73">
      <w:pPr>
        <w:pStyle w:val="Listaszerbekezds"/>
        <w:numPr>
          <w:ilvl w:val="1"/>
          <w:numId w:val="49"/>
        </w:numPr>
      </w:pPr>
      <w:r w:rsidRPr="00B01F73">
        <w:rPr>
          <w:rFonts w:cs="Arial"/>
        </w:rPr>
        <w:t>használatbavételi engedély</w:t>
      </w:r>
    </w:p>
    <w:p w14:paraId="6C283AAF" w14:textId="77777777" w:rsidR="00FA01ED" w:rsidRPr="00B01F73" w:rsidRDefault="00FA01ED" w:rsidP="00B01F73">
      <w:pPr>
        <w:pStyle w:val="Listaszerbekezds"/>
        <w:ind w:left="1440"/>
      </w:pPr>
      <w:r w:rsidRPr="00B01F73">
        <w:rPr>
          <w:rFonts w:ascii="Arial" w:hAnsi="Arial" w:cs="Arial"/>
        </w:rPr>
        <w:tab/>
      </w:r>
    </w:p>
    <w:p w14:paraId="5E604362" w14:textId="77777777" w:rsidR="00FA01ED" w:rsidRPr="00B01F73" w:rsidRDefault="00FA01ED" w:rsidP="00B01F73">
      <w:pPr>
        <w:pStyle w:val="Listaszerbekezds"/>
        <w:rPr>
          <w:rFonts w:cs="Arial"/>
        </w:rPr>
      </w:pPr>
      <w:r w:rsidRPr="00B01F73">
        <w:rPr>
          <w:rFonts w:cs="Arial"/>
        </w:rPr>
        <w:t>A kivitelezési szakasz 2025 december 31-ig tart.</w:t>
      </w:r>
    </w:p>
    <w:p w14:paraId="2E05F187" w14:textId="77777777" w:rsidR="00FA01ED" w:rsidRPr="00B01F73" w:rsidRDefault="00FA01ED" w:rsidP="00B01F73">
      <w:pPr>
        <w:pStyle w:val="Listaszerbekezds"/>
        <w:rPr>
          <w:rFonts w:cs="Arial"/>
        </w:rPr>
      </w:pPr>
    </w:p>
    <w:p w14:paraId="350F833D" w14:textId="77777777" w:rsidR="00FA01ED" w:rsidRPr="00B01F73" w:rsidRDefault="00FA01ED" w:rsidP="00B01F73">
      <w:pPr>
        <w:pStyle w:val="Listaszerbekezds"/>
        <w:numPr>
          <w:ilvl w:val="0"/>
          <w:numId w:val="49"/>
        </w:numPr>
      </w:pPr>
      <w:r w:rsidRPr="00B01F73">
        <w:t>A fejlesztési terület egy ingatlanán „Tisztítsuk meg az országot II.” pályázat benyújtása és elnyerése, az illegális hulladéklerakók felszámolása céljából. A kivitelezés 2025-ben valósul meg.</w:t>
      </w:r>
    </w:p>
    <w:p w14:paraId="2F2A81AB" w14:textId="77777777" w:rsidR="00FA01ED" w:rsidRPr="00B01F73" w:rsidRDefault="00FA01ED" w:rsidP="00B01F73">
      <w:pPr>
        <w:pStyle w:val="Listaszerbekezds"/>
        <w:ind w:left="1440"/>
      </w:pPr>
    </w:p>
    <w:p w14:paraId="0CBD540B" w14:textId="77777777" w:rsidR="00FA01ED" w:rsidRPr="00B01F73" w:rsidRDefault="00FA01ED" w:rsidP="00B01F73">
      <w:pPr>
        <w:pStyle w:val="Listaszerbekezds"/>
        <w:numPr>
          <w:ilvl w:val="0"/>
          <w:numId w:val="49"/>
        </w:numPr>
      </w:pPr>
      <w:r w:rsidRPr="00B01F73">
        <w:t>Repülőtér üzemi területének, épületeinek, valamint „külső” fejlesztési területének hosszú és rövid távú bérbeadásai valósultak meg.</w:t>
      </w:r>
    </w:p>
    <w:p w14:paraId="06833D02" w14:textId="357106D4" w:rsidR="00B275EF" w:rsidRPr="003A26F8" w:rsidRDefault="00F97514" w:rsidP="00B01F73">
      <w:pPr>
        <w:pStyle w:val="Cmsor1"/>
        <w:numPr>
          <w:ilvl w:val="0"/>
          <w:numId w:val="35"/>
        </w:numPr>
        <w:spacing w:before="240" w:after="240"/>
        <w:ind w:left="426" w:hanging="426"/>
        <w:rPr>
          <w:rFonts w:ascii="Calibri" w:hAnsi="Calibri" w:cs="Calibri"/>
          <w:b/>
          <w:caps/>
          <w:sz w:val="26"/>
          <w:szCs w:val="26"/>
        </w:rPr>
      </w:pPr>
      <w:bookmarkStart w:id="5" w:name="_Toc196485748"/>
      <w:r w:rsidRPr="009F0652">
        <w:rPr>
          <w:rFonts w:ascii="Calibri" w:hAnsi="Calibri" w:cs="Calibri"/>
          <w:b/>
          <w:caps/>
          <w:sz w:val="26"/>
          <w:szCs w:val="26"/>
        </w:rPr>
        <w:t xml:space="preserve">a társaság </w:t>
      </w:r>
      <w:r w:rsidR="00CC36DD" w:rsidRPr="009F0652">
        <w:rPr>
          <w:rFonts w:ascii="Calibri" w:hAnsi="Calibri" w:cs="Calibri"/>
          <w:b/>
          <w:caps/>
          <w:sz w:val="26"/>
          <w:szCs w:val="26"/>
        </w:rPr>
        <w:t>BEVÉTELE</w:t>
      </w:r>
      <w:r w:rsidRPr="009F0652">
        <w:rPr>
          <w:rFonts w:ascii="Calibri" w:hAnsi="Calibri" w:cs="Calibri"/>
          <w:b/>
          <w:caps/>
          <w:sz w:val="26"/>
          <w:szCs w:val="26"/>
        </w:rPr>
        <w:t>ine</w:t>
      </w:r>
      <w:r w:rsidR="00CC36DD" w:rsidRPr="009F0652">
        <w:rPr>
          <w:rFonts w:ascii="Calibri" w:hAnsi="Calibri" w:cs="Calibri"/>
          <w:b/>
          <w:caps/>
          <w:sz w:val="26"/>
          <w:szCs w:val="26"/>
        </w:rPr>
        <w:t>K ALAKULÁSA</w:t>
      </w:r>
      <w:bookmarkEnd w:id="5"/>
      <w:r w:rsidR="002C1A8F" w:rsidRPr="003A26F8">
        <w:rPr>
          <w:rFonts w:ascii="Calibri" w:hAnsi="Calibri" w:cs="Calibri"/>
          <w:b/>
          <w:caps/>
          <w:sz w:val="26"/>
          <w:szCs w:val="26"/>
        </w:rPr>
        <w:t xml:space="preserve">            </w:t>
      </w:r>
    </w:p>
    <w:p w14:paraId="66DAE5B3" w14:textId="76AAE548" w:rsidR="000D7FEB" w:rsidRDefault="00C3718F" w:rsidP="00B01F73">
      <w:pPr>
        <w:spacing w:before="240" w:after="240"/>
        <w:jc w:val="both"/>
        <w:rPr>
          <w:rFonts w:ascii="Calibri" w:hAnsi="Calibri" w:cs="Calibri"/>
          <w:bCs/>
          <w:sz w:val="24"/>
          <w:szCs w:val="24"/>
        </w:rPr>
      </w:pPr>
      <w:bookmarkStart w:id="6" w:name="_Hlk133416257"/>
      <w:r w:rsidRPr="00790C68">
        <w:rPr>
          <w:rFonts w:ascii="Calibri" w:hAnsi="Calibri" w:cs="Calibri"/>
          <w:bCs/>
          <w:sz w:val="24"/>
          <w:szCs w:val="24"/>
        </w:rPr>
        <w:t>A Társaság 202</w:t>
      </w:r>
      <w:r w:rsidR="00645359">
        <w:rPr>
          <w:rFonts w:ascii="Calibri" w:hAnsi="Calibri" w:cs="Calibri"/>
          <w:bCs/>
          <w:sz w:val="24"/>
          <w:szCs w:val="24"/>
        </w:rPr>
        <w:t>4</w:t>
      </w:r>
      <w:r w:rsidRPr="00790C68">
        <w:rPr>
          <w:rFonts w:ascii="Calibri" w:hAnsi="Calibri" w:cs="Calibri"/>
          <w:bCs/>
          <w:sz w:val="24"/>
          <w:szCs w:val="24"/>
        </w:rPr>
        <w:t>. évi bevételei</w:t>
      </w:r>
      <w:r w:rsidR="00790C68">
        <w:rPr>
          <w:rFonts w:ascii="Calibri" w:hAnsi="Calibri" w:cs="Calibri"/>
          <w:bCs/>
          <w:sz w:val="24"/>
          <w:szCs w:val="24"/>
        </w:rPr>
        <w:t xml:space="preserve"> értékesítésből származó bevételekből, pénzügyi műveletek bevételeiből (kamatbevételek) és költségvetési támogatásból állt. A </w:t>
      </w:r>
      <w:r w:rsidR="0077480E">
        <w:rPr>
          <w:rFonts w:ascii="Calibri" w:hAnsi="Calibri" w:cs="Calibri"/>
          <w:bCs/>
          <w:sz w:val="24"/>
          <w:szCs w:val="24"/>
        </w:rPr>
        <w:t xml:space="preserve">repülőtér </w:t>
      </w:r>
      <w:r w:rsidR="00790C68">
        <w:rPr>
          <w:rFonts w:ascii="Calibri" w:hAnsi="Calibri" w:cs="Calibri"/>
          <w:bCs/>
          <w:sz w:val="24"/>
          <w:szCs w:val="24"/>
        </w:rPr>
        <w:t>működés</w:t>
      </w:r>
      <w:r w:rsidR="0077480E">
        <w:rPr>
          <w:rFonts w:ascii="Calibri" w:hAnsi="Calibri" w:cs="Calibri"/>
          <w:bCs/>
          <w:sz w:val="24"/>
          <w:szCs w:val="24"/>
        </w:rPr>
        <w:t>ének</w:t>
      </w:r>
      <w:r w:rsidR="00790C68">
        <w:rPr>
          <w:rFonts w:ascii="Calibri" w:hAnsi="Calibri" w:cs="Calibri"/>
          <w:bCs/>
          <w:sz w:val="24"/>
          <w:szCs w:val="24"/>
        </w:rPr>
        <w:t xml:space="preserve"> sajátossága miatt a költségvetési támogatás részaránya meghatározó</w:t>
      </w:r>
      <w:r w:rsidR="0017748C">
        <w:rPr>
          <w:rFonts w:ascii="Calibri" w:hAnsi="Calibri" w:cs="Calibri"/>
          <w:bCs/>
          <w:sz w:val="24"/>
          <w:szCs w:val="24"/>
        </w:rPr>
        <w:t>a</w:t>
      </w:r>
      <w:r w:rsidR="0045572C">
        <w:rPr>
          <w:rFonts w:ascii="Calibri" w:hAnsi="Calibri" w:cs="Calibri"/>
          <w:bCs/>
          <w:sz w:val="24"/>
          <w:szCs w:val="24"/>
        </w:rPr>
        <w:t>n magas</w:t>
      </w:r>
      <w:r w:rsidR="00790C68">
        <w:rPr>
          <w:rFonts w:ascii="Calibri" w:hAnsi="Calibri" w:cs="Calibri"/>
          <w:bCs/>
          <w:sz w:val="24"/>
          <w:szCs w:val="24"/>
        </w:rPr>
        <w:t xml:space="preserve">, azonban évről-évre csökkenő. </w:t>
      </w:r>
      <w:r w:rsidR="000E5DA4">
        <w:rPr>
          <w:rFonts w:ascii="Calibri" w:hAnsi="Calibri" w:cs="Calibri"/>
          <w:bCs/>
          <w:sz w:val="24"/>
          <w:szCs w:val="24"/>
        </w:rPr>
        <w:t>202</w:t>
      </w:r>
      <w:r w:rsidR="004E006C">
        <w:rPr>
          <w:rFonts w:ascii="Calibri" w:hAnsi="Calibri" w:cs="Calibri"/>
          <w:bCs/>
          <w:sz w:val="24"/>
          <w:szCs w:val="24"/>
        </w:rPr>
        <w:t>4</w:t>
      </w:r>
      <w:r w:rsidR="000E5DA4">
        <w:rPr>
          <w:rFonts w:ascii="Calibri" w:hAnsi="Calibri" w:cs="Calibri"/>
          <w:bCs/>
          <w:sz w:val="24"/>
          <w:szCs w:val="24"/>
        </w:rPr>
        <w:t>. évben</w:t>
      </w:r>
      <w:r w:rsidR="004E006C">
        <w:rPr>
          <w:rFonts w:ascii="Calibri" w:hAnsi="Calibri" w:cs="Calibri"/>
          <w:bCs/>
          <w:sz w:val="24"/>
          <w:szCs w:val="24"/>
        </w:rPr>
        <w:t xml:space="preserve"> a repülőtéri működési költségek </w:t>
      </w:r>
      <w:r w:rsidR="00A51C12">
        <w:rPr>
          <w:rFonts w:ascii="Calibri" w:hAnsi="Calibri" w:cs="Calibri"/>
          <w:bCs/>
          <w:sz w:val="24"/>
          <w:szCs w:val="24"/>
        </w:rPr>
        <w:t>fedezetére</w:t>
      </w:r>
      <w:r w:rsidR="000E5DA4">
        <w:rPr>
          <w:rFonts w:ascii="Calibri" w:hAnsi="Calibri" w:cs="Calibri"/>
          <w:bCs/>
          <w:sz w:val="24"/>
          <w:szCs w:val="24"/>
        </w:rPr>
        <w:t xml:space="preserve"> leutalásra került támogatás összege </w:t>
      </w:r>
      <w:r w:rsidR="004E006C">
        <w:rPr>
          <w:rFonts w:ascii="Calibri" w:hAnsi="Calibri" w:cs="Calibri"/>
          <w:bCs/>
          <w:sz w:val="24"/>
          <w:szCs w:val="24"/>
        </w:rPr>
        <w:t>500</w:t>
      </w:r>
      <w:r w:rsidR="000E5DA4">
        <w:rPr>
          <w:rFonts w:ascii="Calibri" w:hAnsi="Calibri" w:cs="Calibri"/>
          <w:bCs/>
          <w:sz w:val="24"/>
          <w:szCs w:val="24"/>
        </w:rPr>
        <w:t xml:space="preserve"> millió Ft, mely összeg </w:t>
      </w:r>
      <w:r w:rsidR="004E006C">
        <w:rPr>
          <w:rFonts w:ascii="Calibri" w:hAnsi="Calibri" w:cs="Calibri"/>
          <w:bCs/>
          <w:sz w:val="24"/>
          <w:szCs w:val="24"/>
        </w:rPr>
        <w:t>1</w:t>
      </w:r>
      <w:r w:rsidR="000E5DA4">
        <w:rPr>
          <w:rFonts w:ascii="Calibri" w:hAnsi="Calibri" w:cs="Calibri"/>
          <w:bCs/>
          <w:sz w:val="24"/>
          <w:szCs w:val="24"/>
        </w:rPr>
        <w:t>,5 millió Ft-tal magasabb, mint a 202</w:t>
      </w:r>
      <w:r w:rsidR="004E006C">
        <w:rPr>
          <w:rFonts w:ascii="Calibri" w:hAnsi="Calibri" w:cs="Calibri"/>
          <w:bCs/>
          <w:sz w:val="24"/>
          <w:szCs w:val="24"/>
        </w:rPr>
        <w:t>3</w:t>
      </w:r>
      <w:r w:rsidR="000E5DA4">
        <w:rPr>
          <w:rFonts w:ascii="Calibri" w:hAnsi="Calibri" w:cs="Calibri"/>
          <w:bCs/>
          <w:sz w:val="24"/>
          <w:szCs w:val="24"/>
        </w:rPr>
        <w:t>. évben rendelkezésre bocsátott működési támogatás.</w:t>
      </w:r>
      <w:r w:rsidR="004E006C">
        <w:rPr>
          <w:rFonts w:ascii="Calibri" w:hAnsi="Calibri" w:cs="Calibri"/>
          <w:bCs/>
          <w:sz w:val="24"/>
          <w:szCs w:val="24"/>
        </w:rPr>
        <w:t xml:space="preserve"> További </w:t>
      </w:r>
      <w:r w:rsidR="005100EE">
        <w:rPr>
          <w:rFonts w:ascii="Calibri" w:hAnsi="Calibri" w:cs="Calibri"/>
          <w:bCs/>
          <w:sz w:val="24"/>
          <w:szCs w:val="24"/>
        </w:rPr>
        <w:t xml:space="preserve">évközi működési </w:t>
      </w:r>
      <w:r w:rsidR="004E006C">
        <w:rPr>
          <w:rFonts w:ascii="Calibri" w:hAnsi="Calibri" w:cs="Calibri"/>
          <w:bCs/>
          <w:sz w:val="24"/>
          <w:szCs w:val="24"/>
        </w:rPr>
        <w:t xml:space="preserve">támogatás igénylését tette szükségessé, hogy a vagyonkezelésbe vett Budaörs Repülőtér ingatlanra 312,7 millió Ft összegben helyi adó </w:t>
      </w:r>
      <w:r w:rsidR="005100EE">
        <w:rPr>
          <w:rFonts w:ascii="Calibri" w:hAnsi="Calibri" w:cs="Calibri"/>
          <w:bCs/>
          <w:sz w:val="24"/>
          <w:szCs w:val="24"/>
        </w:rPr>
        <w:t>került kivetésre.</w:t>
      </w:r>
    </w:p>
    <w:p w14:paraId="61117C72" w14:textId="221A4833" w:rsidR="00790C68" w:rsidRDefault="00790C68" w:rsidP="00B01F73">
      <w:pPr>
        <w:spacing w:before="240" w:after="240"/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Míg a C</w:t>
      </w:r>
      <w:r w:rsidR="008127F4">
        <w:rPr>
          <w:rFonts w:ascii="Calibri" w:hAnsi="Calibri" w:cs="Calibri"/>
          <w:bCs/>
          <w:sz w:val="24"/>
          <w:szCs w:val="24"/>
        </w:rPr>
        <w:t>OVID</w:t>
      </w:r>
      <w:r>
        <w:rPr>
          <w:rFonts w:ascii="Calibri" w:hAnsi="Calibri" w:cs="Calibri"/>
          <w:bCs/>
          <w:sz w:val="24"/>
          <w:szCs w:val="24"/>
        </w:rPr>
        <w:t xml:space="preserve"> világjárvány időszak</w:t>
      </w:r>
      <w:r w:rsidR="008127F4">
        <w:rPr>
          <w:rFonts w:ascii="Calibri" w:hAnsi="Calibri" w:cs="Calibri"/>
          <w:bCs/>
          <w:sz w:val="24"/>
          <w:szCs w:val="24"/>
        </w:rPr>
        <w:t>a</w:t>
      </w:r>
      <w:r>
        <w:rPr>
          <w:rFonts w:ascii="Calibri" w:hAnsi="Calibri" w:cs="Calibri"/>
          <w:bCs/>
          <w:sz w:val="24"/>
          <w:szCs w:val="24"/>
        </w:rPr>
        <w:t xml:space="preserve"> </w:t>
      </w:r>
      <w:r w:rsidR="0077480E">
        <w:rPr>
          <w:rFonts w:ascii="Calibri" w:hAnsi="Calibri" w:cs="Calibri"/>
          <w:bCs/>
          <w:sz w:val="24"/>
          <w:szCs w:val="24"/>
        </w:rPr>
        <w:t xml:space="preserve">rendkívül </w:t>
      </w:r>
      <w:r>
        <w:rPr>
          <w:rFonts w:ascii="Calibri" w:hAnsi="Calibri" w:cs="Calibri"/>
          <w:bCs/>
          <w:sz w:val="24"/>
          <w:szCs w:val="24"/>
        </w:rPr>
        <w:t xml:space="preserve">nagymértékű </w:t>
      </w:r>
      <w:r w:rsidR="009A4063">
        <w:rPr>
          <w:rFonts w:ascii="Calibri" w:hAnsi="Calibri" w:cs="Calibri"/>
          <w:bCs/>
          <w:sz w:val="24"/>
          <w:szCs w:val="24"/>
        </w:rPr>
        <w:t xml:space="preserve">tulajdonosi </w:t>
      </w:r>
      <w:r>
        <w:rPr>
          <w:rFonts w:ascii="Calibri" w:hAnsi="Calibri" w:cs="Calibri"/>
          <w:bCs/>
          <w:sz w:val="24"/>
          <w:szCs w:val="24"/>
        </w:rPr>
        <w:t xml:space="preserve">beavatkozást </w:t>
      </w:r>
      <w:r w:rsidR="0045572C">
        <w:rPr>
          <w:rFonts w:ascii="Calibri" w:hAnsi="Calibri" w:cs="Calibri"/>
          <w:bCs/>
          <w:sz w:val="24"/>
          <w:szCs w:val="24"/>
        </w:rPr>
        <w:t>tett szükségessé</w:t>
      </w:r>
      <w:r w:rsidR="008127F4">
        <w:rPr>
          <w:rFonts w:ascii="Calibri" w:hAnsi="Calibri" w:cs="Calibri"/>
          <w:bCs/>
          <w:sz w:val="24"/>
          <w:szCs w:val="24"/>
        </w:rPr>
        <w:t>, az azt követő években a költségvetési támogatás aránya</w:t>
      </w:r>
      <w:r w:rsidR="000E5DA4">
        <w:rPr>
          <w:rFonts w:ascii="Calibri" w:hAnsi="Calibri" w:cs="Calibri"/>
          <w:bCs/>
          <w:sz w:val="24"/>
          <w:szCs w:val="24"/>
        </w:rPr>
        <w:t xml:space="preserve"> </w:t>
      </w:r>
      <w:r w:rsidR="005100EE">
        <w:rPr>
          <w:rFonts w:ascii="Calibri" w:hAnsi="Calibri" w:cs="Calibri"/>
          <w:bCs/>
          <w:sz w:val="24"/>
          <w:szCs w:val="24"/>
        </w:rPr>
        <w:t xml:space="preserve">jelentős </w:t>
      </w:r>
      <w:r w:rsidR="008127F4">
        <w:rPr>
          <w:rFonts w:ascii="Calibri" w:hAnsi="Calibri" w:cs="Calibri"/>
          <w:bCs/>
          <w:sz w:val="24"/>
          <w:szCs w:val="24"/>
        </w:rPr>
        <w:t>csökkenést mutat, annak ellenére, hogy 202</w:t>
      </w:r>
      <w:r w:rsidR="00575FBE">
        <w:rPr>
          <w:rFonts w:ascii="Calibri" w:hAnsi="Calibri" w:cs="Calibri"/>
          <w:bCs/>
          <w:sz w:val="24"/>
          <w:szCs w:val="24"/>
        </w:rPr>
        <w:t>4</w:t>
      </w:r>
      <w:r w:rsidR="008127F4">
        <w:rPr>
          <w:rFonts w:ascii="Calibri" w:hAnsi="Calibri" w:cs="Calibri"/>
          <w:bCs/>
          <w:sz w:val="24"/>
          <w:szCs w:val="24"/>
        </w:rPr>
        <w:t xml:space="preserve">. évben a menetrendszerinti </w:t>
      </w:r>
      <w:r w:rsidR="008D0C8F">
        <w:rPr>
          <w:rFonts w:ascii="Calibri" w:hAnsi="Calibri" w:cs="Calibri"/>
          <w:bCs/>
          <w:sz w:val="24"/>
          <w:szCs w:val="24"/>
        </w:rPr>
        <w:t>járatok elmaradása</w:t>
      </w:r>
      <w:r w:rsidR="0077480E">
        <w:rPr>
          <w:rFonts w:ascii="Calibri" w:hAnsi="Calibri" w:cs="Calibri"/>
          <w:bCs/>
          <w:sz w:val="24"/>
          <w:szCs w:val="24"/>
        </w:rPr>
        <w:t>, a Schengeni övezet</w:t>
      </w:r>
      <w:r w:rsidR="00B60516">
        <w:rPr>
          <w:rFonts w:ascii="Calibri" w:hAnsi="Calibri" w:cs="Calibri"/>
          <w:bCs/>
          <w:sz w:val="24"/>
          <w:szCs w:val="24"/>
        </w:rPr>
        <w:t xml:space="preserve"> Horvátországgal történő</w:t>
      </w:r>
      <w:r w:rsidR="0077480E">
        <w:rPr>
          <w:rFonts w:ascii="Calibri" w:hAnsi="Calibri" w:cs="Calibri"/>
          <w:bCs/>
          <w:sz w:val="24"/>
          <w:szCs w:val="24"/>
        </w:rPr>
        <w:t xml:space="preserve"> </w:t>
      </w:r>
      <w:r w:rsidR="00575FBE">
        <w:rPr>
          <w:rFonts w:ascii="Calibri" w:hAnsi="Calibri" w:cs="Calibri"/>
          <w:bCs/>
          <w:sz w:val="24"/>
          <w:szCs w:val="24"/>
        </w:rPr>
        <w:t xml:space="preserve">2023. évi </w:t>
      </w:r>
      <w:r w:rsidR="00B60516">
        <w:rPr>
          <w:rFonts w:ascii="Calibri" w:hAnsi="Calibri" w:cs="Calibri"/>
          <w:bCs/>
          <w:sz w:val="24"/>
          <w:szCs w:val="24"/>
        </w:rPr>
        <w:t>bővítése</w:t>
      </w:r>
      <w:r w:rsidR="00B60516">
        <w:rPr>
          <w:rFonts w:ascii="Calibri" w:hAnsi="Calibri" w:cs="Calibri"/>
          <w:bCs/>
          <w:sz w:val="24"/>
          <w:szCs w:val="24"/>
        </w:rPr>
        <w:t xml:space="preserve"> </w:t>
      </w:r>
      <w:r w:rsidR="008D0C8F">
        <w:rPr>
          <w:rFonts w:ascii="Calibri" w:hAnsi="Calibri" w:cs="Calibri"/>
          <w:bCs/>
          <w:sz w:val="24"/>
          <w:szCs w:val="24"/>
        </w:rPr>
        <w:t>jelentős bevétel</w:t>
      </w:r>
      <w:r w:rsidR="009A4063">
        <w:rPr>
          <w:rFonts w:ascii="Calibri" w:hAnsi="Calibri" w:cs="Calibri"/>
          <w:bCs/>
          <w:sz w:val="24"/>
          <w:szCs w:val="24"/>
        </w:rPr>
        <w:t>elmaradást</w:t>
      </w:r>
      <w:r w:rsidR="000E5DA4">
        <w:rPr>
          <w:rFonts w:ascii="Calibri" w:hAnsi="Calibri" w:cs="Calibri"/>
          <w:bCs/>
          <w:sz w:val="24"/>
          <w:szCs w:val="24"/>
        </w:rPr>
        <w:t xml:space="preserve">, továbbá </w:t>
      </w:r>
      <w:r w:rsidR="00573E06">
        <w:rPr>
          <w:rFonts w:ascii="Calibri" w:hAnsi="Calibri" w:cs="Calibri"/>
          <w:bCs/>
          <w:sz w:val="24"/>
          <w:szCs w:val="24"/>
        </w:rPr>
        <w:t>az áremelkedés</w:t>
      </w:r>
      <w:r w:rsidR="00576D81">
        <w:rPr>
          <w:rFonts w:ascii="Calibri" w:hAnsi="Calibri" w:cs="Calibri"/>
          <w:bCs/>
          <w:sz w:val="24"/>
          <w:szCs w:val="24"/>
        </w:rPr>
        <w:t xml:space="preserve"> jelentős</w:t>
      </w:r>
      <w:r w:rsidR="000E5DA4">
        <w:rPr>
          <w:rFonts w:ascii="Calibri" w:hAnsi="Calibri" w:cs="Calibri"/>
          <w:bCs/>
          <w:sz w:val="24"/>
          <w:szCs w:val="24"/>
        </w:rPr>
        <w:t xml:space="preserve"> többletköltségeket eredményezett</w:t>
      </w:r>
      <w:r w:rsidR="0077480E">
        <w:rPr>
          <w:rFonts w:ascii="Calibri" w:hAnsi="Calibri" w:cs="Calibri"/>
          <w:bCs/>
          <w:sz w:val="24"/>
          <w:szCs w:val="24"/>
        </w:rPr>
        <w:t>.</w:t>
      </w:r>
      <w:r w:rsidR="008D0C8F">
        <w:rPr>
          <w:rFonts w:ascii="Calibri" w:hAnsi="Calibri" w:cs="Calibri"/>
          <w:bCs/>
          <w:sz w:val="24"/>
          <w:szCs w:val="24"/>
        </w:rPr>
        <w:t xml:space="preserve"> </w:t>
      </w:r>
      <w:r w:rsidR="0077480E">
        <w:rPr>
          <w:rFonts w:ascii="Calibri" w:hAnsi="Calibri" w:cs="Calibri"/>
          <w:bCs/>
          <w:sz w:val="24"/>
          <w:szCs w:val="24"/>
        </w:rPr>
        <w:t>A</w:t>
      </w:r>
      <w:r w:rsidR="008D0C8F">
        <w:rPr>
          <w:rFonts w:ascii="Calibri" w:hAnsi="Calibri" w:cs="Calibri"/>
          <w:bCs/>
          <w:sz w:val="24"/>
          <w:szCs w:val="24"/>
        </w:rPr>
        <w:t xml:space="preserve"> Társaság </w:t>
      </w:r>
      <w:r w:rsidR="0077480E">
        <w:rPr>
          <w:rFonts w:ascii="Calibri" w:hAnsi="Calibri" w:cs="Calibri"/>
          <w:bCs/>
          <w:sz w:val="24"/>
          <w:szCs w:val="24"/>
        </w:rPr>
        <w:t>a kedvezőtlen körülmények</w:t>
      </w:r>
      <w:r w:rsidR="008D0C8F">
        <w:rPr>
          <w:rFonts w:ascii="Calibri" w:hAnsi="Calibri" w:cs="Calibri"/>
          <w:bCs/>
          <w:sz w:val="24"/>
          <w:szCs w:val="24"/>
        </w:rPr>
        <w:t xml:space="preserve"> negatív hatását csökkente</w:t>
      </w:r>
      <w:r w:rsidR="0077480E">
        <w:rPr>
          <w:rFonts w:ascii="Calibri" w:hAnsi="Calibri" w:cs="Calibri"/>
          <w:bCs/>
          <w:sz w:val="24"/>
          <w:szCs w:val="24"/>
        </w:rPr>
        <w:t>ni tudta</w:t>
      </w:r>
      <w:r w:rsidR="008D0C8F">
        <w:rPr>
          <w:rFonts w:ascii="Calibri" w:hAnsi="Calibri" w:cs="Calibri"/>
          <w:bCs/>
          <w:sz w:val="24"/>
          <w:szCs w:val="24"/>
        </w:rPr>
        <w:t xml:space="preserve"> </w:t>
      </w:r>
      <w:r w:rsidR="009A4063">
        <w:rPr>
          <w:rFonts w:ascii="Calibri" w:hAnsi="Calibri" w:cs="Calibri"/>
          <w:bCs/>
          <w:sz w:val="24"/>
          <w:szCs w:val="24"/>
        </w:rPr>
        <w:t xml:space="preserve">további </w:t>
      </w:r>
      <w:r w:rsidR="008D0C8F">
        <w:rPr>
          <w:rFonts w:ascii="Calibri" w:hAnsi="Calibri" w:cs="Calibri"/>
          <w:bCs/>
          <w:sz w:val="24"/>
          <w:szCs w:val="24"/>
        </w:rPr>
        <w:t>bevételi források</w:t>
      </w:r>
      <w:r w:rsidR="00575FBE">
        <w:rPr>
          <w:rFonts w:ascii="Calibri" w:hAnsi="Calibri" w:cs="Calibri"/>
          <w:bCs/>
          <w:sz w:val="24"/>
          <w:szCs w:val="24"/>
        </w:rPr>
        <w:t xml:space="preserve"> (különösen a légi áruszállítási és hozzá tartozóan rakodási tevékenység)</w:t>
      </w:r>
      <w:r w:rsidR="008D0C8F">
        <w:rPr>
          <w:rFonts w:ascii="Calibri" w:hAnsi="Calibri" w:cs="Calibri"/>
          <w:bCs/>
          <w:sz w:val="24"/>
          <w:szCs w:val="24"/>
        </w:rPr>
        <w:t xml:space="preserve"> felkutatásával és a meglévő források felülvizsgálatával</w:t>
      </w:r>
      <w:r w:rsidR="0077480E">
        <w:rPr>
          <w:rFonts w:ascii="Calibri" w:hAnsi="Calibri" w:cs="Calibri"/>
          <w:bCs/>
          <w:sz w:val="24"/>
          <w:szCs w:val="24"/>
        </w:rPr>
        <w:t>, kiaknázásával</w:t>
      </w:r>
      <w:r w:rsidR="008D0C8F">
        <w:rPr>
          <w:rFonts w:ascii="Calibri" w:hAnsi="Calibri" w:cs="Calibri"/>
          <w:bCs/>
          <w:sz w:val="24"/>
          <w:szCs w:val="24"/>
        </w:rPr>
        <w:t>.</w:t>
      </w:r>
    </w:p>
    <w:p w14:paraId="1421A568" w14:textId="47FD2A94" w:rsidR="00FC554D" w:rsidRDefault="00FC554D" w:rsidP="00B01F73">
      <w:pPr>
        <w:spacing w:before="240" w:after="240"/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A Társaság bevételei a működési támogatások figyelmen kívül hagyásával</w:t>
      </w:r>
      <w:r w:rsidR="00C37CCC">
        <w:rPr>
          <w:rFonts w:ascii="Calibri" w:hAnsi="Calibri" w:cs="Calibri"/>
          <w:bCs/>
          <w:sz w:val="24"/>
          <w:szCs w:val="24"/>
        </w:rPr>
        <w:t xml:space="preserve"> 565,9 millió Ft összeget jelent, </w:t>
      </w:r>
      <w:r>
        <w:rPr>
          <w:rFonts w:ascii="Calibri" w:hAnsi="Calibri" w:cs="Calibri"/>
          <w:bCs/>
          <w:sz w:val="24"/>
          <w:szCs w:val="24"/>
        </w:rPr>
        <w:t xml:space="preserve"> mintegy 23,4%-kal halad</w:t>
      </w:r>
      <w:r w:rsidR="00C37CCC">
        <w:rPr>
          <w:rFonts w:ascii="Calibri" w:hAnsi="Calibri" w:cs="Calibri"/>
          <w:bCs/>
          <w:sz w:val="24"/>
          <w:szCs w:val="24"/>
        </w:rPr>
        <w:t>ja</w:t>
      </w:r>
      <w:r>
        <w:rPr>
          <w:rFonts w:ascii="Calibri" w:hAnsi="Calibri" w:cs="Calibri"/>
          <w:bCs/>
          <w:sz w:val="24"/>
          <w:szCs w:val="24"/>
        </w:rPr>
        <w:t xml:space="preserve"> meg a tervezettet, mely</w:t>
      </w:r>
      <w:r w:rsidR="00E34382">
        <w:rPr>
          <w:rFonts w:ascii="Calibri" w:hAnsi="Calibri" w:cs="Calibri"/>
          <w:bCs/>
          <w:sz w:val="24"/>
          <w:szCs w:val="24"/>
        </w:rPr>
        <w:t xml:space="preserve"> főként</w:t>
      </w:r>
      <w:r>
        <w:rPr>
          <w:rFonts w:ascii="Calibri" w:hAnsi="Calibri" w:cs="Calibri"/>
          <w:bCs/>
          <w:sz w:val="24"/>
          <w:szCs w:val="24"/>
        </w:rPr>
        <w:t xml:space="preserve"> az értékesítési bevételek 50,6%-kal magasabb </w:t>
      </w:r>
      <w:r w:rsidR="00D518A0">
        <w:rPr>
          <w:rFonts w:ascii="Calibri" w:hAnsi="Calibri" w:cs="Calibri"/>
          <w:bCs/>
          <w:sz w:val="24"/>
          <w:szCs w:val="24"/>
        </w:rPr>
        <w:t>realizálásának</w:t>
      </w:r>
      <w:r>
        <w:rPr>
          <w:rFonts w:ascii="Calibri" w:hAnsi="Calibri" w:cs="Calibri"/>
          <w:bCs/>
          <w:sz w:val="24"/>
          <w:szCs w:val="24"/>
        </w:rPr>
        <w:t xml:space="preserve"> a hatása, melyet a pénzügyi bevételek </w:t>
      </w:r>
      <w:r w:rsidR="00D518A0">
        <w:rPr>
          <w:rFonts w:ascii="Calibri" w:hAnsi="Calibri" w:cs="Calibri"/>
          <w:bCs/>
          <w:sz w:val="24"/>
          <w:szCs w:val="24"/>
        </w:rPr>
        <w:t xml:space="preserve">alacsonyabb szintű teljesítése </w:t>
      </w:r>
      <w:r w:rsidR="00E34382">
        <w:rPr>
          <w:rFonts w:ascii="Calibri" w:hAnsi="Calibri" w:cs="Calibri"/>
          <w:bCs/>
          <w:sz w:val="24"/>
          <w:szCs w:val="24"/>
        </w:rPr>
        <w:t xml:space="preserve">jelentősen nem </w:t>
      </w:r>
      <w:r w:rsidR="00D518A0">
        <w:rPr>
          <w:rFonts w:ascii="Calibri" w:hAnsi="Calibri" w:cs="Calibri"/>
          <w:bCs/>
          <w:sz w:val="24"/>
          <w:szCs w:val="24"/>
        </w:rPr>
        <w:t xml:space="preserve">befolyásolt. </w:t>
      </w:r>
    </w:p>
    <w:p w14:paraId="23171D25" w14:textId="77777777" w:rsidR="00C37CCC" w:rsidRDefault="00C37CCC" w:rsidP="00B01F73">
      <w:pPr>
        <w:spacing w:before="240" w:after="240"/>
        <w:jc w:val="both"/>
        <w:rPr>
          <w:rFonts w:ascii="Calibri" w:hAnsi="Calibri" w:cs="Calibri"/>
          <w:bCs/>
          <w:sz w:val="24"/>
          <w:szCs w:val="24"/>
        </w:rPr>
      </w:pPr>
    </w:p>
    <w:p w14:paraId="6C10F4CD" w14:textId="77777777" w:rsidR="00C37CCC" w:rsidRDefault="00C37CCC" w:rsidP="00B01F73">
      <w:pPr>
        <w:spacing w:before="240" w:after="240"/>
        <w:jc w:val="both"/>
        <w:rPr>
          <w:rFonts w:ascii="Calibri" w:hAnsi="Calibri" w:cs="Calibri"/>
          <w:bCs/>
          <w:sz w:val="24"/>
          <w:szCs w:val="24"/>
        </w:rPr>
      </w:pPr>
    </w:p>
    <w:p w14:paraId="6F85271D" w14:textId="48C5EC8F" w:rsidR="00D518A0" w:rsidRDefault="00D518A0" w:rsidP="00B01F73">
      <w:pPr>
        <w:spacing w:before="240" w:after="240"/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lastRenderedPageBreak/>
        <w:t xml:space="preserve">A bevételek </w:t>
      </w:r>
      <w:r w:rsidRPr="00C37CCC">
        <w:rPr>
          <w:rFonts w:ascii="Calibri" w:hAnsi="Calibri" w:cs="Calibri"/>
          <w:b/>
          <w:sz w:val="24"/>
          <w:szCs w:val="24"/>
        </w:rPr>
        <w:t>2024. évi terveinek és teljesítésének</w:t>
      </w:r>
      <w:r>
        <w:rPr>
          <w:rFonts w:ascii="Calibri" w:hAnsi="Calibri" w:cs="Calibri"/>
          <w:bCs/>
          <w:sz w:val="24"/>
          <w:szCs w:val="24"/>
        </w:rPr>
        <w:t xml:space="preserve"> alakulása a következő:</w:t>
      </w:r>
    </w:p>
    <w:p w14:paraId="678006DF" w14:textId="1947A990" w:rsidR="00FC554D" w:rsidRDefault="00E34382" w:rsidP="00B01F73">
      <w:pPr>
        <w:spacing w:before="240" w:after="240"/>
        <w:jc w:val="center"/>
        <w:rPr>
          <w:rFonts w:ascii="Calibri" w:hAnsi="Calibri" w:cs="Calibri"/>
          <w:bCs/>
          <w:sz w:val="24"/>
          <w:szCs w:val="24"/>
        </w:rPr>
      </w:pPr>
      <w:r>
        <w:rPr>
          <w:noProof/>
        </w:rPr>
        <w:drawing>
          <wp:inline distT="0" distB="0" distL="0" distR="0" wp14:anchorId="6D40AB36" wp14:editId="77424418">
            <wp:extent cx="6409266" cy="3462866"/>
            <wp:effectExtent l="0" t="0" r="0" b="4445"/>
            <wp:docPr id="640485478" name="Diagram 1">
              <a:extLst xmlns:a="http://schemas.openxmlformats.org/drawingml/2006/main">
                <a:ext uri="{FF2B5EF4-FFF2-40B4-BE49-F238E27FC236}">
                  <a16:creationId xmlns:a16="http://schemas.microsoft.com/office/drawing/2014/main" id="{EEF43071-B2DE-FFFC-5C34-E4B6B857587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0BB356F2" w14:textId="316D60BA" w:rsidR="0077480E" w:rsidRPr="00790C68" w:rsidRDefault="00A16BE6" w:rsidP="00B01F73">
      <w:pPr>
        <w:spacing w:before="240" w:after="240"/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2023.</w:t>
      </w:r>
      <w:r w:rsidR="0077480E">
        <w:rPr>
          <w:rFonts w:ascii="Calibri" w:hAnsi="Calibri" w:cs="Calibri"/>
          <w:bCs/>
          <w:sz w:val="24"/>
          <w:szCs w:val="24"/>
        </w:rPr>
        <w:t xml:space="preserve"> évben megkezdett repülőtéri beruházás és fejlesztés kellő </w:t>
      </w:r>
      <w:r w:rsidR="009A4063">
        <w:rPr>
          <w:rFonts w:ascii="Calibri" w:hAnsi="Calibri" w:cs="Calibri"/>
          <w:bCs/>
          <w:sz w:val="24"/>
          <w:szCs w:val="24"/>
        </w:rPr>
        <w:t>alapot</w:t>
      </w:r>
      <w:r w:rsidR="0077480E">
        <w:rPr>
          <w:rFonts w:ascii="Calibri" w:hAnsi="Calibri" w:cs="Calibri"/>
          <w:bCs/>
          <w:sz w:val="24"/>
          <w:szCs w:val="24"/>
        </w:rPr>
        <w:t xml:space="preserve"> teremt annak a hosszútávú célkitűzésnek, hogy a Társaság bevételei között a támogatások </w:t>
      </w:r>
      <w:r w:rsidR="009A4063">
        <w:rPr>
          <w:rFonts w:ascii="Calibri" w:hAnsi="Calibri" w:cs="Calibri"/>
          <w:bCs/>
          <w:sz w:val="24"/>
          <w:szCs w:val="24"/>
        </w:rPr>
        <w:t xml:space="preserve">részaránya tovább csökkenjen, és hosszú távú célkitűzésként, további beruházásokkal és fejlesztésekkel lehetővé váljon, hogy a Társaság működési kiadásaira </w:t>
      </w:r>
      <w:r w:rsidR="00575FBE">
        <w:rPr>
          <w:rFonts w:ascii="Calibri" w:hAnsi="Calibri" w:cs="Calibri"/>
          <w:bCs/>
          <w:sz w:val="24"/>
          <w:szCs w:val="24"/>
        </w:rPr>
        <w:t>növekvő arányú</w:t>
      </w:r>
      <w:r w:rsidR="009A4063">
        <w:rPr>
          <w:rFonts w:ascii="Calibri" w:hAnsi="Calibri" w:cs="Calibri"/>
          <w:bCs/>
          <w:sz w:val="24"/>
          <w:szCs w:val="24"/>
        </w:rPr>
        <w:t xml:space="preserve"> fedezetet nyújtson a repülőtér üzemi tevékenységének bevétele.</w:t>
      </w:r>
    </w:p>
    <w:p w14:paraId="3F548130" w14:textId="7EFFB07A" w:rsidR="00790C68" w:rsidRDefault="00575FBE" w:rsidP="00B01F73">
      <w:pPr>
        <w:spacing w:before="240" w:after="0"/>
        <w:jc w:val="center"/>
        <w:rPr>
          <w:noProof/>
        </w:rPr>
      </w:pPr>
      <w:r>
        <w:rPr>
          <w:noProof/>
        </w:rPr>
        <mc:AlternateContent>
          <mc:Choice Requires="cx2">
            <w:drawing>
              <wp:inline distT="0" distB="0" distL="0" distR="0" wp14:anchorId="32222B43" wp14:editId="0DE4AB31">
                <wp:extent cx="5274733" cy="3098800"/>
                <wp:effectExtent l="0" t="0" r="2540" b="6350"/>
                <wp:docPr id="1804098814" name="Diagram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A3CCC8C1-E4F1-D49D-7DD4-684F7E6CDDF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drawing/2014/chartex">
                    <cx:chart xmlns:cx="http://schemas.microsoft.com/office/drawing/2014/chartex" xmlns:r="http://schemas.openxmlformats.org/officeDocument/2006/relationships" r:id="rId18"/>
                  </a:graphicData>
                </a:graphic>
              </wp:inline>
            </w:drawing>
          </mc:Choice>
          <mc:Fallback>
            <w:drawing>
              <wp:inline distT="0" distB="0" distL="0" distR="0" wp14:anchorId="32222B43" wp14:editId="0DE4AB31">
                <wp:extent cx="5274733" cy="3098800"/>
                <wp:effectExtent l="0" t="0" r="2540" b="6350"/>
                <wp:docPr id="1804098814" name="Diagram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A3CCC8C1-E4F1-D49D-7DD4-684F7E6CDDF9}"/>
                    </a:ext>
                  </a:extLst>
                </wp:docPr>
                <wp:cNvGraphicFramePr>
                  <a:graphicFrameLocks xmlns:a="http://schemas.openxmlformats.org/drawingml/2006/main" noGrp="1" noDrilldown="1" noSelect="1" noChangeAspect="1" noMove="1" noResize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04098814" name="Diagram 1">
                          <a:extLst>
                            <a:ext uri="{FF2B5EF4-FFF2-40B4-BE49-F238E27FC236}">
                              <a16:creationId xmlns:a16="http://schemas.microsoft.com/office/drawing/2014/main" id="{A3CCC8C1-E4F1-D49D-7DD4-684F7E6CDDF9}"/>
                            </a:ext>
                          </a:extLst>
                        </pic:cNvPr>
                        <pic:cNvPicPr>
                          <a:picLocks noGrp="1" noRot="1" noChangeAspect="1" noMove="1" noResize="1" noEditPoints="1" noAdjustHandles="1" noChangeArrowheads="1" noChangeShapeType="1"/>
                        </pic:cNvPicPr>
                      </pic:nvPicPr>
                      <pic:blipFill>
                        <a:blip r:embed="rId2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4310" cy="3098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Fallback>
        </mc:AlternateContent>
      </w:r>
    </w:p>
    <w:p w14:paraId="116F59BE" w14:textId="25293464" w:rsidR="00790C68" w:rsidRDefault="00790C68" w:rsidP="00B01F73">
      <w:pPr>
        <w:spacing w:after="240"/>
        <w:jc w:val="both"/>
        <w:rPr>
          <w:rFonts w:ascii="Calibri" w:hAnsi="Calibri" w:cs="Calibri"/>
          <w:bCs/>
          <w:sz w:val="20"/>
          <w:szCs w:val="20"/>
        </w:rPr>
      </w:pPr>
      <w:r w:rsidRPr="00790C68">
        <w:rPr>
          <w:rFonts w:ascii="Calibri" w:hAnsi="Calibri" w:cs="Calibri"/>
          <w:bCs/>
          <w:sz w:val="20"/>
          <w:szCs w:val="20"/>
        </w:rPr>
        <w:t>*korrigált bevételekhez</w:t>
      </w:r>
      <w:r w:rsidR="00575FBE">
        <w:rPr>
          <w:rFonts w:ascii="Calibri" w:hAnsi="Calibri" w:cs="Calibri"/>
          <w:bCs/>
          <w:sz w:val="20"/>
          <w:szCs w:val="20"/>
        </w:rPr>
        <w:t xml:space="preserve"> </w:t>
      </w:r>
      <w:r w:rsidR="00A16BE6">
        <w:rPr>
          <w:rFonts w:ascii="Calibri" w:hAnsi="Calibri" w:cs="Calibri"/>
          <w:bCs/>
          <w:sz w:val="20"/>
          <w:szCs w:val="20"/>
        </w:rPr>
        <w:t>számított arány</w:t>
      </w:r>
      <w:r w:rsidR="00575FBE">
        <w:rPr>
          <w:rFonts w:ascii="Calibri" w:hAnsi="Calibri" w:cs="Calibri"/>
          <w:bCs/>
          <w:sz w:val="20"/>
          <w:szCs w:val="20"/>
        </w:rPr>
        <w:t xml:space="preserve">(beruházási támogatások </w:t>
      </w:r>
      <w:r w:rsidR="00694957">
        <w:rPr>
          <w:rFonts w:ascii="Calibri" w:hAnsi="Calibri" w:cs="Calibri"/>
          <w:bCs/>
          <w:sz w:val="20"/>
          <w:szCs w:val="20"/>
        </w:rPr>
        <w:t>figyelmen kívül hagyásával, továbbá a továbbértékesítés nettó fedezetének figyelembevételével) arányosított repülőtér üzemeltetéséhez közvetlenül köthető működési támogatás</w:t>
      </w:r>
    </w:p>
    <w:p w14:paraId="573452DB" w14:textId="65509EB9" w:rsidR="003F213A" w:rsidRDefault="000D7FEB" w:rsidP="00B01F73">
      <w:pPr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lastRenderedPageBreak/>
        <w:t xml:space="preserve">A támogatások </w:t>
      </w:r>
      <w:r w:rsidR="00CE3A78">
        <w:rPr>
          <w:rFonts w:ascii="Calibri" w:hAnsi="Calibri" w:cs="Calibri"/>
          <w:bCs/>
          <w:sz w:val="24"/>
          <w:szCs w:val="24"/>
        </w:rPr>
        <w:t xml:space="preserve">összbevételeken belül </w:t>
      </w:r>
      <w:r>
        <w:rPr>
          <w:rFonts w:ascii="Calibri" w:hAnsi="Calibri" w:cs="Calibri"/>
          <w:bCs/>
          <w:sz w:val="24"/>
          <w:szCs w:val="24"/>
        </w:rPr>
        <w:t xml:space="preserve">csökkenő részaránya </w:t>
      </w:r>
      <w:r w:rsidR="00CE3A78">
        <w:rPr>
          <w:rFonts w:ascii="Calibri" w:hAnsi="Calibri" w:cs="Calibri"/>
          <w:bCs/>
          <w:sz w:val="24"/>
          <w:szCs w:val="24"/>
        </w:rPr>
        <w:t>a</w:t>
      </w:r>
      <w:r>
        <w:rPr>
          <w:rFonts w:ascii="Calibri" w:hAnsi="Calibri" w:cs="Calibri"/>
          <w:bCs/>
          <w:sz w:val="24"/>
          <w:szCs w:val="24"/>
        </w:rPr>
        <w:t xml:space="preserve"> felmerülő költségek, ráfordítások saját forrásból történő finanszírozás</w:t>
      </w:r>
      <w:r w:rsidR="00CE3A78">
        <w:rPr>
          <w:rFonts w:ascii="Calibri" w:hAnsi="Calibri" w:cs="Calibri"/>
          <w:bCs/>
          <w:sz w:val="24"/>
          <w:szCs w:val="24"/>
        </w:rPr>
        <w:t xml:space="preserve">ának arányát növeli </w:t>
      </w:r>
      <w:r w:rsidR="00A16BE6">
        <w:rPr>
          <w:rFonts w:ascii="Calibri" w:hAnsi="Calibri" w:cs="Calibri"/>
          <w:bCs/>
          <w:sz w:val="24"/>
          <w:szCs w:val="24"/>
        </w:rPr>
        <w:t>amellett</w:t>
      </w:r>
      <w:r w:rsidR="00CE3A78">
        <w:rPr>
          <w:rFonts w:ascii="Calibri" w:hAnsi="Calibri" w:cs="Calibri"/>
          <w:bCs/>
          <w:sz w:val="24"/>
          <w:szCs w:val="24"/>
        </w:rPr>
        <w:t>, hogy a költségek és ráfordítások összege szignifikáns növekedést mutat az elmúlt években</w:t>
      </w:r>
      <w:r w:rsidR="00A16BE6">
        <w:rPr>
          <w:rFonts w:ascii="Calibri" w:hAnsi="Calibri" w:cs="Calibri"/>
          <w:bCs/>
          <w:sz w:val="24"/>
          <w:szCs w:val="24"/>
        </w:rPr>
        <w:t xml:space="preserve">. </w:t>
      </w:r>
      <w:r w:rsidR="00646635">
        <w:rPr>
          <w:rFonts w:ascii="Calibri" w:hAnsi="Calibri" w:cs="Calibri"/>
          <w:bCs/>
          <w:sz w:val="24"/>
          <w:szCs w:val="24"/>
        </w:rPr>
        <w:t>2021. év</w:t>
      </w:r>
      <w:r w:rsidR="00A16BE6">
        <w:rPr>
          <w:rFonts w:ascii="Calibri" w:hAnsi="Calibri" w:cs="Calibri"/>
          <w:bCs/>
          <w:sz w:val="24"/>
          <w:szCs w:val="24"/>
        </w:rPr>
        <w:t>ben a működési támogatások szinte a teljes költségre fedezetet nyújtottak, addig 2024. évben már a költségek közel felét a Társaság saját forrásból fedezte. A</w:t>
      </w:r>
      <w:r w:rsidR="00646635">
        <w:rPr>
          <w:rFonts w:ascii="Calibri" w:hAnsi="Calibri" w:cs="Calibri"/>
          <w:bCs/>
          <w:sz w:val="24"/>
          <w:szCs w:val="24"/>
        </w:rPr>
        <w:t xml:space="preserve"> Társaság költségei és ráfordításai (écs figyelmen kívül hagyásával) </w:t>
      </w:r>
      <w:r w:rsidR="00A16BE6">
        <w:rPr>
          <w:rFonts w:ascii="Calibri" w:hAnsi="Calibri" w:cs="Calibri"/>
          <w:bCs/>
          <w:sz w:val="24"/>
          <w:szCs w:val="24"/>
        </w:rPr>
        <w:t xml:space="preserve">ebben az időszakban </w:t>
      </w:r>
      <w:r w:rsidR="00646635">
        <w:rPr>
          <w:rFonts w:ascii="Calibri" w:hAnsi="Calibri" w:cs="Calibri"/>
          <w:bCs/>
          <w:sz w:val="24"/>
          <w:szCs w:val="24"/>
        </w:rPr>
        <w:t>megduplázódtak, azaz mintegy 101,5%-kal növekedtek).</w:t>
      </w:r>
    </w:p>
    <w:p w14:paraId="2FABCEFD" w14:textId="44F6855B" w:rsidR="00CE3A78" w:rsidRDefault="003F213A" w:rsidP="00B01F73">
      <w:pPr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A költségek és ráfordítások fedezetének aránya:</w:t>
      </w:r>
    </w:p>
    <w:p w14:paraId="487D623A" w14:textId="28425AF3" w:rsidR="00B60516" w:rsidRDefault="00B60516" w:rsidP="00B01F73">
      <w:pPr>
        <w:jc w:val="both"/>
        <w:rPr>
          <w:rFonts w:ascii="Calibri" w:hAnsi="Calibri" w:cs="Calibri"/>
          <w:bCs/>
          <w:sz w:val="24"/>
          <w:szCs w:val="24"/>
        </w:rPr>
      </w:pPr>
      <w:r>
        <w:rPr>
          <w:noProof/>
        </w:rPr>
        <w:drawing>
          <wp:inline distT="0" distB="0" distL="0" distR="0" wp14:anchorId="14A7E15D" wp14:editId="5FCE4184">
            <wp:extent cx="6120765" cy="4556760"/>
            <wp:effectExtent l="0" t="0" r="0" b="0"/>
            <wp:docPr id="478419568" name="Diagram 1">
              <a:extLst xmlns:a="http://schemas.openxmlformats.org/drawingml/2006/main">
                <a:ext uri="{FF2B5EF4-FFF2-40B4-BE49-F238E27FC236}">
                  <a16:creationId xmlns:a16="http://schemas.microsoft.com/office/drawing/2014/main" id="{F56D997A-13C7-77C8-E448-69F811E0361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14:paraId="611F1AB0" w14:textId="77777777" w:rsidR="00B60516" w:rsidRDefault="00B60516" w:rsidP="00B01F73">
      <w:pPr>
        <w:jc w:val="both"/>
        <w:rPr>
          <w:rFonts w:ascii="Calibri" w:hAnsi="Calibri" w:cs="Calibri"/>
          <w:bCs/>
          <w:sz w:val="24"/>
          <w:szCs w:val="24"/>
        </w:rPr>
      </w:pPr>
    </w:p>
    <w:p w14:paraId="55A16CAC" w14:textId="60E60303" w:rsidR="00380CC7" w:rsidRDefault="00380CC7" w:rsidP="00B01F73">
      <w:pPr>
        <w:jc w:val="both"/>
        <w:rPr>
          <w:rFonts w:ascii="Calibri" w:hAnsi="Calibri" w:cs="Calibri"/>
          <w:bCs/>
          <w:sz w:val="24"/>
          <w:szCs w:val="24"/>
        </w:rPr>
      </w:pPr>
    </w:p>
    <w:p w14:paraId="489197A3" w14:textId="2CD2DF9F" w:rsidR="002C68E2" w:rsidRDefault="002C68E2" w:rsidP="00B01F73">
      <w:pPr>
        <w:jc w:val="both"/>
        <w:rPr>
          <w:rFonts w:ascii="Calibri" w:hAnsi="Calibri" w:cs="Calibri"/>
          <w:bCs/>
          <w:sz w:val="24"/>
          <w:szCs w:val="24"/>
        </w:rPr>
      </w:pPr>
    </w:p>
    <w:p w14:paraId="461191E3" w14:textId="77777777" w:rsidR="00DF6E99" w:rsidRDefault="00DF6E99" w:rsidP="00B01F73">
      <w:pPr>
        <w:rPr>
          <w:rFonts w:ascii="Calibri" w:hAnsi="Calibri" w:cs="Calibri"/>
          <w:b/>
          <w:sz w:val="24"/>
          <w:szCs w:val="24"/>
        </w:rPr>
      </w:pPr>
      <w:r>
        <w:rPr>
          <w:rFonts w:ascii="Calibri" w:hAnsi="Calibri" w:cs="Calibri"/>
          <w:b/>
          <w:sz w:val="24"/>
          <w:szCs w:val="24"/>
        </w:rPr>
        <w:br w:type="page"/>
      </w:r>
    </w:p>
    <w:p w14:paraId="306F0EFA" w14:textId="7A19AD12" w:rsidR="00A46887" w:rsidRPr="003A26F8" w:rsidRDefault="000A4A33" w:rsidP="00B01F73">
      <w:pPr>
        <w:pStyle w:val="Listaszerbekezds"/>
        <w:numPr>
          <w:ilvl w:val="0"/>
          <w:numId w:val="37"/>
        </w:numPr>
        <w:spacing w:before="240" w:after="240"/>
        <w:ind w:left="426" w:hanging="426"/>
        <w:rPr>
          <w:rFonts w:ascii="Calibri" w:hAnsi="Calibri" w:cs="Calibri"/>
          <w:b/>
          <w:sz w:val="24"/>
          <w:szCs w:val="24"/>
        </w:rPr>
      </w:pPr>
      <w:r w:rsidRPr="003A26F8">
        <w:rPr>
          <w:rFonts w:ascii="Calibri" w:hAnsi="Calibri" w:cs="Calibri"/>
          <w:b/>
          <w:sz w:val="24"/>
          <w:szCs w:val="24"/>
        </w:rPr>
        <w:lastRenderedPageBreak/>
        <w:t>Értékesítésből</w:t>
      </w:r>
      <w:r w:rsidR="008071AF" w:rsidRPr="003A26F8">
        <w:rPr>
          <w:rFonts w:ascii="Calibri" w:hAnsi="Calibri" w:cs="Calibri"/>
          <w:b/>
          <w:sz w:val="24"/>
          <w:szCs w:val="24"/>
        </w:rPr>
        <w:t xml:space="preserve"> származó bevételek</w:t>
      </w:r>
    </w:p>
    <w:bookmarkEnd w:id="6"/>
    <w:p w14:paraId="0669FEFB" w14:textId="2D4EE90F" w:rsidR="00A16BB1" w:rsidRDefault="009503F7" w:rsidP="008F2FE0">
      <w:pPr>
        <w:spacing w:before="240" w:after="120"/>
        <w:jc w:val="both"/>
        <w:rPr>
          <w:rFonts w:ascii="Calibri" w:hAnsi="Calibri" w:cs="Calibri"/>
          <w:sz w:val="23"/>
          <w:szCs w:val="23"/>
        </w:rPr>
      </w:pPr>
      <w:r w:rsidRPr="00363D3A">
        <w:rPr>
          <w:rFonts w:ascii="Calibri" w:hAnsi="Calibri" w:cs="Calibri"/>
          <w:sz w:val="23"/>
          <w:szCs w:val="23"/>
        </w:rPr>
        <w:t xml:space="preserve">A </w:t>
      </w:r>
      <w:r w:rsidR="00BC2D29" w:rsidRPr="00363D3A">
        <w:rPr>
          <w:rFonts w:ascii="Calibri" w:hAnsi="Calibri" w:cs="Calibri"/>
          <w:sz w:val="23"/>
          <w:szCs w:val="23"/>
        </w:rPr>
        <w:t>Társaság</w:t>
      </w:r>
      <w:r w:rsidRPr="00363D3A">
        <w:rPr>
          <w:rFonts w:ascii="Calibri" w:hAnsi="Calibri" w:cs="Calibri"/>
          <w:sz w:val="23"/>
          <w:szCs w:val="23"/>
        </w:rPr>
        <w:t xml:space="preserve"> 20</w:t>
      </w:r>
      <w:r w:rsidR="002802FB" w:rsidRPr="00363D3A">
        <w:rPr>
          <w:rFonts w:ascii="Calibri" w:hAnsi="Calibri" w:cs="Calibri"/>
          <w:sz w:val="23"/>
          <w:szCs w:val="23"/>
        </w:rPr>
        <w:t>2</w:t>
      </w:r>
      <w:r w:rsidR="00626FCC">
        <w:rPr>
          <w:rFonts w:ascii="Calibri" w:hAnsi="Calibri" w:cs="Calibri"/>
          <w:sz w:val="23"/>
          <w:szCs w:val="23"/>
        </w:rPr>
        <w:t>4</w:t>
      </w:r>
      <w:r w:rsidR="003A26F8" w:rsidRPr="00363D3A">
        <w:rPr>
          <w:rFonts w:ascii="Calibri" w:hAnsi="Calibri" w:cs="Calibri"/>
          <w:sz w:val="23"/>
          <w:szCs w:val="23"/>
        </w:rPr>
        <w:t xml:space="preserve">. </w:t>
      </w:r>
      <w:r w:rsidRPr="00363D3A">
        <w:rPr>
          <w:rFonts w:ascii="Calibri" w:hAnsi="Calibri" w:cs="Calibri"/>
          <w:sz w:val="23"/>
          <w:szCs w:val="23"/>
        </w:rPr>
        <w:t xml:space="preserve">évi </w:t>
      </w:r>
      <w:r w:rsidR="000A4A33" w:rsidRPr="00363D3A">
        <w:rPr>
          <w:rFonts w:ascii="Calibri" w:hAnsi="Calibri" w:cs="Calibri"/>
          <w:sz w:val="23"/>
          <w:szCs w:val="23"/>
        </w:rPr>
        <w:t xml:space="preserve">értékesítésből származó </w:t>
      </w:r>
      <w:r w:rsidR="00BC2D29" w:rsidRPr="00363D3A">
        <w:rPr>
          <w:rFonts w:ascii="Calibri" w:hAnsi="Calibri" w:cs="Calibri"/>
          <w:sz w:val="23"/>
          <w:szCs w:val="23"/>
        </w:rPr>
        <w:t>nettó ár</w:t>
      </w:r>
      <w:r w:rsidR="000A4A33" w:rsidRPr="00363D3A">
        <w:rPr>
          <w:rFonts w:ascii="Calibri" w:hAnsi="Calibri" w:cs="Calibri"/>
          <w:sz w:val="23"/>
          <w:szCs w:val="23"/>
        </w:rPr>
        <w:t xml:space="preserve">bevétele </w:t>
      </w:r>
      <w:r w:rsidR="00951FB2" w:rsidRPr="00363D3A">
        <w:rPr>
          <w:rFonts w:ascii="Calibri" w:hAnsi="Calibri" w:cs="Calibri"/>
          <w:sz w:val="23"/>
          <w:szCs w:val="23"/>
        </w:rPr>
        <w:t xml:space="preserve">a szakmai értékelésben már </w:t>
      </w:r>
      <w:r w:rsidR="00B245C1">
        <w:rPr>
          <w:rFonts w:ascii="Calibri" w:hAnsi="Calibri" w:cs="Calibri"/>
          <w:sz w:val="23"/>
          <w:szCs w:val="23"/>
        </w:rPr>
        <w:t>hivatkozot</w:t>
      </w:r>
      <w:r w:rsidR="00951FB2" w:rsidRPr="00363D3A">
        <w:rPr>
          <w:rFonts w:ascii="Calibri" w:hAnsi="Calibri" w:cs="Calibri"/>
          <w:sz w:val="23"/>
          <w:szCs w:val="23"/>
        </w:rPr>
        <w:t>t</w:t>
      </w:r>
      <w:r w:rsidR="00B245C1">
        <w:rPr>
          <w:rFonts w:ascii="Calibri" w:hAnsi="Calibri" w:cs="Calibri"/>
          <w:sz w:val="23"/>
          <w:szCs w:val="23"/>
        </w:rPr>
        <w:t xml:space="preserve"> légi áruforgalom növekedése miatt</w:t>
      </w:r>
      <w:r w:rsidR="00A16BB1" w:rsidRPr="00363D3A">
        <w:rPr>
          <w:rFonts w:ascii="Calibri" w:hAnsi="Calibri" w:cs="Calibri"/>
          <w:sz w:val="23"/>
          <w:szCs w:val="23"/>
        </w:rPr>
        <w:t xml:space="preserve">, </w:t>
      </w:r>
      <w:r w:rsidR="00B245C1">
        <w:rPr>
          <w:rFonts w:ascii="Calibri" w:hAnsi="Calibri" w:cs="Calibri"/>
          <w:sz w:val="23"/>
          <w:szCs w:val="23"/>
        </w:rPr>
        <w:t>a 2</w:t>
      </w:r>
      <w:r w:rsidR="005A7313" w:rsidRPr="00363D3A">
        <w:rPr>
          <w:rFonts w:ascii="Calibri" w:hAnsi="Calibri" w:cs="Calibri"/>
          <w:sz w:val="23"/>
          <w:szCs w:val="23"/>
        </w:rPr>
        <w:t>02</w:t>
      </w:r>
      <w:r w:rsidR="00B245C1">
        <w:rPr>
          <w:rFonts w:ascii="Calibri" w:hAnsi="Calibri" w:cs="Calibri"/>
          <w:sz w:val="23"/>
          <w:szCs w:val="23"/>
        </w:rPr>
        <w:t>3</w:t>
      </w:r>
      <w:r w:rsidR="005A7313" w:rsidRPr="00363D3A">
        <w:rPr>
          <w:rFonts w:ascii="Calibri" w:hAnsi="Calibri" w:cs="Calibri"/>
          <w:sz w:val="23"/>
          <w:szCs w:val="23"/>
        </w:rPr>
        <w:t>. évi</w:t>
      </w:r>
      <w:r w:rsidR="00380CC7">
        <w:rPr>
          <w:rFonts w:ascii="Calibri" w:hAnsi="Calibri" w:cs="Calibri"/>
          <w:sz w:val="23"/>
          <w:szCs w:val="23"/>
        </w:rPr>
        <w:t xml:space="preserve"> árbevételt 82,1</w:t>
      </w:r>
      <w:r w:rsidR="00380CC7" w:rsidRPr="00363D3A">
        <w:rPr>
          <w:rFonts w:ascii="Calibri" w:hAnsi="Calibri" w:cs="Calibri"/>
          <w:sz w:val="23"/>
          <w:szCs w:val="23"/>
        </w:rPr>
        <w:t>%-kal</w:t>
      </w:r>
      <w:r w:rsidR="00B245C1">
        <w:rPr>
          <w:rFonts w:ascii="Calibri" w:hAnsi="Calibri" w:cs="Calibri"/>
          <w:sz w:val="23"/>
          <w:szCs w:val="23"/>
        </w:rPr>
        <w:t xml:space="preserve">, </w:t>
      </w:r>
      <w:r w:rsidR="00380CC7">
        <w:rPr>
          <w:rFonts w:ascii="Calibri" w:hAnsi="Calibri" w:cs="Calibri"/>
          <w:sz w:val="23"/>
          <w:szCs w:val="23"/>
        </w:rPr>
        <w:t xml:space="preserve">a tervezett árbevételt pedig </w:t>
      </w:r>
      <w:r w:rsidR="00B245C1">
        <w:rPr>
          <w:rFonts w:ascii="Calibri" w:hAnsi="Calibri" w:cs="Calibri"/>
          <w:sz w:val="23"/>
          <w:szCs w:val="23"/>
        </w:rPr>
        <w:t>28,3%-</w:t>
      </w:r>
      <w:r w:rsidR="00380CC7">
        <w:rPr>
          <w:rFonts w:ascii="Calibri" w:hAnsi="Calibri" w:cs="Calibri"/>
          <w:sz w:val="23"/>
          <w:szCs w:val="23"/>
        </w:rPr>
        <w:t>kal</w:t>
      </w:r>
      <w:r w:rsidR="00B245C1">
        <w:rPr>
          <w:rFonts w:ascii="Calibri" w:hAnsi="Calibri" w:cs="Calibri"/>
          <w:sz w:val="23"/>
          <w:szCs w:val="23"/>
        </w:rPr>
        <w:t xml:space="preserve"> meghaladta</w:t>
      </w:r>
      <w:r w:rsidR="00F86B9E">
        <w:rPr>
          <w:rFonts w:ascii="Calibri" w:hAnsi="Calibri" w:cs="Calibri"/>
          <w:sz w:val="23"/>
          <w:szCs w:val="23"/>
        </w:rPr>
        <w:t>,</w:t>
      </w:r>
      <w:r w:rsidR="00A16BB1" w:rsidRPr="00363D3A">
        <w:rPr>
          <w:rFonts w:ascii="Calibri" w:hAnsi="Calibri" w:cs="Calibri"/>
          <w:sz w:val="23"/>
          <w:szCs w:val="23"/>
        </w:rPr>
        <w:t xml:space="preserve"> és</w:t>
      </w:r>
      <w:r w:rsidR="005A7313" w:rsidRPr="00363D3A">
        <w:rPr>
          <w:rFonts w:ascii="Calibri" w:hAnsi="Calibri" w:cs="Calibri"/>
          <w:sz w:val="23"/>
          <w:szCs w:val="23"/>
        </w:rPr>
        <w:t xml:space="preserve"> </w:t>
      </w:r>
      <w:r w:rsidR="00B245C1">
        <w:rPr>
          <w:rFonts w:ascii="Calibri" w:hAnsi="Calibri" w:cs="Calibri"/>
          <w:b/>
          <w:bCs/>
          <w:sz w:val="23"/>
          <w:szCs w:val="23"/>
        </w:rPr>
        <w:t>517,7</w:t>
      </w:r>
      <w:r w:rsidR="005A7313" w:rsidRPr="00363D3A">
        <w:rPr>
          <w:rFonts w:ascii="Calibri" w:hAnsi="Calibri" w:cs="Calibri"/>
          <w:b/>
          <w:bCs/>
          <w:sz w:val="23"/>
          <w:szCs w:val="23"/>
        </w:rPr>
        <w:t xml:space="preserve"> millió </w:t>
      </w:r>
      <w:r w:rsidR="00BC2D29" w:rsidRPr="00363D3A">
        <w:rPr>
          <w:rFonts w:ascii="Calibri" w:hAnsi="Calibri" w:cs="Calibri"/>
          <w:b/>
          <w:bCs/>
          <w:sz w:val="23"/>
          <w:szCs w:val="23"/>
        </w:rPr>
        <w:t>Ft</w:t>
      </w:r>
      <w:r w:rsidR="0017748C">
        <w:rPr>
          <w:rFonts w:ascii="Calibri" w:hAnsi="Calibri" w:cs="Calibri"/>
          <w:b/>
          <w:bCs/>
          <w:sz w:val="23"/>
          <w:szCs w:val="23"/>
        </w:rPr>
        <w:t xml:space="preserve"> </w:t>
      </w:r>
      <w:r w:rsidR="0017748C" w:rsidRPr="0017748C">
        <w:rPr>
          <w:rFonts w:ascii="Calibri" w:hAnsi="Calibri" w:cs="Calibri"/>
          <w:sz w:val="23"/>
          <w:szCs w:val="23"/>
        </w:rPr>
        <w:t>összegben</w:t>
      </w:r>
      <w:r w:rsidR="003D4A3A" w:rsidRPr="00363D3A">
        <w:rPr>
          <w:rFonts w:ascii="Calibri" w:hAnsi="Calibri" w:cs="Calibri"/>
          <w:sz w:val="23"/>
          <w:szCs w:val="23"/>
        </w:rPr>
        <w:t xml:space="preserve"> teljesült.</w:t>
      </w:r>
      <w:r w:rsidR="00BC2D29" w:rsidRPr="00363D3A">
        <w:rPr>
          <w:rFonts w:ascii="Calibri" w:hAnsi="Calibri" w:cs="Calibri"/>
          <w:sz w:val="23"/>
          <w:szCs w:val="23"/>
        </w:rPr>
        <w:t xml:space="preserve"> </w:t>
      </w:r>
    </w:p>
    <w:p w14:paraId="0105E0EA" w14:textId="5120E3A6" w:rsidR="00BF11A5" w:rsidRDefault="00BF11A5" w:rsidP="008F2FE0">
      <w:pPr>
        <w:spacing w:before="240" w:after="120"/>
        <w:jc w:val="both"/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sz w:val="23"/>
          <w:szCs w:val="23"/>
        </w:rPr>
        <w:t>A nettó árbevétel tervezett és teljesített értékeit a következő ábra mutatja:</w:t>
      </w:r>
    </w:p>
    <w:p w14:paraId="315FE130" w14:textId="1CA87F81" w:rsidR="00D518A0" w:rsidRDefault="00E34382" w:rsidP="00E34382">
      <w:pPr>
        <w:spacing w:before="240" w:after="120"/>
        <w:ind w:left="-567"/>
        <w:jc w:val="both"/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w:drawing>
          <wp:inline distT="0" distB="0" distL="0" distR="0" wp14:anchorId="1922A48B" wp14:editId="77EE96FD">
            <wp:extent cx="6838950" cy="3971925"/>
            <wp:effectExtent l="0" t="0" r="0" b="9525"/>
            <wp:docPr id="2045076483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8" r="718"/>
                    <a:stretch/>
                  </pic:blipFill>
                  <pic:spPr bwMode="auto">
                    <a:xfrm>
                      <a:off x="0" y="0"/>
                      <a:ext cx="683895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1955F6" w14:textId="77777777" w:rsidR="00DF6E99" w:rsidRDefault="00DF6E99" w:rsidP="00DF6E99">
      <w:pPr>
        <w:spacing w:before="240" w:after="120"/>
        <w:jc w:val="both"/>
        <w:rPr>
          <w:rFonts w:ascii="Calibri" w:hAnsi="Calibri" w:cs="Calibri"/>
          <w:sz w:val="23"/>
          <w:szCs w:val="23"/>
        </w:rPr>
      </w:pPr>
    </w:p>
    <w:p w14:paraId="390AA7B7" w14:textId="2B167F2B" w:rsidR="00DF6E99" w:rsidRDefault="00DF6E99" w:rsidP="00DF6E99">
      <w:pPr>
        <w:spacing w:before="240" w:after="120"/>
        <w:jc w:val="both"/>
        <w:rPr>
          <w:rFonts w:ascii="Calibri" w:hAnsi="Calibri" w:cs="Calibri"/>
          <w:sz w:val="23"/>
          <w:szCs w:val="23"/>
        </w:rPr>
      </w:pPr>
      <w:r w:rsidRPr="00363D3A">
        <w:rPr>
          <w:rFonts w:ascii="Calibri" w:hAnsi="Calibri" w:cs="Calibri"/>
          <w:sz w:val="23"/>
          <w:szCs w:val="23"/>
        </w:rPr>
        <w:t xml:space="preserve">A bevételkategóriák elmúlt </w:t>
      </w:r>
      <w:r>
        <w:rPr>
          <w:rFonts w:ascii="Calibri" w:hAnsi="Calibri" w:cs="Calibri"/>
          <w:sz w:val="23"/>
          <w:szCs w:val="23"/>
        </w:rPr>
        <w:t>4</w:t>
      </w:r>
      <w:r w:rsidRPr="00363D3A">
        <w:rPr>
          <w:rFonts w:ascii="Calibri" w:hAnsi="Calibri" w:cs="Calibri"/>
          <w:sz w:val="23"/>
          <w:szCs w:val="23"/>
        </w:rPr>
        <w:t xml:space="preserve"> éves időhorizontját</w:t>
      </w:r>
      <w:r>
        <w:rPr>
          <w:rFonts w:ascii="Calibri" w:hAnsi="Calibri" w:cs="Calibri"/>
          <w:sz w:val="23"/>
          <w:szCs w:val="23"/>
        </w:rPr>
        <w:t xml:space="preserve"> (a Társaság állami tulajdonba kerülés időtartamát alapul véve)</w:t>
      </w:r>
      <w:r w:rsidRPr="00363D3A">
        <w:rPr>
          <w:rFonts w:ascii="Calibri" w:hAnsi="Calibri" w:cs="Calibri"/>
          <w:sz w:val="23"/>
          <w:szCs w:val="23"/>
        </w:rPr>
        <w:t xml:space="preserve"> az alábbi </w:t>
      </w:r>
      <w:r>
        <w:rPr>
          <w:rFonts w:ascii="Calibri" w:hAnsi="Calibri" w:cs="Calibri"/>
          <w:sz w:val="23"/>
          <w:szCs w:val="23"/>
        </w:rPr>
        <w:t>ábra</w:t>
      </w:r>
      <w:r w:rsidRPr="00363D3A">
        <w:rPr>
          <w:rFonts w:ascii="Calibri" w:hAnsi="Calibri" w:cs="Calibri"/>
          <w:sz w:val="23"/>
          <w:szCs w:val="23"/>
        </w:rPr>
        <w:t xml:space="preserve"> szemlélteti, ahol jól látható a COVID világjárvány utáni fellendülés valamennyi bevételszerző kategóriában. </w:t>
      </w:r>
    </w:p>
    <w:p w14:paraId="31D0BD6E" w14:textId="6622B7D5" w:rsidR="006213AF" w:rsidRDefault="00380CC7" w:rsidP="008F2FE0">
      <w:pPr>
        <w:spacing w:before="240" w:after="120"/>
        <w:jc w:val="both"/>
        <w:rPr>
          <w:rFonts w:ascii="Calibri" w:hAnsi="Calibri" w:cs="Calibri"/>
          <w:sz w:val="23"/>
          <w:szCs w:val="23"/>
        </w:rPr>
      </w:pPr>
      <w:r w:rsidRPr="00380CC7">
        <w:rPr>
          <w:rFonts w:ascii="Calibri" w:hAnsi="Calibri" w:cs="Calibri"/>
          <w:sz w:val="23"/>
          <w:szCs w:val="23"/>
        </w:rPr>
        <w:t xml:space="preserve">A </w:t>
      </w:r>
      <w:r w:rsidR="00363D3A" w:rsidRPr="00380CC7">
        <w:rPr>
          <w:rFonts w:ascii="Calibri" w:hAnsi="Calibri" w:cs="Calibri"/>
          <w:sz w:val="23"/>
          <w:szCs w:val="23"/>
        </w:rPr>
        <w:t xml:space="preserve">2023. évben </w:t>
      </w:r>
      <w:r w:rsidRPr="00380CC7">
        <w:rPr>
          <w:rFonts w:ascii="Calibri" w:hAnsi="Calibri" w:cs="Calibri"/>
          <w:sz w:val="23"/>
          <w:szCs w:val="23"/>
        </w:rPr>
        <w:t xml:space="preserve">tapasztalt, </w:t>
      </w:r>
      <w:r w:rsidR="00363D3A" w:rsidRPr="00380CC7">
        <w:rPr>
          <w:rFonts w:ascii="Calibri" w:hAnsi="Calibri" w:cs="Calibri"/>
          <w:sz w:val="23"/>
          <w:szCs w:val="23"/>
        </w:rPr>
        <w:t>a</w:t>
      </w:r>
      <w:r w:rsidR="009841E5" w:rsidRPr="00380CC7">
        <w:rPr>
          <w:rFonts w:ascii="Calibri" w:hAnsi="Calibri" w:cs="Calibri"/>
          <w:sz w:val="23"/>
          <w:szCs w:val="23"/>
        </w:rPr>
        <w:t xml:space="preserve"> </w:t>
      </w:r>
      <w:r w:rsidR="00363D3A" w:rsidRPr="00380CC7">
        <w:rPr>
          <w:rFonts w:ascii="Calibri" w:hAnsi="Calibri" w:cs="Calibri"/>
          <w:sz w:val="23"/>
          <w:szCs w:val="23"/>
        </w:rPr>
        <w:t xml:space="preserve">menetrendszerinti járatok elmaradása </w:t>
      </w:r>
      <w:r w:rsidRPr="00380CC7">
        <w:rPr>
          <w:rFonts w:ascii="Calibri" w:hAnsi="Calibri" w:cs="Calibri"/>
          <w:sz w:val="23"/>
          <w:szCs w:val="23"/>
        </w:rPr>
        <w:t xml:space="preserve">miatti </w:t>
      </w:r>
      <w:r w:rsidR="00363D3A" w:rsidRPr="00380CC7">
        <w:rPr>
          <w:rFonts w:ascii="Calibri" w:hAnsi="Calibri" w:cs="Calibri"/>
          <w:sz w:val="23"/>
          <w:szCs w:val="23"/>
        </w:rPr>
        <w:t>üzemanyagértékesítés és a repülőgép kiszolgálás területén</w:t>
      </w:r>
      <w:r w:rsidRPr="00380CC7">
        <w:rPr>
          <w:rFonts w:ascii="Calibri" w:hAnsi="Calibri" w:cs="Calibri"/>
          <w:sz w:val="23"/>
          <w:szCs w:val="23"/>
        </w:rPr>
        <w:t xml:space="preserve"> mutatkozó </w:t>
      </w:r>
      <w:r w:rsidR="00363D3A" w:rsidRPr="00380CC7">
        <w:rPr>
          <w:rFonts w:ascii="Calibri" w:hAnsi="Calibri" w:cs="Calibri"/>
          <w:sz w:val="23"/>
          <w:szCs w:val="23"/>
        </w:rPr>
        <w:t>jelentős visszaesés</w:t>
      </w:r>
      <w:r w:rsidRPr="00380CC7">
        <w:rPr>
          <w:rFonts w:ascii="Calibri" w:hAnsi="Calibri" w:cs="Calibri"/>
          <w:sz w:val="23"/>
          <w:szCs w:val="23"/>
        </w:rPr>
        <w:t xml:space="preserve"> a tárgyévben kedvező alakulást</w:t>
      </w:r>
      <w:r w:rsidR="00363D3A" w:rsidRPr="00380CC7">
        <w:rPr>
          <w:rFonts w:ascii="Calibri" w:hAnsi="Calibri" w:cs="Calibri"/>
          <w:sz w:val="23"/>
          <w:szCs w:val="23"/>
        </w:rPr>
        <w:t xml:space="preserve"> mutat, melyet a Társaság a repülőtér egyéb hasznosításával, a bérleti díjak és a repülőtér üzemeltetés bevételeinek növekedésével </w:t>
      </w:r>
      <w:r w:rsidRPr="00380CC7">
        <w:rPr>
          <w:rFonts w:ascii="Calibri" w:hAnsi="Calibri" w:cs="Calibri"/>
          <w:sz w:val="23"/>
          <w:szCs w:val="23"/>
        </w:rPr>
        <w:t>tovább javított.</w:t>
      </w:r>
    </w:p>
    <w:p w14:paraId="63BEFD04" w14:textId="1E2AEEF6" w:rsidR="00380CC7" w:rsidRDefault="00380CC7" w:rsidP="008F2FE0">
      <w:pPr>
        <w:spacing w:before="240" w:after="120"/>
        <w:jc w:val="both"/>
        <w:rPr>
          <w:rFonts w:ascii="Calibri" w:hAnsi="Calibri" w:cs="Calibri"/>
          <w:sz w:val="23"/>
          <w:szCs w:val="23"/>
        </w:rPr>
        <w:sectPr w:rsidR="00380CC7" w:rsidSect="00DF255E">
          <w:headerReference w:type="default" r:id="rId26"/>
          <w:footerReference w:type="default" r:id="rId27"/>
          <w:type w:val="continuous"/>
          <w:pgSz w:w="11906" w:h="16838"/>
          <w:pgMar w:top="1701" w:right="1133" w:bottom="851" w:left="1134" w:header="709" w:footer="510" w:gutter="0"/>
          <w:cols w:space="708"/>
          <w:docGrid w:linePitch="360"/>
        </w:sectPr>
      </w:pPr>
    </w:p>
    <w:p w14:paraId="200F5258" w14:textId="1E0C7083" w:rsidR="006213AF" w:rsidRDefault="006213AF" w:rsidP="006213AF">
      <w:pPr>
        <w:spacing w:before="240" w:after="120"/>
        <w:jc w:val="both"/>
        <w:rPr>
          <w:rFonts w:ascii="Calibri" w:hAnsi="Calibri" w:cs="Calibri"/>
          <w:sz w:val="23"/>
          <w:szCs w:val="23"/>
        </w:rPr>
        <w:sectPr w:rsidR="006213AF" w:rsidSect="006213AF">
          <w:pgSz w:w="16838" w:h="11906" w:orient="landscape"/>
          <w:pgMar w:top="1134" w:right="1701" w:bottom="1133" w:left="851" w:header="709" w:footer="510" w:gutter="0"/>
          <w:cols w:space="708"/>
          <w:docGrid w:linePitch="360"/>
        </w:sectPr>
      </w:pPr>
      <w:r>
        <w:rPr>
          <w:noProof/>
        </w:rPr>
        <w:lastRenderedPageBreak/>
        <w:drawing>
          <wp:inline distT="0" distB="0" distL="0" distR="0" wp14:anchorId="5E4521E9" wp14:editId="01A543C7">
            <wp:extent cx="9772650" cy="5686425"/>
            <wp:effectExtent l="0" t="0" r="0" b="9525"/>
            <wp:docPr id="2092743424" name="Diagram 1">
              <a:extLst xmlns:a="http://schemas.openxmlformats.org/drawingml/2006/main">
                <a:ext uri="{FF2B5EF4-FFF2-40B4-BE49-F238E27FC236}">
                  <a16:creationId xmlns:a16="http://schemas.microsoft.com/office/drawing/2014/main" id="{57EDFBDB-2F10-04BB-6A0B-1A288D9ADB46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6EBE92B6" w14:textId="77777777" w:rsidR="006213AF" w:rsidRPr="00363D3A" w:rsidRDefault="006213AF" w:rsidP="006213AF">
      <w:pPr>
        <w:spacing w:before="240" w:after="120"/>
        <w:ind w:left="-567"/>
        <w:jc w:val="both"/>
        <w:rPr>
          <w:rFonts w:ascii="Calibri" w:hAnsi="Calibri" w:cs="Calibri"/>
          <w:sz w:val="23"/>
          <w:szCs w:val="23"/>
        </w:rPr>
      </w:pPr>
    </w:p>
    <w:p w14:paraId="10594C3D" w14:textId="7B8D954A" w:rsidR="009F0B6F" w:rsidRDefault="009F0B6F" w:rsidP="004818E4">
      <w:pPr>
        <w:jc w:val="both"/>
        <w:rPr>
          <w:rFonts w:ascii="Calibri" w:hAnsi="Calibri" w:cs="Calibri"/>
          <w:sz w:val="23"/>
          <w:szCs w:val="23"/>
        </w:rPr>
      </w:pPr>
    </w:p>
    <w:p w14:paraId="233338D1" w14:textId="3EA9450D" w:rsidR="009F0B6F" w:rsidRDefault="009F0B6F" w:rsidP="009F0B6F">
      <w:pPr>
        <w:spacing w:before="240" w:after="240"/>
        <w:rPr>
          <w:rFonts w:ascii="Calibri" w:hAnsi="Calibri" w:cs="Calibri"/>
          <w:bCs/>
          <w:sz w:val="24"/>
          <w:szCs w:val="24"/>
        </w:rPr>
      </w:pPr>
      <w:r w:rsidRPr="009A4063">
        <w:rPr>
          <w:rFonts w:ascii="Calibri" w:hAnsi="Calibri" w:cs="Calibri"/>
          <w:bCs/>
          <w:sz w:val="24"/>
          <w:szCs w:val="24"/>
        </w:rPr>
        <w:t xml:space="preserve">Az </w:t>
      </w:r>
      <w:r>
        <w:rPr>
          <w:rFonts w:ascii="Calibri" w:hAnsi="Calibri" w:cs="Calibri"/>
          <w:bCs/>
          <w:sz w:val="24"/>
          <w:szCs w:val="24"/>
        </w:rPr>
        <w:t xml:space="preserve">értékesítés nettó árbevétele érintett időszakban a </w:t>
      </w:r>
      <w:r w:rsidRPr="009A4063">
        <w:rPr>
          <w:rFonts w:ascii="Calibri" w:hAnsi="Calibri" w:cs="Calibri"/>
          <w:bCs/>
          <w:sz w:val="24"/>
          <w:szCs w:val="24"/>
        </w:rPr>
        <w:t>következők szerint alakult:</w:t>
      </w:r>
    </w:p>
    <w:tbl>
      <w:tblPr>
        <w:tblW w:w="761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48"/>
        <w:gridCol w:w="2368"/>
      </w:tblGrid>
      <w:tr w:rsidR="00E3603E" w:rsidRPr="00E3603E" w14:paraId="46ACA58B" w14:textId="77777777" w:rsidTr="00E3603E">
        <w:trPr>
          <w:trHeight w:val="399"/>
          <w:jc w:val="center"/>
        </w:trPr>
        <w:tc>
          <w:tcPr>
            <w:tcW w:w="5248" w:type="dxa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4AF801FF" w14:textId="77777777" w:rsidR="00E3603E" w:rsidRPr="00E3603E" w:rsidRDefault="00E3603E" w:rsidP="00E3603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2F2F2"/>
                <w:sz w:val="24"/>
                <w:szCs w:val="24"/>
              </w:rPr>
            </w:pPr>
            <w:r w:rsidRPr="00E3603E">
              <w:rPr>
                <w:rFonts w:ascii="Arial" w:eastAsia="Times New Roman" w:hAnsi="Arial" w:cs="Arial"/>
                <w:b/>
                <w:bCs/>
                <w:color w:val="F2F2F2"/>
                <w:sz w:val="24"/>
                <w:szCs w:val="24"/>
              </w:rPr>
              <w:t>Árbevétel jogcíme</w:t>
            </w:r>
          </w:p>
        </w:tc>
        <w:tc>
          <w:tcPr>
            <w:tcW w:w="2368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27717545" w14:textId="77777777" w:rsidR="00E3603E" w:rsidRPr="00E3603E" w:rsidRDefault="00E3603E" w:rsidP="00E3603E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F2F2F2"/>
                <w:sz w:val="24"/>
                <w:szCs w:val="24"/>
              </w:rPr>
            </w:pPr>
            <w:r w:rsidRPr="00E3603E">
              <w:rPr>
                <w:rFonts w:ascii="Arial" w:eastAsia="Times New Roman" w:hAnsi="Arial" w:cs="Arial"/>
                <w:b/>
                <w:bCs/>
                <w:color w:val="F2F2F2"/>
                <w:sz w:val="24"/>
                <w:szCs w:val="24"/>
              </w:rPr>
              <w:t>összeg</w:t>
            </w:r>
          </w:p>
        </w:tc>
      </w:tr>
      <w:tr w:rsidR="00E3603E" w:rsidRPr="00E3603E" w14:paraId="049243AE" w14:textId="77777777" w:rsidTr="00E3603E">
        <w:trPr>
          <w:trHeight w:val="399"/>
          <w:jc w:val="center"/>
        </w:trPr>
        <w:tc>
          <w:tcPr>
            <w:tcW w:w="52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857984A" w14:textId="77777777" w:rsidR="00E3603E" w:rsidRPr="00E3603E" w:rsidRDefault="00E3603E" w:rsidP="00E3603E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E3603E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üzemanyag értékesítés</w:t>
            </w:r>
          </w:p>
        </w:tc>
        <w:tc>
          <w:tcPr>
            <w:tcW w:w="2368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37A4413" w14:textId="77777777" w:rsidR="00E3603E" w:rsidRPr="00E3603E" w:rsidRDefault="00E3603E" w:rsidP="00E3603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E3603E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216 534 640 Ft</w:t>
            </w:r>
          </w:p>
        </w:tc>
      </w:tr>
      <w:tr w:rsidR="00E3603E" w:rsidRPr="00E3603E" w14:paraId="5C650E7D" w14:textId="77777777" w:rsidTr="00E3603E">
        <w:trPr>
          <w:trHeight w:val="399"/>
          <w:jc w:val="center"/>
        </w:trPr>
        <w:tc>
          <w:tcPr>
            <w:tcW w:w="5248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7A3B1537" w14:textId="77777777" w:rsidR="00E3603E" w:rsidRPr="00E3603E" w:rsidRDefault="00E3603E" w:rsidP="00E3603E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E3603E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repülőtér üzemeltetés</w:t>
            </w:r>
          </w:p>
        </w:tc>
        <w:tc>
          <w:tcPr>
            <w:tcW w:w="2368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47A9E939" w14:textId="77777777" w:rsidR="00E3603E" w:rsidRPr="00E3603E" w:rsidRDefault="00E3603E" w:rsidP="00E3603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E3603E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56 667 487 Ft</w:t>
            </w:r>
          </w:p>
        </w:tc>
      </w:tr>
      <w:tr w:rsidR="00E3603E" w:rsidRPr="00E3603E" w14:paraId="5BAC78B7" w14:textId="77777777" w:rsidTr="00E3603E">
        <w:trPr>
          <w:trHeight w:val="399"/>
          <w:jc w:val="center"/>
        </w:trPr>
        <w:tc>
          <w:tcPr>
            <w:tcW w:w="52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BE9C8FF" w14:textId="77777777" w:rsidR="00E3603E" w:rsidRPr="00E3603E" w:rsidRDefault="00E3603E" w:rsidP="00E3603E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E3603E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repülőgép kiszolgálás</w:t>
            </w:r>
          </w:p>
        </w:tc>
        <w:tc>
          <w:tcPr>
            <w:tcW w:w="2368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2D0B494" w14:textId="77777777" w:rsidR="00E3603E" w:rsidRPr="00E3603E" w:rsidRDefault="00E3603E" w:rsidP="00E3603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E3603E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120 402 853 Ft</w:t>
            </w:r>
          </w:p>
        </w:tc>
      </w:tr>
      <w:tr w:rsidR="00E3603E" w:rsidRPr="00E3603E" w14:paraId="0A88411E" w14:textId="77777777" w:rsidTr="00E3603E">
        <w:trPr>
          <w:trHeight w:val="399"/>
          <w:jc w:val="center"/>
        </w:trPr>
        <w:tc>
          <w:tcPr>
            <w:tcW w:w="5248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029FF45A" w14:textId="77777777" w:rsidR="00E3603E" w:rsidRPr="00E3603E" w:rsidRDefault="00E3603E" w:rsidP="00E3603E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E3603E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bérleti díj bevétel</w:t>
            </w:r>
          </w:p>
        </w:tc>
        <w:tc>
          <w:tcPr>
            <w:tcW w:w="2368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4D6DDB70" w14:textId="77777777" w:rsidR="00E3603E" w:rsidRPr="00E3603E" w:rsidRDefault="00E3603E" w:rsidP="00E3603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E3603E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89 623 565 Ft</w:t>
            </w:r>
          </w:p>
        </w:tc>
      </w:tr>
      <w:tr w:rsidR="00E3603E" w:rsidRPr="00E3603E" w14:paraId="043ED1DA" w14:textId="77777777" w:rsidTr="00E3603E">
        <w:trPr>
          <w:trHeight w:val="399"/>
          <w:jc w:val="center"/>
        </w:trPr>
        <w:tc>
          <w:tcPr>
            <w:tcW w:w="52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836D5D2" w14:textId="77777777" w:rsidR="00E3603E" w:rsidRPr="00E3603E" w:rsidRDefault="00E3603E" w:rsidP="00E3603E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E3603E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 xml:space="preserve">közvetített szolgáltatás </w:t>
            </w:r>
          </w:p>
        </w:tc>
        <w:tc>
          <w:tcPr>
            <w:tcW w:w="2368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AB59C6C" w14:textId="77777777" w:rsidR="00E3603E" w:rsidRPr="00E3603E" w:rsidRDefault="00E3603E" w:rsidP="00E3603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E3603E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3 213 737 Ft</w:t>
            </w:r>
          </w:p>
        </w:tc>
      </w:tr>
      <w:tr w:rsidR="00E3603E" w:rsidRPr="00E3603E" w14:paraId="7DFEEAE8" w14:textId="77777777" w:rsidTr="00E3603E">
        <w:trPr>
          <w:trHeight w:val="399"/>
          <w:jc w:val="center"/>
        </w:trPr>
        <w:tc>
          <w:tcPr>
            <w:tcW w:w="5248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790539E9" w14:textId="77777777" w:rsidR="00E3603E" w:rsidRPr="00E3603E" w:rsidRDefault="00E3603E" w:rsidP="00E3603E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E3603E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továbbszámlázott szolgáltatás</w:t>
            </w:r>
          </w:p>
        </w:tc>
        <w:tc>
          <w:tcPr>
            <w:tcW w:w="2368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588B95CE" w14:textId="77777777" w:rsidR="00E3603E" w:rsidRPr="00E3603E" w:rsidRDefault="00E3603E" w:rsidP="00E3603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E3603E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5 675 153 Ft</w:t>
            </w:r>
          </w:p>
        </w:tc>
      </w:tr>
      <w:tr w:rsidR="00E3603E" w:rsidRPr="00E3603E" w14:paraId="625DB29D" w14:textId="77777777" w:rsidTr="00E3603E">
        <w:trPr>
          <w:trHeight w:val="399"/>
          <w:jc w:val="center"/>
        </w:trPr>
        <w:tc>
          <w:tcPr>
            <w:tcW w:w="52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786B5C6" w14:textId="77777777" w:rsidR="00E3603E" w:rsidRPr="00E3603E" w:rsidRDefault="00E3603E" w:rsidP="00E3603E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E3603E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egyéb értékesítés, szolgáltatásnyújtás</w:t>
            </w:r>
          </w:p>
        </w:tc>
        <w:tc>
          <w:tcPr>
            <w:tcW w:w="2368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5F8518F" w14:textId="77777777" w:rsidR="00E3603E" w:rsidRPr="00E3603E" w:rsidRDefault="00E3603E" w:rsidP="00E3603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E3603E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25 555 604 Ft</w:t>
            </w:r>
          </w:p>
        </w:tc>
      </w:tr>
      <w:tr w:rsidR="00E3603E" w:rsidRPr="00E3603E" w14:paraId="12187DAB" w14:textId="77777777" w:rsidTr="00E3603E">
        <w:trPr>
          <w:trHeight w:val="399"/>
          <w:jc w:val="center"/>
        </w:trPr>
        <w:tc>
          <w:tcPr>
            <w:tcW w:w="5248" w:type="dxa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3F9A1ECE" w14:textId="77777777" w:rsidR="00E3603E" w:rsidRPr="00E3603E" w:rsidRDefault="00E3603E" w:rsidP="00E3603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2F2F2"/>
                <w:sz w:val="24"/>
                <w:szCs w:val="24"/>
              </w:rPr>
            </w:pPr>
            <w:r w:rsidRPr="00E3603E">
              <w:rPr>
                <w:rFonts w:ascii="Arial" w:eastAsia="Times New Roman" w:hAnsi="Arial" w:cs="Arial"/>
                <w:b/>
                <w:bCs/>
                <w:color w:val="F2F2F2"/>
                <w:sz w:val="24"/>
                <w:szCs w:val="24"/>
              </w:rPr>
              <w:t>összesen:</w:t>
            </w:r>
          </w:p>
        </w:tc>
        <w:tc>
          <w:tcPr>
            <w:tcW w:w="2368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169CA2A6" w14:textId="77777777" w:rsidR="00E3603E" w:rsidRPr="00E3603E" w:rsidRDefault="00E3603E" w:rsidP="00E3603E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F2F2F2"/>
                <w:sz w:val="24"/>
                <w:szCs w:val="24"/>
              </w:rPr>
            </w:pPr>
            <w:r w:rsidRPr="00E3603E">
              <w:rPr>
                <w:rFonts w:ascii="Arial" w:eastAsia="Times New Roman" w:hAnsi="Arial" w:cs="Arial"/>
                <w:b/>
                <w:bCs/>
                <w:color w:val="F2F2F2"/>
                <w:sz w:val="24"/>
                <w:szCs w:val="24"/>
              </w:rPr>
              <w:t>517 673 039 Ft</w:t>
            </w:r>
          </w:p>
        </w:tc>
      </w:tr>
    </w:tbl>
    <w:p w14:paraId="295EED0F" w14:textId="77777777" w:rsidR="009F0B6F" w:rsidRDefault="009F0B6F" w:rsidP="004818E4">
      <w:pPr>
        <w:jc w:val="both"/>
        <w:rPr>
          <w:rFonts w:ascii="Calibri" w:hAnsi="Calibri" w:cs="Calibri"/>
          <w:sz w:val="23"/>
          <w:szCs w:val="23"/>
        </w:rPr>
      </w:pPr>
    </w:p>
    <w:p w14:paraId="3C99BAE4" w14:textId="1B9F8038" w:rsidR="00BC2D29" w:rsidRPr="00357B17" w:rsidRDefault="00BC2D29" w:rsidP="004818E4">
      <w:pPr>
        <w:jc w:val="both"/>
        <w:rPr>
          <w:rFonts w:ascii="Calibri" w:hAnsi="Calibri" w:cs="Calibri"/>
          <w:sz w:val="23"/>
          <w:szCs w:val="23"/>
        </w:rPr>
      </w:pPr>
      <w:r w:rsidRPr="00357B17">
        <w:rPr>
          <w:rFonts w:ascii="Calibri" w:hAnsi="Calibri" w:cs="Calibri"/>
          <w:sz w:val="23"/>
          <w:szCs w:val="23"/>
        </w:rPr>
        <w:t>Az értékesítés</w:t>
      </w:r>
      <w:r w:rsidR="008F2FE0" w:rsidRPr="00357B17">
        <w:rPr>
          <w:rFonts w:ascii="Calibri" w:hAnsi="Calibri" w:cs="Calibri"/>
          <w:sz w:val="23"/>
          <w:szCs w:val="23"/>
        </w:rPr>
        <w:t>ből származó nettó</w:t>
      </w:r>
      <w:r w:rsidRPr="00357B17">
        <w:rPr>
          <w:rFonts w:ascii="Calibri" w:hAnsi="Calibri" w:cs="Calibri"/>
          <w:sz w:val="23"/>
          <w:szCs w:val="23"/>
        </w:rPr>
        <w:t xml:space="preserve"> bevételek</w:t>
      </w:r>
      <w:r w:rsidR="00A00576" w:rsidRPr="00357B17">
        <w:rPr>
          <w:rFonts w:ascii="Calibri" w:hAnsi="Calibri" w:cs="Calibri"/>
          <w:sz w:val="23"/>
          <w:szCs w:val="23"/>
        </w:rPr>
        <w:t xml:space="preserve"> </w:t>
      </w:r>
      <w:r w:rsidR="007F2F78" w:rsidRPr="00357B17">
        <w:rPr>
          <w:rFonts w:ascii="Calibri" w:hAnsi="Calibri" w:cs="Calibri"/>
          <w:sz w:val="23"/>
          <w:szCs w:val="23"/>
        </w:rPr>
        <w:t>tárgy</w:t>
      </w:r>
      <w:r w:rsidR="00A00576" w:rsidRPr="00357B17">
        <w:rPr>
          <w:rFonts w:ascii="Calibri" w:hAnsi="Calibri" w:cs="Calibri"/>
          <w:sz w:val="23"/>
          <w:szCs w:val="23"/>
        </w:rPr>
        <w:t>évi</w:t>
      </w:r>
      <w:r w:rsidRPr="00357B17">
        <w:rPr>
          <w:rFonts w:ascii="Calibri" w:hAnsi="Calibri" w:cs="Calibri"/>
          <w:sz w:val="23"/>
          <w:szCs w:val="23"/>
        </w:rPr>
        <w:t xml:space="preserve"> </w:t>
      </w:r>
      <w:r w:rsidR="00EA2E8E" w:rsidRPr="00357B17">
        <w:rPr>
          <w:rFonts w:ascii="Calibri" w:hAnsi="Calibri" w:cs="Calibri"/>
          <w:sz w:val="23"/>
          <w:szCs w:val="23"/>
        </w:rPr>
        <w:t>megoszlása</w:t>
      </w:r>
      <w:r w:rsidR="004818E4">
        <w:rPr>
          <w:rFonts w:ascii="Calibri" w:hAnsi="Calibri" w:cs="Calibri"/>
          <w:sz w:val="23"/>
          <w:szCs w:val="23"/>
        </w:rPr>
        <w:t xml:space="preserve"> is</w:t>
      </w:r>
      <w:r w:rsidR="00EA2E8E" w:rsidRPr="00357B17">
        <w:rPr>
          <w:rFonts w:ascii="Calibri" w:hAnsi="Calibri" w:cs="Calibri"/>
          <w:sz w:val="23"/>
          <w:szCs w:val="23"/>
        </w:rPr>
        <w:t xml:space="preserve"> </w:t>
      </w:r>
      <w:r w:rsidR="00516A28">
        <w:rPr>
          <w:rFonts w:ascii="Calibri" w:hAnsi="Calibri" w:cs="Calibri"/>
          <w:sz w:val="23"/>
          <w:szCs w:val="23"/>
        </w:rPr>
        <w:t xml:space="preserve">jól tükrözi, hogy a Társaság </w:t>
      </w:r>
      <w:r w:rsidR="004818E4">
        <w:rPr>
          <w:rFonts w:ascii="Calibri" w:hAnsi="Calibri" w:cs="Calibri"/>
          <w:sz w:val="23"/>
          <w:szCs w:val="23"/>
        </w:rPr>
        <w:t>értékesítési bevételei között a légiforgalommal összefüggő bevételek jelentős</w:t>
      </w:r>
      <w:r w:rsidR="00751AE3">
        <w:rPr>
          <w:rFonts w:ascii="Calibri" w:hAnsi="Calibri" w:cs="Calibri"/>
          <w:sz w:val="23"/>
          <w:szCs w:val="23"/>
        </w:rPr>
        <w:t xml:space="preserve">, 80%-ot meghaladó arányt képviselnek, </w:t>
      </w:r>
      <w:r w:rsidR="00DF6E99">
        <w:rPr>
          <w:rFonts w:ascii="Calibri" w:hAnsi="Calibri" w:cs="Calibri"/>
          <w:sz w:val="23"/>
          <w:szCs w:val="23"/>
        </w:rPr>
        <w:t xml:space="preserve">így </w:t>
      </w:r>
      <w:r w:rsidR="00751AE3">
        <w:rPr>
          <w:rFonts w:ascii="Calibri" w:hAnsi="Calibri" w:cs="Calibri"/>
          <w:sz w:val="23"/>
          <w:szCs w:val="23"/>
        </w:rPr>
        <w:t xml:space="preserve">annak legkisebb változása is jelentős hatással lehet a Társaság működésére. Ezért </w:t>
      </w:r>
      <w:r w:rsidR="00DF6E99">
        <w:rPr>
          <w:rFonts w:ascii="Calibri" w:hAnsi="Calibri" w:cs="Calibri"/>
          <w:sz w:val="23"/>
          <w:szCs w:val="23"/>
        </w:rPr>
        <w:t xml:space="preserve">is </w:t>
      </w:r>
      <w:r w:rsidR="00751AE3">
        <w:rPr>
          <w:rFonts w:ascii="Calibri" w:hAnsi="Calibri" w:cs="Calibri"/>
          <w:sz w:val="23"/>
          <w:szCs w:val="23"/>
        </w:rPr>
        <w:t>kiemelt jelentőség</w:t>
      </w:r>
      <w:r w:rsidR="00DF6E99">
        <w:rPr>
          <w:rFonts w:ascii="Calibri" w:hAnsi="Calibri" w:cs="Calibri"/>
          <w:sz w:val="23"/>
          <w:szCs w:val="23"/>
        </w:rPr>
        <w:t>ű</w:t>
      </w:r>
      <w:r w:rsidR="00751AE3">
        <w:rPr>
          <w:rFonts w:ascii="Calibri" w:hAnsi="Calibri" w:cs="Calibri"/>
          <w:sz w:val="23"/>
          <w:szCs w:val="23"/>
        </w:rPr>
        <w:t xml:space="preserve"> a légiforgalmi tevékenység zavartalan biztosításához szükséges feltételek rendelkezésre állásának biztosítása, a kapcsolati tőkék kiaknázása és a Társaság jó hírnevének fenntartása.</w:t>
      </w:r>
    </w:p>
    <w:p w14:paraId="4D83F7FA" w14:textId="4A62B3C9" w:rsidR="009F0B6F" w:rsidRDefault="00751AE3" w:rsidP="00751AE3">
      <w:pPr>
        <w:jc w:val="center"/>
        <w:rPr>
          <w:rFonts w:ascii="Calibri" w:hAnsi="Calibri" w:cs="Calibri"/>
          <w:bCs/>
          <w:sz w:val="24"/>
          <w:szCs w:val="24"/>
        </w:rPr>
      </w:pPr>
      <w:r>
        <w:rPr>
          <w:noProof/>
        </w:rPr>
        <w:drawing>
          <wp:inline distT="0" distB="0" distL="0" distR="0" wp14:anchorId="4797F5AB" wp14:editId="6EE39799">
            <wp:extent cx="6057900" cy="3409950"/>
            <wp:effectExtent l="0" t="0" r="0" b="0"/>
            <wp:docPr id="572415682" name="Diagram 1">
              <a:extLst xmlns:a="http://schemas.openxmlformats.org/drawingml/2006/main">
                <a:ext uri="{FF2B5EF4-FFF2-40B4-BE49-F238E27FC236}">
                  <a16:creationId xmlns:a16="http://schemas.microsoft.com/office/drawing/2014/main" id="{95DC536F-E6E4-C834-5BDB-607DE964B88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  <w:r w:rsidR="009F0B6F">
        <w:rPr>
          <w:rFonts w:ascii="Calibri" w:hAnsi="Calibri" w:cs="Calibri"/>
          <w:bCs/>
          <w:sz w:val="24"/>
          <w:szCs w:val="24"/>
        </w:rPr>
        <w:br w:type="page"/>
      </w:r>
    </w:p>
    <w:p w14:paraId="40384D5E" w14:textId="17E298AA" w:rsidR="007F2F78" w:rsidRPr="00357B17" w:rsidRDefault="007F2F78" w:rsidP="00B5534D">
      <w:pPr>
        <w:spacing w:before="360" w:after="120"/>
        <w:jc w:val="both"/>
        <w:rPr>
          <w:rFonts w:ascii="Calibri" w:hAnsi="Calibri" w:cs="Calibri"/>
          <w:bCs/>
          <w:sz w:val="24"/>
          <w:szCs w:val="24"/>
        </w:rPr>
      </w:pPr>
      <w:r w:rsidRPr="00357B17">
        <w:rPr>
          <w:rFonts w:ascii="Calibri" w:hAnsi="Calibri" w:cs="Calibri"/>
          <w:bCs/>
          <w:sz w:val="24"/>
          <w:szCs w:val="24"/>
        </w:rPr>
        <w:lastRenderedPageBreak/>
        <w:t>Az értékesítésből származó nettó árbevétel</w:t>
      </w:r>
      <w:r w:rsidR="00357B17" w:rsidRPr="00357B17">
        <w:rPr>
          <w:rFonts w:ascii="Calibri" w:hAnsi="Calibri" w:cs="Calibri"/>
          <w:bCs/>
          <w:sz w:val="24"/>
          <w:szCs w:val="24"/>
        </w:rPr>
        <w:t>t</w:t>
      </w:r>
      <w:r w:rsidRPr="00357B17">
        <w:rPr>
          <w:rFonts w:ascii="Calibri" w:hAnsi="Calibri" w:cs="Calibri"/>
          <w:bCs/>
          <w:sz w:val="24"/>
          <w:szCs w:val="24"/>
        </w:rPr>
        <w:t xml:space="preserve"> értékel</w:t>
      </w:r>
      <w:r w:rsidR="00357B17" w:rsidRPr="00357B17">
        <w:rPr>
          <w:rFonts w:ascii="Calibri" w:hAnsi="Calibri" w:cs="Calibri"/>
          <w:bCs/>
          <w:sz w:val="24"/>
          <w:szCs w:val="24"/>
        </w:rPr>
        <w:t>ni, és azokból következtetést levonni</w:t>
      </w:r>
      <w:r w:rsidRPr="00357B17">
        <w:rPr>
          <w:rFonts w:ascii="Calibri" w:hAnsi="Calibri" w:cs="Calibri"/>
          <w:bCs/>
          <w:sz w:val="24"/>
          <w:szCs w:val="24"/>
        </w:rPr>
        <w:t xml:space="preserve"> </w:t>
      </w:r>
      <w:r w:rsidR="00357B17" w:rsidRPr="00357B17">
        <w:rPr>
          <w:rFonts w:ascii="Calibri" w:hAnsi="Calibri" w:cs="Calibri"/>
          <w:bCs/>
          <w:sz w:val="24"/>
          <w:szCs w:val="24"/>
        </w:rPr>
        <w:t>az eladott áruk és nyújtott szolgáltatások beszerzési értékének figyelembevételével célszerű, hisz ez mutatja meg a</w:t>
      </w:r>
      <w:r w:rsidR="006E39D4">
        <w:rPr>
          <w:rFonts w:ascii="Calibri" w:hAnsi="Calibri" w:cs="Calibri"/>
          <w:bCs/>
          <w:sz w:val="24"/>
          <w:szCs w:val="24"/>
        </w:rPr>
        <w:t xml:space="preserve">z árbevétel </w:t>
      </w:r>
      <w:r w:rsidR="00357B17" w:rsidRPr="00357B17">
        <w:rPr>
          <w:rFonts w:ascii="Calibri" w:hAnsi="Calibri" w:cs="Calibri"/>
          <w:bCs/>
          <w:sz w:val="24"/>
          <w:szCs w:val="24"/>
        </w:rPr>
        <w:t xml:space="preserve">tényleges arányát a Társasági bevételek között. Az előzőek szerint korrigált bevételeket a következő ábra szemlélteti és az egyes kategóriák értékelése ennek </w:t>
      </w:r>
      <w:r w:rsidR="00357B17">
        <w:rPr>
          <w:rFonts w:ascii="Calibri" w:hAnsi="Calibri" w:cs="Calibri"/>
          <w:bCs/>
          <w:sz w:val="24"/>
          <w:szCs w:val="24"/>
        </w:rPr>
        <w:t>figyelembevételével</w:t>
      </w:r>
      <w:r w:rsidR="00357B17" w:rsidRPr="00357B17">
        <w:rPr>
          <w:rFonts w:ascii="Calibri" w:hAnsi="Calibri" w:cs="Calibri"/>
          <w:bCs/>
          <w:sz w:val="24"/>
          <w:szCs w:val="24"/>
        </w:rPr>
        <w:t xml:space="preserve"> történik:</w:t>
      </w:r>
    </w:p>
    <w:p w14:paraId="3E6B6B74" w14:textId="63FFCCC3" w:rsidR="00357B17" w:rsidRPr="007F2F78" w:rsidRDefault="00751AE3" w:rsidP="00751AE3">
      <w:pPr>
        <w:spacing w:before="360" w:after="120"/>
        <w:rPr>
          <w:rFonts w:ascii="Calibri" w:hAnsi="Calibri" w:cs="Calibri"/>
          <w:bCs/>
          <w:sz w:val="24"/>
          <w:szCs w:val="24"/>
          <w:highlight w:val="yellow"/>
        </w:rPr>
      </w:pPr>
      <w:r>
        <w:rPr>
          <w:noProof/>
        </w:rPr>
        <w:drawing>
          <wp:inline distT="0" distB="0" distL="0" distR="0" wp14:anchorId="675F4F1F" wp14:editId="66A9FBB0">
            <wp:extent cx="6238875" cy="6096000"/>
            <wp:effectExtent l="0" t="0" r="9525" b="0"/>
            <wp:docPr id="1969283555" name="Diagram 1">
              <a:extLst xmlns:a="http://schemas.openxmlformats.org/drawingml/2006/main">
                <a:ext uri="{FF2B5EF4-FFF2-40B4-BE49-F238E27FC236}">
                  <a16:creationId xmlns:a16="http://schemas.microsoft.com/office/drawing/2014/main" id="{BBB0B4B1-5D3E-EC6D-F75B-ADD9050F320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14:paraId="63B31EFD" w14:textId="10F85284" w:rsidR="00272C5C" w:rsidRPr="000E62BC" w:rsidRDefault="00FF26EF" w:rsidP="00B5534D">
      <w:pPr>
        <w:spacing w:before="360" w:after="120"/>
        <w:jc w:val="both"/>
        <w:rPr>
          <w:rFonts w:ascii="Calibri" w:hAnsi="Calibri" w:cs="Calibri"/>
          <w:b/>
          <w:sz w:val="24"/>
          <w:szCs w:val="24"/>
        </w:rPr>
      </w:pPr>
      <w:r w:rsidRPr="000E62BC">
        <w:rPr>
          <w:rFonts w:ascii="Calibri" w:hAnsi="Calibri" w:cs="Calibri"/>
          <w:b/>
          <w:sz w:val="24"/>
          <w:szCs w:val="24"/>
        </w:rPr>
        <w:t>Ü</w:t>
      </w:r>
      <w:r w:rsidR="00272C5C" w:rsidRPr="000E62BC">
        <w:rPr>
          <w:rFonts w:ascii="Calibri" w:hAnsi="Calibri" w:cs="Calibri"/>
          <w:b/>
          <w:sz w:val="24"/>
          <w:szCs w:val="24"/>
        </w:rPr>
        <w:t xml:space="preserve">zemanyag </w:t>
      </w:r>
      <w:r w:rsidR="007F2F78" w:rsidRPr="000E62BC">
        <w:rPr>
          <w:rFonts w:ascii="Calibri" w:hAnsi="Calibri" w:cs="Calibri"/>
          <w:b/>
          <w:sz w:val="24"/>
          <w:szCs w:val="24"/>
        </w:rPr>
        <w:t>értékesítés</w:t>
      </w:r>
    </w:p>
    <w:p w14:paraId="2C96A63A" w14:textId="79F61184" w:rsidR="000E62BC" w:rsidRDefault="00272C5C" w:rsidP="008F2FE0">
      <w:pPr>
        <w:spacing w:before="120" w:after="120"/>
        <w:jc w:val="both"/>
        <w:rPr>
          <w:rFonts w:ascii="Calibri" w:hAnsi="Calibri" w:cs="Calibri"/>
          <w:sz w:val="23"/>
          <w:szCs w:val="23"/>
        </w:rPr>
      </w:pPr>
      <w:r w:rsidRPr="000E62BC">
        <w:rPr>
          <w:rFonts w:ascii="Calibri" w:hAnsi="Calibri" w:cs="Calibri"/>
          <w:sz w:val="23"/>
          <w:szCs w:val="23"/>
        </w:rPr>
        <w:t xml:space="preserve">A repülőtér üzemanyag </w:t>
      </w:r>
      <w:r w:rsidR="005979C0" w:rsidRPr="000E62BC">
        <w:rPr>
          <w:rFonts w:ascii="Calibri" w:hAnsi="Calibri" w:cs="Calibri"/>
          <w:sz w:val="23"/>
          <w:szCs w:val="23"/>
        </w:rPr>
        <w:t xml:space="preserve">értékesítésének mennyisége </w:t>
      </w:r>
      <w:r w:rsidR="00986495" w:rsidRPr="000E62BC">
        <w:rPr>
          <w:rFonts w:ascii="Calibri" w:hAnsi="Calibri" w:cs="Calibri"/>
          <w:sz w:val="23"/>
          <w:szCs w:val="23"/>
        </w:rPr>
        <w:t>2023.</w:t>
      </w:r>
      <w:r w:rsidR="00A309E3">
        <w:rPr>
          <w:rFonts w:ascii="Calibri" w:hAnsi="Calibri" w:cs="Calibri"/>
          <w:sz w:val="23"/>
          <w:szCs w:val="23"/>
        </w:rPr>
        <w:t xml:space="preserve"> év</w:t>
      </w:r>
      <w:r w:rsidR="005979C0" w:rsidRPr="000E62BC">
        <w:rPr>
          <w:rFonts w:ascii="Calibri" w:hAnsi="Calibri" w:cs="Calibri"/>
          <w:sz w:val="23"/>
          <w:szCs w:val="23"/>
        </w:rPr>
        <w:t xml:space="preserve">hez képest </w:t>
      </w:r>
      <w:r w:rsidR="00A309E3">
        <w:rPr>
          <w:rFonts w:ascii="Calibri" w:hAnsi="Calibri" w:cs="Calibri"/>
          <w:sz w:val="23"/>
          <w:szCs w:val="23"/>
        </w:rPr>
        <w:t>159,7</w:t>
      </w:r>
      <w:r w:rsidR="005979C0" w:rsidRPr="000E62BC">
        <w:rPr>
          <w:rFonts w:ascii="Calibri" w:hAnsi="Calibri" w:cs="Calibri"/>
          <w:sz w:val="23"/>
          <w:szCs w:val="23"/>
        </w:rPr>
        <w:t>%-kal</w:t>
      </w:r>
      <w:r w:rsidR="00042C0B" w:rsidRPr="000E62BC">
        <w:rPr>
          <w:rFonts w:ascii="Calibri" w:hAnsi="Calibri" w:cs="Calibri"/>
          <w:sz w:val="23"/>
          <w:szCs w:val="23"/>
        </w:rPr>
        <w:t xml:space="preserve"> </w:t>
      </w:r>
      <w:r w:rsidR="00A309E3">
        <w:rPr>
          <w:rFonts w:ascii="Calibri" w:hAnsi="Calibri" w:cs="Calibri"/>
          <w:sz w:val="23"/>
          <w:szCs w:val="23"/>
        </w:rPr>
        <w:t>nőtt.</w:t>
      </w:r>
      <w:r w:rsidR="00042C0B" w:rsidRPr="000E62BC">
        <w:rPr>
          <w:rFonts w:ascii="Calibri" w:hAnsi="Calibri" w:cs="Calibri"/>
          <w:sz w:val="23"/>
          <w:szCs w:val="23"/>
        </w:rPr>
        <w:t xml:space="preserve"> A</w:t>
      </w:r>
      <w:r w:rsidR="005979C0" w:rsidRPr="000E62BC">
        <w:rPr>
          <w:rFonts w:ascii="Calibri" w:hAnsi="Calibri" w:cs="Calibri"/>
          <w:sz w:val="23"/>
          <w:szCs w:val="23"/>
        </w:rPr>
        <w:t xml:space="preserve"> hozzá tartozó értékesítés nettó bevétele </w:t>
      </w:r>
      <w:r w:rsidR="008D4962">
        <w:rPr>
          <w:rFonts w:ascii="Calibri" w:hAnsi="Calibri" w:cs="Calibri"/>
          <w:sz w:val="23"/>
          <w:szCs w:val="23"/>
        </w:rPr>
        <w:t>123,9</w:t>
      </w:r>
      <w:r w:rsidR="005979C0" w:rsidRPr="000E62BC">
        <w:rPr>
          <w:rFonts w:ascii="Calibri" w:hAnsi="Calibri" w:cs="Calibri"/>
          <w:sz w:val="23"/>
          <w:szCs w:val="23"/>
        </w:rPr>
        <w:t>%-kal</w:t>
      </w:r>
      <w:r w:rsidR="00042C0B" w:rsidRPr="000E62BC">
        <w:rPr>
          <w:rFonts w:ascii="Calibri" w:hAnsi="Calibri" w:cs="Calibri"/>
          <w:sz w:val="23"/>
          <w:szCs w:val="23"/>
        </w:rPr>
        <w:t xml:space="preserve">, a korrigált nettó bevétel </w:t>
      </w:r>
      <w:r w:rsidR="008D4962">
        <w:rPr>
          <w:rFonts w:ascii="Calibri" w:hAnsi="Calibri" w:cs="Calibri"/>
          <w:sz w:val="23"/>
          <w:szCs w:val="23"/>
        </w:rPr>
        <w:t xml:space="preserve">50,9 </w:t>
      </w:r>
      <w:r w:rsidR="00042C0B" w:rsidRPr="000E62BC">
        <w:rPr>
          <w:rFonts w:ascii="Calibri" w:hAnsi="Calibri" w:cs="Calibri"/>
          <w:sz w:val="23"/>
          <w:szCs w:val="23"/>
        </w:rPr>
        <w:t xml:space="preserve">%-kal </w:t>
      </w:r>
      <w:r w:rsidR="008D4962">
        <w:rPr>
          <w:rFonts w:ascii="Calibri" w:hAnsi="Calibri" w:cs="Calibri"/>
          <w:sz w:val="23"/>
          <w:szCs w:val="23"/>
        </w:rPr>
        <w:t>magasabb</w:t>
      </w:r>
      <w:r w:rsidR="00042C0B" w:rsidRPr="000E62BC">
        <w:rPr>
          <w:rFonts w:ascii="Calibri" w:hAnsi="Calibri" w:cs="Calibri"/>
          <w:sz w:val="23"/>
          <w:szCs w:val="23"/>
        </w:rPr>
        <w:t xml:space="preserve"> szinten teljesült az </w:t>
      </w:r>
      <w:r w:rsidR="008D4962">
        <w:rPr>
          <w:rFonts w:ascii="Calibri" w:hAnsi="Calibri" w:cs="Calibri"/>
          <w:sz w:val="23"/>
          <w:szCs w:val="23"/>
        </w:rPr>
        <w:t>előző évhez</w:t>
      </w:r>
      <w:r w:rsidR="00042C0B" w:rsidRPr="000E62BC">
        <w:rPr>
          <w:rFonts w:ascii="Calibri" w:hAnsi="Calibri" w:cs="Calibri"/>
          <w:sz w:val="23"/>
          <w:szCs w:val="23"/>
        </w:rPr>
        <w:t xml:space="preserve"> képest. A </w:t>
      </w:r>
      <w:r w:rsidR="008D4962">
        <w:rPr>
          <w:rFonts w:ascii="Calibri" w:hAnsi="Calibri" w:cs="Calibri"/>
          <w:sz w:val="23"/>
          <w:szCs w:val="23"/>
        </w:rPr>
        <w:t>nettó árbevétel növekedés</w:t>
      </w:r>
      <w:r w:rsidR="006E39D4">
        <w:rPr>
          <w:rFonts w:ascii="Calibri" w:hAnsi="Calibri" w:cs="Calibri"/>
          <w:sz w:val="23"/>
          <w:szCs w:val="23"/>
        </w:rPr>
        <w:t>ére több tényező volt hatással:</w:t>
      </w:r>
      <w:r w:rsidR="008D4962">
        <w:rPr>
          <w:rFonts w:ascii="Calibri" w:hAnsi="Calibri" w:cs="Calibri"/>
          <w:sz w:val="23"/>
          <w:szCs w:val="23"/>
        </w:rPr>
        <w:t xml:space="preserve"> </w:t>
      </w:r>
      <w:r w:rsidR="003F1218" w:rsidRPr="000E62BC">
        <w:rPr>
          <w:rFonts w:ascii="Calibri" w:hAnsi="Calibri" w:cs="Calibri"/>
          <w:sz w:val="23"/>
          <w:szCs w:val="23"/>
        </w:rPr>
        <w:t>a beszerzett üzemanya</w:t>
      </w:r>
      <w:r w:rsidR="000E62BC" w:rsidRPr="000E62BC">
        <w:rPr>
          <w:rFonts w:ascii="Calibri" w:hAnsi="Calibri" w:cs="Calibri"/>
          <w:sz w:val="23"/>
          <w:szCs w:val="23"/>
        </w:rPr>
        <w:t>gok</w:t>
      </w:r>
      <w:r w:rsidR="003F1218" w:rsidRPr="000E62BC">
        <w:rPr>
          <w:rFonts w:ascii="Calibri" w:hAnsi="Calibri" w:cs="Calibri"/>
          <w:sz w:val="23"/>
          <w:szCs w:val="23"/>
        </w:rPr>
        <w:t xml:space="preserve"> vonatkozásában</w:t>
      </w:r>
      <w:r w:rsidR="000E62BC" w:rsidRPr="000E62BC">
        <w:rPr>
          <w:rFonts w:ascii="Calibri" w:hAnsi="Calibri" w:cs="Calibri"/>
          <w:sz w:val="23"/>
          <w:szCs w:val="23"/>
        </w:rPr>
        <w:t xml:space="preserve"> egyrészt</w:t>
      </w:r>
      <w:r w:rsidR="003F1218" w:rsidRPr="000E62BC">
        <w:rPr>
          <w:rFonts w:ascii="Calibri" w:hAnsi="Calibri" w:cs="Calibri"/>
          <w:sz w:val="23"/>
          <w:szCs w:val="23"/>
        </w:rPr>
        <w:t xml:space="preserve"> a</w:t>
      </w:r>
      <w:r w:rsidRPr="000E62BC">
        <w:rPr>
          <w:rFonts w:ascii="Calibri" w:hAnsi="Calibri" w:cs="Calibri"/>
          <w:sz w:val="23"/>
          <w:szCs w:val="23"/>
        </w:rPr>
        <w:t xml:space="preserve"> </w:t>
      </w:r>
      <w:r w:rsidR="003F1218" w:rsidRPr="000E62BC">
        <w:rPr>
          <w:rFonts w:ascii="Calibri" w:hAnsi="Calibri" w:cs="Calibri"/>
          <w:sz w:val="23"/>
          <w:szCs w:val="23"/>
        </w:rPr>
        <w:t>devizaárfolyamok, másrészt az üzemanyag</w:t>
      </w:r>
      <w:r w:rsidR="000E62BC" w:rsidRPr="000E62BC">
        <w:rPr>
          <w:rFonts w:ascii="Calibri" w:hAnsi="Calibri" w:cs="Calibri"/>
          <w:sz w:val="23"/>
          <w:szCs w:val="23"/>
        </w:rPr>
        <w:t>ok beszerzési árá</w:t>
      </w:r>
      <w:r w:rsidR="008D4962">
        <w:rPr>
          <w:rFonts w:ascii="Calibri" w:hAnsi="Calibri" w:cs="Calibri"/>
          <w:sz w:val="23"/>
          <w:szCs w:val="23"/>
        </w:rPr>
        <w:t xml:space="preserve">ban foglalt értékesítői felár, továbbá a Társaság által alkalmazott felár növekedése </w:t>
      </w:r>
      <w:r w:rsidR="000E62BC" w:rsidRPr="000E62BC">
        <w:rPr>
          <w:rFonts w:ascii="Calibri" w:hAnsi="Calibri" w:cs="Calibri"/>
          <w:sz w:val="23"/>
          <w:szCs w:val="23"/>
        </w:rPr>
        <w:t xml:space="preserve">együttesen eredményezte. </w:t>
      </w:r>
    </w:p>
    <w:p w14:paraId="583C8A3B" w14:textId="77777777" w:rsidR="008416AC" w:rsidRDefault="000E62BC" w:rsidP="008F2FE0">
      <w:pPr>
        <w:spacing w:before="120" w:after="120"/>
        <w:jc w:val="both"/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sz w:val="23"/>
          <w:szCs w:val="23"/>
        </w:rPr>
        <w:lastRenderedPageBreak/>
        <w:t xml:space="preserve">A lenti ábra </w:t>
      </w:r>
      <w:r w:rsidR="00986495">
        <w:rPr>
          <w:rFonts w:ascii="Calibri" w:hAnsi="Calibri" w:cs="Calibri"/>
          <w:sz w:val="23"/>
          <w:szCs w:val="23"/>
        </w:rPr>
        <w:t>mutatja</w:t>
      </w:r>
      <w:r>
        <w:rPr>
          <w:rFonts w:ascii="Calibri" w:hAnsi="Calibri" w:cs="Calibri"/>
          <w:sz w:val="23"/>
          <w:szCs w:val="23"/>
        </w:rPr>
        <w:t xml:space="preserve">, hogy a repülőbenzin értékesített mennyisége </w:t>
      </w:r>
      <w:r w:rsidR="00986495">
        <w:rPr>
          <w:rFonts w:ascii="Calibri" w:hAnsi="Calibri" w:cs="Calibri"/>
          <w:sz w:val="23"/>
          <w:szCs w:val="23"/>
        </w:rPr>
        <w:t xml:space="preserve">az elmúlt évhez képest jelentősen nem változott, </w:t>
      </w:r>
      <w:r>
        <w:rPr>
          <w:rFonts w:ascii="Calibri" w:hAnsi="Calibri" w:cs="Calibri"/>
          <w:sz w:val="23"/>
          <w:szCs w:val="23"/>
        </w:rPr>
        <w:t>a</w:t>
      </w:r>
      <w:r w:rsidR="00986495">
        <w:rPr>
          <w:rFonts w:ascii="Calibri" w:hAnsi="Calibri" w:cs="Calibri"/>
          <w:sz w:val="23"/>
          <w:szCs w:val="23"/>
        </w:rPr>
        <w:t>z üzemanyag</w:t>
      </w:r>
      <w:r w:rsidR="008416AC">
        <w:rPr>
          <w:rFonts w:ascii="Calibri" w:hAnsi="Calibri" w:cs="Calibri"/>
          <w:sz w:val="23"/>
          <w:szCs w:val="23"/>
        </w:rPr>
        <w:t xml:space="preserve"> értékesítése a</w:t>
      </w:r>
      <w:r>
        <w:rPr>
          <w:rFonts w:ascii="Calibri" w:hAnsi="Calibri" w:cs="Calibri"/>
          <w:sz w:val="23"/>
          <w:szCs w:val="23"/>
        </w:rPr>
        <w:t xml:space="preserve"> Schengeni övezet </w:t>
      </w:r>
      <w:r w:rsidR="006B75B9">
        <w:rPr>
          <w:rFonts w:ascii="Calibri" w:hAnsi="Calibri" w:cs="Calibri"/>
          <w:sz w:val="23"/>
          <w:szCs w:val="23"/>
        </w:rPr>
        <w:t xml:space="preserve">Horvátországgal történt </w:t>
      </w:r>
      <w:r>
        <w:rPr>
          <w:rFonts w:ascii="Calibri" w:hAnsi="Calibri" w:cs="Calibri"/>
          <w:sz w:val="23"/>
          <w:szCs w:val="23"/>
        </w:rPr>
        <w:t>bővítés</w:t>
      </w:r>
      <w:r w:rsidR="008416AC">
        <w:rPr>
          <w:rFonts w:ascii="Calibri" w:hAnsi="Calibri" w:cs="Calibri"/>
          <w:sz w:val="23"/>
          <w:szCs w:val="23"/>
        </w:rPr>
        <w:t>ét követően jelentősen visszaesett</w:t>
      </w:r>
      <w:r>
        <w:rPr>
          <w:rFonts w:ascii="Calibri" w:hAnsi="Calibri" w:cs="Calibri"/>
          <w:sz w:val="23"/>
          <w:szCs w:val="23"/>
        </w:rPr>
        <w:t xml:space="preserve">, hisz </w:t>
      </w:r>
      <w:r w:rsidR="00F86B9E">
        <w:rPr>
          <w:rFonts w:ascii="Calibri" w:hAnsi="Calibri" w:cs="Calibri"/>
          <w:sz w:val="23"/>
          <w:szCs w:val="23"/>
        </w:rPr>
        <w:t>ez</w:t>
      </w:r>
      <w:r>
        <w:rPr>
          <w:rFonts w:ascii="Calibri" w:hAnsi="Calibri" w:cs="Calibri"/>
          <w:sz w:val="23"/>
          <w:szCs w:val="23"/>
        </w:rPr>
        <w:t xml:space="preserve"> elsősorban a Társaság ún. kisgépes forgalm</w:t>
      </w:r>
      <w:r w:rsidR="00F86B9E">
        <w:rPr>
          <w:rFonts w:ascii="Calibri" w:hAnsi="Calibri" w:cs="Calibri"/>
          <w:sz w:val="23"/>
          <w:szCs w:val="23"/>
        </w:rPr>
        <w:t xml:space="preserve">ának </w:t>
      </w:r>
      <w:r w:rsidR="00F86B9E" w:rsidRPr="00F86B9E">
        <w:rPr>
          <w:rFonts w:ascii="Calibri" w:hAnsi="Calibri" w:cs="Calibri"/>
          <w:i/>
          <w:iCs/>
          <w:sz w:val="23"/>
          <w:szCs w:val="23"/>
        </w:rPr>
        <w:t>-amelyhez a repülőbenzin értékesítés elsődlegesen kapcsolható-</w:t>
      </w:r>
      <w:r>
        <w:rPr>
          <w:rFonts w:ascii="Calibri" w:hAnsi="Calibri" w:cs="Calibri"/>
          <w:sz w:val="23"/>
          <w:szCs w:val="23"/>
        </w:rPr>
        <w:t xml:space="preserve"> csökkenését </w:t>
      </w:r>
      <w:r w:rsidR="00F86B9E">
        <w:rPr>
          <w:rFonts w:ascii="Calibri" w:hAnsi="Calibri" w:cs="Calibri"/>
          <w:sz w:val="23"/>
          <w:szCs w:val="23"/>
        </w:rPr>
        <w:t>eredményezte</w:t>
      </w:r>
      <w:r>
        <w:rPr>
          <w:rFonts w:ascii="Calibri" w:hAnsi="Calibri" w:cs="Calibri"/>
          <w:sz w:val="23"/>
          <w:szCs w:val="23"/>
        </w:rPr>
        <w:t>.</w:t>
      </w:r>
      <w:r w:rsidR="00FD4802">
        <w:rPr>
          <w:rFonts w:ascii="Calibri" w:hAnsi="Calibri" w:cs="Calibri"/>
          <w:sz w:val="23"/>
          <w:szCs w:val="23"/>
        </w:rPr>
        <w:t xml:space="preserve"> </w:t>
      </w:r>
    </w:p>
    <w:p w14:paraId="5BCC2BD7" w14:textId="0A9EB0D9" w:rsidR="000E62BC" w:rsidRPr="000E62BC" w:rsidRDefault="00FD4802" w:rsidP="008F2FE0">
      <w:pPr>
        <w:spacing w:before="120" w:after="120"/>
        <w:jc w:val="both"/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sz w:val="23"/>
          <w:szCs w:val="23"/>
        </w:rPr>
        <w:t>A</w:t>
      </w:r>
      <w:r w:rsidR="00B65475">
        <w:rPr>
          <w:rFonts w:ascii="Calibri" w:hAnsi="Calibri" w:cs="Calibri"/>
          <w:sz w:val="23"/>
          <w:szCs w:val="23"/>
        </w:rPr>
        <w:t xml:space="preserve"> </w:t>
      </w:r>
      <w:r>
        <w:rPr>
          <w:rFonts w:ascii="Calibri" w:hAnsi="Calibri" w:cs="Calibri"/>
          <w:sz w:val="23"/>
          <w:szCs w:val="23"/>
        </w:rPr>
        <w:t>kerozin értékesítés</w:t>
      </w:r>
      <w:r w:rsidR="008416AC">
        <w:rPr>
          <w:rFonts w:ascii="Calibri" w:hAnsi="Calibri" w:cs="Calibri"/>
          <w:sz w:val="23"/>
          <w:szCs w:val="23"/>
        </w:rPr>
        <w:t xml:space="preserve"> mennyiségének</w:t>
      </w:r>
      <w:r>
        <w:rPr>
          <w:rFonts w:ascii="Calibri" w:hAnsi="Calibri" w:cs="Calibri"/>
          <w:sz w:val="23"/>
          <w:szCs w:val="23"/>
        </w:rPr>
        <w:t xml:space="preserve"> </w:t>
      </w:r>
      <w:r w:rsidR="008416AC">
        <w:rPr>
          <w:rFonts w:ascii="Calibri" w:hAnsi="Calibri" w:cs="Calibri"/>
          <w:sz w:val="23"/>
          <w:szCs w:val="23"/>
        </w:rPr>
        <w:t>jelentős növekedése</w:t>
      </w:r>
      <w:r>
        <w:rPr>
          <w:rFonts w:ascii="Calibri" w:hAnsi="Calibri" w:cs="Calibri"/>
          <w:sz w:val="23"/>
          <w:szCs w:val="23"/>
        </w:rPr>
        <w:t xml:space="preserve"> </w:t>
      </w:r>
      <w:r w:rsidR="008416AC">
        <w:rPr>
          <w:rFonts w:ascii="Calibri" w:hAnsi="Calibri" w:cs="Calibri"/>
          <w:sz w:val="23"/>
          <w:szCs w:val="23"/>
        </w:rPr>
        <w:t>egyértelműen hozzárendelhető a 2024. szeptemberében meginduló légi áruszállítás</w:t>
      </w:r>
      <w:r w:rsidR="0055546D">
        <w:rPr>
          <w:rFonts w:ascii="Calibri" w:hAnsi="Calibri" w:cs="Calibri"/>
          <w:sz w:val="23"/>
          <w:szCs w:val="23"/>
        </w:rPr>
        <w:t>hoz tartozó kiszolgálási tevékenységhez.</w:t>
      </w:r>
    </w:p>
    <w:p w14:paraId="79676696" w14:textId="6C0E9490" w:rsidR="000E62BC" w:rsidRDefault="000E62BC" w:rsidP="008F2FE0">
      <w:pPr>
        <w:spacing w:before="120" w:after="120"/>
        <w:jc w:val="both"/>
        <w:rPr>
          <w:rFonts w:ascii="Calibri" w:hAnsi="Calibri" w:cs="Calibri"/>
          <w:sz w:val="23"/>
          <w:szCs w:val="23"/>
        </w:rPr>
      </w:pPr>
      <w:r w:rsidRPr="000E62BC">
        <w:rPr>
          <w:rFonts w:ascii="Calibri" w:hAnsi="Calibri" w:cs="Calibri"/>
          <w:sz w:val="23"/>
          <w:szCs w:val="23"/>
        </w:rPr>
        <w:t>Az üzemanyag értékesítés nettó árbevétele 202</w:t>
      </w:r>
      <w:r w:rsidR="0055546D">
        <w:rPr>
          <w:rFonts w:ascii="Calibri" w:hAnsi="Calibri" w:cs="Calibri"/>
          <w:sz w:val="23"/>
          <w:szCs w:val="23"/>
        </w:rPr>
        <w:t>4</w:t>
      </w:r>
      <w:r w:rsidRPr="000E62BC">
        <w:rPr>
          <w:rFonts w:ascii="Calibri" w:hAnsi="Calibri" w:cs="Calibri"/>
          <w:sz w:val="23"/>
          <w:szCs w:val="23"/>
        </w:rPr>
        <w:t xml:space="preserve">. évben: </w:t>
      </w:r>
      <w:r w:rsidR="00BB67B2">
        <w:rPr>
          <w:rFonts w:ascii="Calibri" w:hAnsi="Calibri" w:cs="Calibri"/>
          <w:sz w:val="23"/>
          <w:szCs w:val="23"/>
        </w:rPr>
        <w:t>216,5</w:t>
      </w:r>
      <w:r w:rsidRPr="000E62BC">
        <w:rPr>
          <w:rFonts w:ascii="Calibri" w:hAnsi="Calibri" w:cs="Calibri"/>
          <w:sz w:val="23"/>
          <w:szCs w:val="23"/>
        </w:rPr>
        <w:t xml:space="preserve"> millió Ft, a beszerzett áru értékével korrigált árbevétel </w:t>
      </w:r>
      <w:r w:rsidR="00BB67B2">
        <w:rPr>
          <w:rFonts w:ascii="Calibri" w:hAnsi="Calibri" w:cs="Calibri"/>
          <w:sz w:val="23"/>
          <w:szCs w:val="23"/>
        </w:rPr>
        <w:t>(fedezet) 26,9</w:t>
      </w:r>
      <w:r w:rsidRPr="000E62BC">
        <w:rPr>
          <w:rFonts w:ascii="Calibri" w:hAnsi="Calibri" w:cs="Calibri"/>
          <w:sz w:val="23"/>
          <w:szCs w:val="23"/>
        </w:rPr>
        <w:t xml:space="preserve"> millió Ft.</w:t>
      </w:r>
    </w:p>
    <w:p w14:paraId="33D3E8E4" w14:textId="362B6F2A" w:rsidR="008D4962" w:rsidRDefault="008D4962" w:rsidP="008F2FE0">
      <w:pPr>
        <w:spacing w:before="120" w:after="120"/>
        <w:jc w:val="both"/>
        <w:rPr>
          <w:rFonts w:ascii="Calibri" w:hAnsi="Calibri" w:cs="Calibri"/>
          <w:sz w:val="23"/>
          <w:szCs w:val="23"/>
        </w:rPr>
      </w:pPr>
      <w:r>
        <w:rPr>
          <w:noProof/>
        </w:rPr>
        <w:drawing>
          <wp:inline distT="0" distB="0" distL="0" distR="0" wp14:anchorId="3B547F97" wp14:editId="0961C0B5">
            <wp:extent cx="6120130" cy="3035935"/>
            <wp:effectExtent l="0" t="0" r="13970" b="12065"/>
            <wp:docPr id="203239460" name="Diagram 1">
              <a:extLst xmlns:a="http://schemas.openxmlformats.org/drawingml/2006/main">
                <a:ext uri="{FF2B5EF4-FFF2-40B4-BE49-F238E27FC236}">
                  <a16:creationId xmlns:a16="http://schemas.microsoft.com/office/drawing/2014/main" id="{65898AEE-EF2D-82FC-E084-F09247A15EDE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14:paraId="5CAD71D9" w14:textId="09C79A60" w:rsidR="002D4968" w:rsidRPr="00460452" w:rsidRDefault="004F1D3E" w:rsidP="00B5534D">
      <w:pPr>
        <w:spacing w:before="360" w:after="120"/>
        <w:jc w:val="both"/>
        <w:rPr>
          <w:rFonts w:ascii="Calibri" w:hAnsi="Calibri" w:cs="Calibri"/>
          <w:sz w:val="24"/>
          <w:szCs w:val="24"/>
        </w:rPr>
      </w:pPr>
      <w:r w:rsidRPr="00460452">
        <w:rPr>
          <w:rFonts w:ascii="Calibri" w:hAnsi="Calibri" w:cs="Calibri"/>
          <w:b/>
          <w:bCs/>
          <w:sz w:val="24"/>
          <w:szCs w:val="24"/>
        </w:rPr>
        <w:t>Repüléshez közvetlenül kötődő</w:t>
      </w:r>
      <w:r w:rsidR="00160F97" w:rsidRPr="00460452">
        <w:rPr>
          <w:rFonts w:ascii="Calibri" w:hAnsi="Calibri" w:cs="Calibri"/>
          <w:b/>
          <w:bCs/>
          <w:sz w:val="24"/>
          <w:szCs w:val="24"/>
        </w:rPr>
        <w:t>, légiforgalomból származó</w:t>
      </w:r>
      <w:r w:rsidRPr="00460452">
        <w:rPr>
          <w:rFonts w:ascii="Calibri" w:hAnsi="Calibri" w:cs="Calibri"/>
          <w:b/>
          <w:bCs/>
          <w:sz w:val="24"/>
          <w:szCs w:val="24"/>
        </w:rPr>
        <w:t xml:space="preserve"> bevételek</w:t>
      </w:r>
    </w:p>
    <w:p w14:paraId="6478334D" w14:textId="0D4EA107" w:rsidR="002343A5" w:rsidRPr="00DC2B76" w:rsidRDefault="0053009F" w:rsidP="00EF122A">
      <w:pPr>
        <w:spacing w:before="120" w:after="120"/>
        <w:jc w:val="both"/>
        <w:rPr>
          <w:rFonts w:ascii="Calibri" w:hAnsi="Calibri" w:cs="Calibri"/>
          <w:sz w:val="23"/>
          <w:szCs w:val="23"/>
        </w:rPr>
      </w:pPr>
      <w:r w:rsidRPr="00460452">
        <w:rPr>
          <w:rFonts w:ascii="Calibri" w:hAnsi="Calibri" w:cs="Calibri"/>
          <w:sz w:val="23"/>
          <w:szCs w:val="23"/>
        </w:rPr>
        <w:t>E jogcímen a</w:t>
      </w:r>
      <w:r w:rsidR="00460452" w:rsidRPr="00460452">
        <w:rPr>
          <w:rFonts w:ascii="Calibri" w:hAnsi="Calibri" w:cs="Calibri"/>
          <w:sz w:val="23"/>
          <w:szCs w:val="23"/>
        </w:rPr>
        <w:t xml:space="preserve"> Társaságnak a</w:t>
      </w:r>
      <w:r w:rsidRPr="00460452">
        <w:rPr>
          <w:rFonts w:ascii="Calibri" w:hAnsi="Calibri" w:cs="Calibri"/>
          <w:sz w:val="23"/>
          <w:szCs w:val="23"/>
        </w:rPr>
        <w:t xml:space="preserve"> repülőtér üzemeltetéséből és a repülőgépek földi kiszolgálásából származik bevétele.</w:t>
      </w:r>
      <w:r w:rsidR="00460452" w:rsidRPr="00460452">
        <w:rPr>
          <w:rFonts w:ascii="Calibri" w:hAnsi="Calibri" w:cs="Calibri"/>
          <w:sz w:val="23"/>
          <w:szCs w:val="23"/>
        </w:rPr>
        <w:t xml:space="preserve"> Az árbevétel nagysága </w:t>
      </w:r>
      <w:r w:rsidR="00460452" w:rsidRPr="00460452">
        <w:rPr>
          <w:rFonts w:ascii="Calibri" w:hAnsi="Calibri" w:cs="Calibri"/>
          <w:b/>
          <w:bCs/>
          <w:sz w:val="23"/>
          <w:szCs w:val="23"/>
        </w:rPr>
        <w:t>202</w:t>
      </w:r>
      <w:r w:rsidR="00BB67B2">
        <w:rPr>
          <w:rFonts w:ascii="Calibri" w:hAnsi="Calibri" w:cs="Calibri"/>
          <w:b/>
          <w:bCs/>
          <w:sz w:val="23"/>
          <w:szCs w:val="23"/>
        </w:rPr>
        <w:t>4</w:t>
      </w:r>
      <w:r w:rsidR="00460452" w:rsidRPr="00460452">
        <w:rPr>
          <w:rFonts w:ascii="Calibri" w:hAnsi="Calibri" w:cs="Calibri"/>
          <w:b/>
          <w:bCs/>
          <w:sz w:val="23"/>
          <w:szCs w:val="23"/>
        </w:rPr>
        <w:t xml:space="preserve">. évben </w:t>
      </w:r>
      <w:r w:rsidR="00BB67B2">
        <w:rPr>
          <w:rFonts w:ascii="Calibri" w:hAnsi="Calibri" w:cs="Calibri"/>
          <w:b/>
          <w:bCs/>
          <w:sz w:val="23"/>
          <w:szCs w:val="23"/>
        </w:rPr>
        <w:t>177,1</w:t>
      </w:r>
      <w:r w:rsidR="00460452" w:rsidRPr="00460452">
        <w:rPr>
          <w:rFonts w:ascii="Calibri" w:hAnsi="Calibri" w:cs="Calibri"/>
          <w:b/>
          <w:bCs/>
          <w:sz w:val="23"/>
          <w:szCs w:val="23"/>
        </w:rPr>
        <w:t xml:space="preserve"> millió Ft</w:t>
      </w:r>
      <w:r w:rsidR="00460452" w:rsidRPr="00460452">
        <w:rPr>
          <w:rFonts w:ascii="Calibri" w:hAnsi="Calibri" w:cs="Calibri"/>
          <w:sz w:val="23"/>
          <w:szCs w:val="23"/>
        </w:rPr>
        <w:t xml:space="preserve">, mely </w:t>
      </w:r>
      <w:r w:rsidR="00851468">
        <w:rPr>
          <w:rFonts w:ascii="Calibri" w:hAnsi="Calibri" w:cs="Calibri"/>
          <w:sz w:val="23"/>
          <w:szCs w:val="23"/>
        </w:rPr>
        <w:t>75,9</w:t>
      </w:r>
      <w:r w:rsidR="00460452" w:rsidRPr="00460452">
        <w:rPr>
          <w:rFonts w:ascii="Calibri" w:hAnsi="Calibri" w:cs="Calibri"/>
          <w:sz w:val="23"/>
          <w:szCs w:val="23"/>
        </w:rPr>
        <w:t>%-kal</w:t>
      </w:r>
      <w:r w:rsidR="002343A5">
        <w:rPr>
          <w:rFonts w:ascii="Calibri" w:hAnsi="Calibri" w:cs="Calibri"/>
          <w:sz w:val="23"/>
          <w:szCs w:val="23"/>
        </w:rPr>
        <w:t xml:space="preserve"> (</w:t>
      </w:r>
      <w:r w:rsidR="00851468">
        <w:rPr>
          <w:rFonts w:ascii="Calibri" w:hAnsi="Calibri" w:cs="Calibri"/>
          <w:sz w:val="23"/>
          <w:szCs w:val="23"/>
        </w:rPr>
        <w:t>83,8</w:t>
      </w:r>
      <w:r w:rsidR="002343A5">
        <w:rPr>
          <w:rFonts w:ascii="Calibri" w:hAnsi="Calibri" w:cs="Calibri"/>
          <w:sz w:val="23"/>
          <w:szCs w:val="23"/>
        </w:rPr>
        <w:t xml:space="preserve"> millió Ft-tal)</w:t>
      </w:r>
      <w:r w:rsidR="00460452" w:rsidRPr="00460452">
        <w:rPr>
          <w:rFonts w:ascii="Calibri" w:hAnsi="Calibri" w:cs="Calibri"/>
          <w:sz w:val="23"/>
          <w:szCs w:val="23"/>
        </w:rPr>
        <w:t xml:space="preserve"> </w:t>
      </w:r>
      <w:r w:rsidR="00851468">
        <w:rPr>
          <w:rFonts w:ascii="Calibri" w:hAnsi="Calibri" w:cs="Calibri"/>
          <w:sz w:val="23"/>
          <w:szCs w:val="23"/>
        </w:rPr>
        <w:t>magasabb</w:t>
      </w:r>
      <w:r w:rsidR="00460452" w:rsidRPr="00460452">
        <w:rPr>
          <w:rFonts w:ascii="Calibri" w:hAnsi="Calibri" w:cs="Calibri"/>
          <w:sz w:val="23"/>
          <w:szCs w:val="23"/>
        </w:rPr>
        <w:t xml:space="preserve"> a 202</w:t>
      </w:r>
      <w:r w:rsidR="00EF122A">
        <w:rPr>
          <w:rFonts w:ascii="Calibri" w:hAnsi="Calibri" w:cs="Calibri"/>
          <w:sz w:val="23"/>
          <w:szCs w:val="23"/>
        </w:rPr>
        <w:t>3</w:t>
      </w:r>
      <w:r w:rsidR="00460452" w:rsidRPr="00460452">
        <w:rPr>
          <w:rFonts w:ascii="Calibri" w:hAnsi="Calibri" w:cs="Calibri"/>
          <w:sz w:val="23"/>
          <w:szCs w:val="23"/>
        </w:rPr>
        <w:t xml:space="preserve">. évi </w:t>
      </w:r>
      <w:r w:rsidR="00866FF0">
        <w:rPr>
          <w:rFonts w:ascii="Calibri" w:hAnsi="Calibri" w:cs="Calibri"/>
          <w:sz w:val="23"/>
          <w:szCs w:val="23"/>
        </w:rPr>
        <w:t>összeg</w:t>
      </w:r>
      <w:r w:rsidR="00866FF0" w:rsidRPr="00460452">
        <w:rPr>
          <w:rFonts w:ascii="Calibri" w:hAnsi="Calibri" w:cs="Calibri"/>
          <w:sz w:val="23"/>
          <w:szCs w:val="23"/>
        </w:rPr>
        <w:t>nél</w:t>
      </w:r>
      <w:r w:rsidR="00EF122A">
        <w:rPr>
          <w:rFonts w:ascii="Calibri" w:hAnsi="Calibri" w:cs="Calibri"/>
          <w:sz w:val="23"/>
          <w:szCs w:val="23"/>
        </w:rPr>
        <w:t>, és 12,6 millió Ft-tal nagyobb a tervezettnél</w:t>
      </w:r>
      <w:r w:rsidR="00460452" w:rsidRPr="00460452">
        <w:rPr>
          <w:rFonts w:ascii="Calibri" w:hAnsi="Calibri" w:cs="Calibri"/>
          <w:sz w:val="23"/>
          <w:szCs w:val="23"/>
        </w:rPr>
        <w:t xml:space="preserve">. </w:t>
      </w:r>
      <w:r w:rsidR="00460452">
        <w:rPr>
          <w:rFonts w:ascii="Calibri" w:hAnsi="Calibri" w:cs="Calibri"/>
          <w:sz w:val="23"/>
          <w:szCs w:val="23"/>
        </w:rPr>
        <w:t xml:space="preserve"> </w:t>
      </w:r>
      <w:r w:rsidR="00EF122A">
        <w:rPr>
          <w:rFonts w:ascii="Calibri" w:hAnsi="Calibri" w:cs="Calibri"/>
          <w:sz w:val="23"/>
          <w:szCs w:val="23"/>
        </w:rPr>
        <w:t xml:space="preserve">Tekintettel arra, hogy a Társaság közvetlenül csak kis mértékben tud hatással lenni </w:t>
      </w:r>
      <w:r w:rsidR="005531AA">
        <w:rPr>
          <w:rFonts w:ascii="Calibri" w:hAnsi="Calibri" w:cs="Calibri"/>
          <w:sz w:val="23"/>
          <w:szCs w:val="23"/>
        </w:rPr>
        <w:t>ezekre a bevételekre, ezért mind tervezhetőség</w:t>
      </w:r>
      <w:r w:rsidR="006E39D4">
        <w:rPr>
          <w:rFonts w:ascii="Calibri" w:hAnsi="Calibri" w:cs="Calibri"/>
          <w:sz w:val="23"/>
          <w:szCs w:val="23"/>
        </w:rPr>
        <w:t>ük</w:t>
      </w:r>
      <w:r w:rsidR="008C42F3">
        <w:rPr>
          <w:rFonts w:ascii="Calibri" w:hAnsi="Calibri" w:cs="Calibri"/>
          <w:sz w:val="23"/>
          <w:szCs w:val="23"/>
        </w:rPr>
        <w:t xml:space="preserve">, </w:t>
      </w:r>
      <w:r w:rsidR="005531AA">
        <w:rPr>
          <w:rFonts w:ascii="Calibri" w:hAnsi="Calibri" w:cs="Calibri"/>
          <w:sz w:val="23"/>
          <w:szCs w:val="23"/>
        </w:rPr>
        <w:t>mind</w:t>
      </w:r>
      <w:r w:rsidR="008C42F3">
        <w:rPr>
          <w:rFonts w:ascii="Calibri" w:hAnsi="Calibri" w:cs="Calibri"/>
          <w:sz w:val="23"/>
          <w:szCs w:val="23"/>
        </w:rPr>
        <w:t xml:space="preserve"> teljesülés</w:t>
      </w:r>
      <w:r w:rsidR="005531AA">
        <w:rPr>
          <w:rFonts w:ascii="Calibri" w:hAnsi="Calibri" w:cs="Calibri"/>
          <w:sz w:val="23"/>
          <w:szCs w:val="23"/>
        </w:rPr>
        <w:t xml:space="preserve">ük jelentős kockázati </w:t>
      </w:r>
      <w:r w:rsidR="008E2CED">
        <w:rPr>
          <w:rFonts w:ascii="Calibri" w:hAnsi="Calibri" w:cs="Calibri"/>
          <w:sz w:val="23"/>
          <w:szCs w:val="23"/>
        </w:rPr>
        <w:t>tényező.</w:t>
      </w:r>
    </w:p>
    <w:p w14:paraId="398920A1" w14:textId="399BC13A" w:rsidR="008F7CDB" w:rsidRPr="002C68E2" w:rsidRDefault="008F7CDB" w:rsidP="008F7CDB">
      <w:pPr>
        <w:spacing w:before="240" w:after="120"/>
        <w:jc w:val="both"/>
        <w:rPr>
          <w:rFonts w:ascii="Calibri" w:hAnsi="Calibri" w:cs="Calibri"/>
          <w:b/>
          <w:sz w:val="24"/>
          <w:szCs w:val="24"/>
        </w:rPr>
      </w:pPr>
      <w:r w:rsidRPr="002C68E2">
        <w:rPr>
          <w:rFonts w:ascii="Calibri" w:hAnsi="Calibri" w:cs="Calibri"/>
          <w:b/>
          <w:sz w:val="24"/>
          <w:szCs w:val="24"/>
        </w:rPr>
        <w:t>Bérbeadásból származó bevételek</w:t>
      </w:r>
    </w:p>
    <w:p w14:paraId="428C5D29" w14:textId="77053B79" w:rsidR="002C68E2" w:rsidRDefault="008F7CDB" w:rsidP="008F7CDB">
      <w:pPr>
        <w:spacing w:line="240" w:lineRule="auto"/>
        <w:jc w:val="both"/>
        <w:rPr>
          <w:rFonts w:ascii="Calibri" w:hAnsi="Calibri" w:cs="Calibri"/>
          <w:sz w:val="23"/>
          <w:szCs w:val="23"/>
        </w:rPr>
      </w:pPr>
      <w:r w:rsidRPr="002C68E2">
        <w:rPr>
          <w:rFonts w:ascii="Calibri" w:hAnsi="Calibri" w:cs="Calibri"/>
          <w:sz w:val="23"/>
          <w:szCs w:val="23"/>
        </w:rPr>
        <w:t>Társaság</w:t>
      </w:r>
      <w:r w:rsidR="00DF665F" w:rsidRPr="002C68E2">
        <w:rPr>
          <w:rFonts w:ascii="Calibri" w:hAnsi="Calibri" w:cs="Calibri"/>
          <w:sz w:val="23"/>
          <w:szCs w:val="23"/>
        </w:rPr>
        <w:t xml:space="preserve">nak </w:t>
      </w:r>
      <w:r w:rsidRPr="002C68E2">
        <w:rPr>
          <w:rFonts w:ascii="Calibri" w:hAnsi="Calibri" w:cs="Calibri"/>
          <w:sz w:val="23"/>
          <w:szCs w:val="23"/>
        </w:rPr>
        <w:t>bevétel</w:t>
      </w:r>
      <w:r w:rsidR="00DF665F" w:rsidRPr="002C68E2">
        <w:rPr>
          <w:rFonts w:ascii="Calibri" w:hAnsi="Calibri" w:cs="Calibri"/>
          <w:sz w:val="23"/>
          <w:szCs w:val="23"/>
        </w:rPr>
        <w:t>e e</w:t>
      </w:r>
      <w:r w:rsidRPr="002C68E2">
        <w:rPr>
          <w:rFonts w:ascii="Calibri" w:hAnsi="Calibri" w:cs="Calibri"/>
          <w:sz w:val="23"/>
          <w:szCs w:val="23"/>
        </w:rPr>
        <w:t xml:space="preserve"> jogcímen a repülőtér külső</w:t>
      </w:r>
      <w:r w:rsidR="002C68E2">
        <w:rPr>
          <w:rFonts w:ascii="Calibri" w:hAnsi="Calibri" w:cs="Calibri"/>
          <w:sz w:val="23"/>
          <w:szCs w:val="23"/>
        </w:rPr>
        <w:t xml:space="preserve"> és belső</w:t>
      </w:r>
      <w:r w:rsidRPr="002C68E2">
        <w:rPr>
          <w:rFonts w:ascii="Calibri" w:hAnsi="Calibri" w:cs="Calibri"/>
          <w:sz w:val="23"/>
          <w:szCs w:val="23"/>
        </w:rPr>
        <w:t xml:space="preserve"> területeinek hasznosításából származik. 2021</w:t>
      </w:r>
      <w:r w:rsidR="00E55FBD">
        <w:rPr>
          <w:rFonts w:ascii="Calibri" w:hAnsi="Calibri" w:cs="Calibri"/>
          <w:sz w:val="23"/>
          <w:szCs w:val="23"/>
        </w:rPr>
        <w:t>.</w:t>
      </w:r>
      <w:r w:rsidRPr="002C68E2">
        <w:rPr>
          <w:rFonts w:ascii="Calibri" w:hAnsi="Calibri" w:cs="Calibri"/>
          <w:sz w:val="23"/>
          <w:szCs w:val="23"/>
        </w:rPr>
        <w:t xml:space="preserve"> év</w:t>
      </w:r>
      <w:r w:rsidR="00DF665F" w:rsidRPr="002C68E2">
        <w:rPr>
          <w:rFonts w:ascii="Calibri" w:hAnsi="Calibri" w:cs="Calibri"/>
          <w:sz w:val="23"/>
          <w:szCs w:val="23"/>
        </w:rPr>
        <w:t xml:space="preserve">ben a külső területek bérleti </w:t>
      </w:r>
      <w:r w:rsidR="00866FF0" w:rsidRPr="002C68E2">
        <w:rPr>
          <w:rFonts w:ascii="Calibri" w:hAnsi="Calibri" w:cs="Calibri"/>
          <w:sz w:val="23"/>
          <w:szCs w:val="23"/>
        </w:rPr>
        <w:t>jog</w:t>
      </w:r>
      <w:r w:rsidR="00866FF0">
        <w:rPr>
          <w:rFonts w:ascii="Calibri" w:hAnsi="Calibri" w:cs="Calibri"/>
          <w:sz w:val="23"/>
          <w:szCs w:val="23"/>
        </w:rPr>
        <w:t>a</w:t>
      </w:r>
      <w:r w:rsidR="00866FF0" w:rsidRPr="002C68E2">
        <w:rPr>
          <w:rFonts w:ascii="Calibri" w:hAnsi="Calibri" w:cs="Calibri"/>
          <w:sz w:val="23"/>
          <w:szCs w:val="23"/>
        </w:rPr>
        <w:t xml:space="preserve"> </w:t>
      </w:r>
      <w:r w:rsidR="00DF665F" w:rsidRPr="002C68E2">
        <w:rPr>
          <w:rFonts w:ascii="Calibri" w:hAnsi="Calibri" w:cs="Calibri"/>
          <w:sz w:val="23"/>
          <w:szCs w:val="23"/>
        </w:rPr>
        <w:t>megvásárlás</w:t>
      </w:r>
      <w:r w:rsidR="00E55FBD">
        <w:rPr>
          <w:rFonts w:ascii="Calibri" w:hAnsi="Calibri" w:cs="Calibri"/>
          <w:sz w:val="23"/>
          <w:szCs w:val="23"/>
        </w:rPr>
        <w:t>r</w:t>
      </w:r>
      <w:r w:rsidR="00DF665F" w:rsidRPr="002C68E2">
        <w:rPr>
          <w:rFonts w:ascii="Calibri" w:hAnsi="Calibri" w:cs="Calibri"/>
          <w:sz w:val="23"/>
          <w:szCs w:val="23"/>
        </w:rPr>
        <w:t>a</w:t>
      </w:r>
      <w:r w:rsidR="00E55FBD">
        <w:rPr>
          <w:rFonts w:ascii="Calibri" w:hAnsi="Calibri" w:cs="Calibri"/>
          <w:sz w:val="23"/>
          <w:szCs w:val="23"/>
        </w:rPr>
        <w:t xml:space="preserve"> került, mely</w:t>
      </w:r>
      <w:r w:rsidR="00DF665F" w:rsidRPr="002C68E2">
        <w:rPr>
          <w:rFonts w:ascii="Calibri" w:hAnsi="Calibri" w:cs="Calibri"/>
          <w:sz w:val="23"/>
          <w:szCs w:val="23"/>
        </w:rPr>
        <w:t xml:space="preserve"> a területen</w:t>
      </w:r>
      <w:r w:rsidR="00E55FBD">
        <w:rPr>
          <w:rFonts w:ascii="Calibri" w:hAnsi="Calibri" w:cs="Calibri"/>
          <w:sz w:val="23"/>
          <w:szCs w:val="23"/>
        </w:rPr>
        <w:t xml:space="preserve"> lévő</w:t>
      </w:r>
      <w:r w:rsidR="00DF665F" w:rsidRPr="002C68E2">
        <w:rPr>
          <w:rFonts w:ascii="Calibri" w:hAnsi="Calibri" w:cs="Calibri"/>
          <w:sz w:val="23"/>
          <w:szCs w:val="23"/>
        </w:rPr>
        <w:t xml:space="preserve"> hasznosítható infrastru</w:t>
      </w:r>
      <w:r w:rsidR="003A7B5A" w:rsidRPr="002C68E2">
        <w:rPr>
          <w:rFonts w:ascii="Calibri" w:hAnsi="Calibri" w:cs="Calibri"/>
          <w:sz w:val="23"/>
          <w:szCs w:val="23"/>
        </w:rPr>
        <w:t>k</w:t>
      </w:r>
      <w:r w:rsidR="00DF665F" w:rsidRPr="002C68E2">
        <w:rPr>
          <w:rFonts w:ascii="Calibri" w:hAnsi="Calibri" w:cs="Calibri"/>
          <w:sz w:val="23"/>
          <w:szCs w:val="23"/>
        </w:rPr>
        <w:t>túra elemek bérbeadás</w:t>
      </w:r>
      <w:r w:rsidR="00E55FBD">
        <w:rPr>
          <w:rFonts w:ascii="Calibri" w:hAnsi="Calibri" w:cs="Calibri"/>
          <w:sz w:val="23"/>
          <w:szCs w:val="23"/>
        </w:rPr>
        <w:t xml:space="preserve">ával </w:t>
      </w:r>
      <w:r w:rsidRPr="002C68E2">
        <w:rPr>
          <w:rFonts w:ascii="Calibri" w:hAnsi="Calibri" w:cs="Calibri"/>
          <w:sz w:val="23"/>
          <w:szCs w:val="23"/>
        </w:rPr>
        <w:t xml:space="preserve">bevétel </w:t>
      </w:r>
      <w:r w:rsidR="002C68E2">
        <w:rPr>
          <w:rFonts w:ascii="Calibri" w:hAnsi="Calibri" w:cs="Calibri"/>
          <w:sz w:val="23"/>
          <w:szCs w:val="23"/>
        </w:rPr>
        <w:t>elérését teszi lehetővé</w:t>
      </w:r>
      <w:r w:rsidRPr="002C68E2">
        <w:rPr>
          <w:rFonts w:ascii="Calibri" w:hAnsi="Calibri" w:cs="Calibri"/>
          <w:sz w:val="23"/>
          <w:szCs w:val="23"/>
        </w:rPr>
        <w:t xml:space="preserve">. </w:t>
      </w:r>
    </w:p>
    <w:p w14:paraId="49CF7782" w14:textId="11B979A5" w:rsidR="00E55FBD" w:rsidRDefault="00E55FBD" w:rsidP="008F7CDB">
      <w:pPr>
        <w:spacing w:line="240" w:lineRule="auto"/>
        <w:jc w:val="both"/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sz w:val="23"/>
          <w:szCs w:val="23"/>
        </w:rPr>
        <w:t>202</w:t>
      </w:r>
      <w:r w:rsidR="005531AA">
        <w:rPr>
          <w:rFonts w:ascii="Calibri" w:hAnsi="Calibri" w:cs="Calibri"/>
          <w:sz w:val="23"/>
          <w:szCs w:val="23"/>
        </w:rPr>
        <w:t>4</w:t>
      </w:r>
      <w:r>
        <w:rPr>
          <w:rFonts w:ascii="Calibri" w:hAnsi="Calibri" w:cs="Calibri"/>
          <w:sz w:val="23"/>
          <w:szCs w:val="23"/>
        </w:rPr>
        <w:t>. évben az állandó bérbeadáson túl eseti jelleggel történt a területek, ingatlanok hasznosítás</w:t>
      </w:r>
      <w:r w:rsidR="001D5430">
        <w:rPr>
          <w:rFonts w:ascii="Calibri" w:hAnsi="Calibri" w:cs="Calibri"/>
          <w:sz w:val="23"/>
          <w:szCs w:val="23"/>
        </w:rPr>
        <w:t>a</w:t>
      </w:r>
      <w:r w:rsidR="006E39D4">
        <w:rPr>
          <w:rFonts w:ascii="Calibri" w:hAnsi="Calibri" w:cs="Calibri"/>
          <w:sz w:val="23"/>
          <w:szCs w:val="23"/>
        </w:rPr>
        <w:t>, a</w:t>
      </w:r>
      <w:r>
        <w:rPr>
          <w:rFonts w:ascii="Calibri" w:hAnsi="Calibri" w:cs="Calibri"/>
          <w:sz w:val="23"/>
          <w:szCs w:val="23"/>
        </w:rPr>
        <w:t>mely</w:t>
      </w:r>
      <w:r w:rsidR="003A485B">
        <w:rPr>
          <w:rFonts w:ascii="Calibri" w:hAnsi="Calibri" w:cs="Calibri"/>
          <w:sz w:val="23"/>
          <w:szCs w:val="23"/>
        </w:rPr>
        <w:t xml:space="preserve"> által</w:t>
      </w:r>
      <w:r w:rsidR="00866FF0">
        <w:rPr>
          <w:rFonts w:ascii="Calibri" w:hAnsi="Calibri" w:cs="Calibri"/>
          <w:sz w:val="23"/>
          <w:szCs w:val="23"/>
        </w:rPr>
        <w:t xml:space="preserve"> </w:t>
      </w:r>
      <w:r w:rsidR="003A485B">
        <w:rPr>
          <w:rFonts w:ascii="Calibri" w:hAnsi="Calibri" w:cs="Calibri"/>
          <w:sz w:val="23"/>
          <w:szCs w:val="23"/>
        </w:rPr>
        <w:t>a bérbeadásból</w:t>
      </w:r>
      <w:r w:rsidR="00866FF0">
        <w:rPr>
          <w:rFonts w:ascii="Calibri" w:hAnsi="Calibri" w:cs="Calibri"/>
          <w:sz w:val="23"/>
          <w:szCs w:val="23"/>
        </w:rPr>
        <w:t>, hasznosításból</w:t>
      </w:r>
      <w:r>
        <w:rPr>
          <w:rFonts w:ascii="Calibri" w:hAnsi="Calibri" w:cs="Calibri"/>
          <w:sz w:val="23"/>
          <w:szCs w:val="23"/>
        </w:rPr>
        <w:t xml:space="preserve"> </w:t>
      </w:r>
      <w:r w:rsidR="006E39D4">
        <w:rPr>
          <w:rFonts w:ascii="Calibri" w:hAnsi="Calibri" w:cs="Calibri"/>
          <w:sz w:val="23"/>
          <w:szCs w:val="23"/>
        </w:rPr>
        <w:t>tervezetten felüli</w:t>
      </w:r>
      <w:r>
        <w:rPr>
          <w:rFonts w:ascii="Calibri" w:hAnsi="Calibri" w:cs="Calibri"/>
          <w:sz w:val="23"/>
          <w:szCs w:val="23"/>
        </w:rPr>
        <w:t xml:space="preserve"> </w:t>
      </w:r>
      <w:r w:rsidR="003A485B">
        <w:rPr>
          <w:rFonts w:ascii="Calibri" w:hAnsi="Calibri" w:cs="Calibri"/>
          <w:sz w:val="23"/>
          <w:szCs w:val="23"/>
        </w:rPr>
        <w:t>bevételt ért el a Társaság.</w:t>
      </w:r>
      <w:r w:rsidR="00BD6913">
        <w:rPr>
          <w:rFonts w:ascii="Calibri" w:hAnsi="Calibri" w:cs="Calibri"/>
          <w:sz w:val="23"/>
          <w:szCs w:val="23"/>
        </w:rPr>
        <w:t xml:space="preserve"> </w:t>
      </w:r>
    </w:p>
    <w:p w14:paraId="5CB59947" w14:textId="4803F474" w:rsidR="008F7CDB" w:rsidRDefault="008F7CDB" w:rsidP="008F7CDB">
      <w:pPr>
        <w:spacing w:line="240" w:lineRule="auto"/>
        <w:jc w:val="both"/>
        <w:rPr>
          <w:rFonts w:ascii="Calibri" w:hAnsi="Calibri" w:cs="Calibri"/>
          <w:sz w:val="23"/>
          <w:szCs w:val="23"/>
        </w:rPr>
      </w:pPr>
      <w:r w:rsidRPr="002C68E2">
        <w:rPr>
          <w:rFonts w:ascii="Calibri" w:hAnsi="Calibri" w:cs="Calibri"/>
          <w:sz w:val="23"/>
          <w:szCs w:val="23"/>
        </w:rPr>
        <w:t xml:space="preserve">Az e tevékenységekből származó bevétel </w:t>
      </w:r>
      <w:r w:rsidR="00262286">
        <w:rPr>
          <w:rFonts w:ascii="Calibri" w:hAnsi="Calibri" w:cs="Calibri"/>
          <w:b/>
          <w:bCs/>
          <w:sz w:val="23"/>
          <w:szCs w:val="23"/>
        </w:rPr>
        <w:t>89</w:t>
      </w:r>
      <w:r w:rsidR="002C68E2" w:rsidRPr="002C68E2">
        <w:rPr>
          <w:rFonts w:ascii="Calibri" w:hAnsi="Calibri" w:cs="Calibri"/>
          <w:b/>
          <w:bCs/>
          <w:sz w:val="23"/>
          <w:szCs w:val="23"/>
        </w:rPr>
        <w:t>,6</w:t>
      </w:r>
      <w:r w:rsidRPr="002C68E2">
        <w:rPr>
          <w:rFonts w:ascii="Calibri" w:hAnsi="Calibri" w:cs="Calibri"/>
          <w:b/>
          <w:bCs/>
          <w:sz w:val="23"/>
          <w:szCs w:val="23"/>
        </w:rPr>
        <w:t xml:space="preserve"> millió Ft</w:t>
      </w:r>
      <w:r w:rsidR="002C68E2" w:rsidRPr="002C68E2">
        <w:rPr>
          <w:rFonts w:ascii="Calibri" w:hAnsi="Calibri" w:cs="Calibri"/>
          <w:b/>
          <w:bCs/>
          <w:sz w:val="23"/>
          <w:szCs w:val="23"/>
        </w:rPr>
        <w:t xml:space="preserve">, </w:t>
      </w:r>
      <w:r w:rsidR="002C68E2" w:rsidRPr="002C68E2">
        <w:rPr>
          <w:rFonts w:ascii="Calibri" w:hAnsi="Calibri" w:cs="Calibri"/>
          <w:sz w:val="23"/>
          <w:szCs w:val="23"/>
        </w:rPr>
        <w:t xml:space="preserve">mely közel </w:t>
      </w:r>
      <w:r w:rsidR="00262286">
        <w:rPr>
          <w:rFonts w:ascii="Calibri" w:hAnsi="Calibri" w:cs="Calibri"/>
          <w:sz w:val="23"/>
          <w:szCs w:val="23"/>
        </w:rPr>
        <w:t>23,6 millió Ft-tal több a</w:t>
      </w:r>
      <w:r w:rsidR="002C68E2" w:rsidRPr="002C68E2">
        <w:rPr>
          <w:rFonts w:ascii="Calibri" w:hAnsi="Calibri" w:cs="Calibri"/>
          <w:sz w:val="23"/>
          <w:szCs w:val="23"/>
        </w:rPr>
        <w:t xml:space="preserve"> </w:t>
      </w:r>
      <w:r w:rsidR="00262286">
        <w:rPr>
          <w:rFonts w:ascii="Calibri" w:hAnsi="Calibri" w:cs="Calibri"/>
          <w:sz w:val="23"/>
          <w:szCs w:val="23"/>
        </w:rPr>
        <w:t xml:space="preserve">tervezetnél, és mintegy 11,1 millió Ft-tal magasabb az előző évi </w:t>
      </w:r>
      <w:r w:rsidR="002C68E2" w:rsidRPr="002C68E2">
        <w:rPr>
          <w:rFonts w:ascii="Calibri" w:hAnsi="Calibri" w:cs="Calibri"/>
          <w:sz w:val="23"/>
          <w:szCs w:val="23"/>
        </w:rPr>
        <w:t>bérleti díjbevétel</w:t>
      </w:r>
      <w:r w:rsidR="00262286">
        <w:rPr>
          <w:rFonts w:ascii="Calibri" w:hAnsi="Calibri" w:cs="Calibri"/>
          <w:sz w:val="23"/>
          <w:szCs w:val="23"/>
        </w:rPr>
        <w:t>nél</w:t>
      </w:r>
      <w:r w:rsidR="00B87EAF" w:rsidRPr="002C68E2">
        <w:rPr>
          <w:rFonts w:ascii="Calibri" w:hAnsi="Calibri" w:cs="Calibri"/>
          <w:sz w:val="23"/>
          <w:szCs w:val="23"/>
        </w:rPr>
        <w:t>.</w:t>
      </w:r>
      <w:r w:rsidR="00506D09">
        <w:rPr>
          <w:rFonts w:ascii="Calibri" w:hAnsi="Calibri" w:cs="Calibri"/>
          <w:sz w:val="23"/>
          <w:szCs w:val="23"/>
        </w:rPr>
        <w:t xml:space="preserve"> A </w:t>
      </w:r>
      <w:r w:rsidR="00262286">
        <w:rPr>
          <w:rFonts w:ascii="Calibri" w:hAnsi="Calibri" w:cs="Calibri"/>
          <w:sz w:val="23"/>
          <w:szCs w:val="23"/>
        </w:rPr>
        <w:t xml:space="preserve">többletbevétel elsősorban a nem tervezhető tárgyévi együttműködésekből (elsősorban </w:t>
      </w:r>
      <w:r w:rsidR="00506D09">
        <w:rPr>
          <w:rFonts w:ascii="Calibri" w:hAnsi="Calibri" w:cs="Calibri"/>
          <w:sz w:val="23"/>
          <w:szCs w:val="23"/>
        </w:rPr>
        <w:t>a magyar</w:t>
      </w:r>
      <w:r w:rsidR="00262286">
        <w:rPr>
          <w:rFonts w:ascii="Calibri" w:hAnsi="Calibri" w:cs="Calibri"/>
          <w:sz w:val="23"/>
          <w:szCs w:val="23"/>
        </w:rPr>
        <w:t xml:space="preserve"> és</w:t>
      </w:r>
      <w:r w:rsidR="00506D09">
        <w:rPr>
          <w:rFonts w:ascii="Calibri" w:hAnsi="Calibri" w:cs="Calibri"/>
          <w:sz w:val="23"/>
          <w:szCs w:val="23"/>
        </w:rPr>
        <w:t xml:space="preserve"> a belga haderő</w:t>
      </w:r>
      <w:r w:rsidR="00262286">
        <w:rPr>
          <w:rFonts w:ascii="Calibri" w:hAnsi="Calibri" w:cs="Calibri"/>
          <w:sz w:val="23"/>
          <w:szCs w:val="23"/>
        </w:rPr>
        <w:t>vel)</w:t>
      </w:r>
      <w:r w:rsidR="00506D09">
        <w:rPr>
          <w:rFonts w:ascii="Calibri" w:hAnsi="Calibri" w:cs="Calibri"/>
          <w:sz w:val="23"/>
          <w:szCs w:val="23"/>
        </w:rPr>
        <w:t xml:space="preserve"> </w:t>
      </w:r>
      <w:r w:rsidR="00262286">
        <w:rPr>
          <w:rFonts w:ascii="Calibri" w:hAnsi="Calibri" w:cs="Calibri"/>
          <w:sz w:val="23"/>
          <w:szCs w:val="23"/>
        </w:rPr>
        <w:t xml:space="preserve">származó bevétel. </w:t>
      </w:r>
      <w:r w:rsidR="00506D09">
        <w:rPr>
          <w:rFonts w:ascii="Calibri" w:hAnsi="Calibri" w:cs="Calibri"/>
          <w:sz w:val="23"/>
          <w:szCs w:val="23"/>
        </w:rPr>
        <w:t xml:space="preserve"> </w:t>
      </w:r>
    </w:p>
    <w:p w14:paraId="256299D9" w14:textId="77777777" w:rsidR="006E39D4" w:rsidRPr="002C68E2" w:rsidRDefault="006E39D4" w:rsidP="008F7CDB">
      <w:pPr>
        <w:spacing w:line="240" w:lineRule="auto"/>
        <w:jc w:val="both"/>
        <w:rPr>
          <w:rFonts w:ascii="Calibri" w:hAnsi="Calibri" w:cs="Calibri"/>
          <w:sz w:val="23"/>
          <w:szCs w:val="23"/>
        </w:rPr>
      </w:pPr>
    </w:p>
    <w:p w14:paraId="44AED8B5" w14:textId="6729182B" w:rsidR="00105CA8" w:rsidRPr="0022451D" w:rsidRDefault="00FF26EF" w:rsidP="00116FE8">
      <w:pPr>
        <w:spacing w:before="240" w:after="120"/>
        <w:jc w:val="both"/>
        <w:rPr>
          <w:rFonts w:ascii="Calibri" w:hAnsi="Calibri" w:cs="Calibri"/>
          <w:b/>
          <w:sz w:val="24"/>
          <w:szCs w:val="24"/>
        </w:rPr>
      </w:pPr>
      <w:r w:rsidRPr="0022451D">
        <w:rPr>
          <w:rFonts w:ascii="Calibri" w:hAnsi="Calibri" w:cs="Calibri"/>
          <w:b/>
          <w:sz w:val="24"/>
          <w:szCs w:val="24"/>
        </w:rPr>
        <w:lastRenderedPageBreak/>
        <w:t>Értékesítésből és szolgáltatásnyújtásból származó egyéb bevételek</w:t>
      </w:r>
    </w:p>
    <w:p w14:paraId="6453D0C2" w14:textId="7BEA441D" w:rsidR="00AF5AB2" w:rsidRPr="0022451D" w:rsidRDefault="0022451D" w:rsidP="00CC36DD">
      <w:pPr>
        <w:spacing w:line="240" w:lineRule="auto"/>
        <w:jc w:val="both"/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sz w:val="23"/>
          <w:szCs w:val="23"/>
        </w:rPr>
        <w:t>Társasági bevétel</w:t>
      </w:r>
      <w:r w:rsidR="00FF26EF" w:rsidRPr="0022451D">
        <w:rPr>
          <w:rFonts w:ascii="Calibri" w:hAnsi="Calibri" w:cs="Calibri"/>
          <w:sz w:val="23"/>
          <w:szCs w:val="23"/>
        </w:rPr>
        <w:t xml:space="preserve"> </w:t>
      </w:r>
      <w:r>
        <w:rPr>
          <w:rFonts w:ascii="Calibri" w:hAnsi="Calibri" w:cs="Calibri"/>
          <w:sz w:val="23"/>
          <w:szCs w:val="23"/>
        </w:rPr>
        <w:t>e jogcímen</w:t>
      </w:r>
      <w:r w:rsidR="00AD68F8" w:rsidRPr="0022451D">
        <w:rPr>
          <w:rFonts w:ascii="Calibri" w:hAnsi="Calibri" w:cs="Calibri"/>
          <w:sz w:val="23"/>
          <w:szCs w:val="23"/>
        </w:rPr>
        <w:t xml:space="preserve"> </w:t>
      </w:r>
      <w:r w:rsidR="00262286">
        <w:rPr>
          <w:rFonts w:ascii="Calibri" w:hAnsi="Calibri" w:cs="Calibri"/>
          <w:sz w:val="23"/>
          <w:szCs w:val="23"/>
        </w:rPr>
        <w:t>egyrészt</w:t>
      </w:r>
      <w:r w:rsidR="00C92396" w:rsidRPr="0022451D">
        <w:rPr>
          <w:rFonts w:ascii="Calibri" w:hAnsi="Calibri" w:cs="Calibri"/>
          <w:sz w:val="23"/>
          <w:szCs w:val="23"/>
        </w:rPr>
        <w:t xml:space="preserve"> közvetített </w:t>
      </w:r>
      <w:r>
        <w:rPr>
          <w:rFonts w:ascii="Calibri" w:hAnsi="Calibri" w:cs="Calibri"/>
          <w:sz w:val="23"/>
          <w:szCs w:val="23"/>
        </w:rPr>
        <w:t xml:space="preserve">és továbbszámlázott </w:t>
      </w:r>
      <w:r w:rsidR="00C92396" w:rsidRPr="0022451D">
        <w:rPr>
          <w:rFonts w:ascii="Calibri" w:hAnsi="Calibri" w:cs="Calibri"/>
          <w:sz w:val="23"/>
          <w:szCs w:val="23"/>
        </w:rPr>
        <w:t>szolgáltatásból</w:t>
      </w:r>
      <w:r w:rsidR="00116FE8" w:rsidRPr="0022451D">
        <w:rPr>
          <w:rFonts w:ascii="Calibri" w:hAnsi="Calibri" w:cs="Calibri"/>
          <w:sz w:val="23"/>
          <w:szCs w:val="23"/>
        </w:rPr>
        <w:t xml:space="preserve"> </w:t>
      </w:r>
      <w:r w:rsidR="00AF5AB2" w:rsidRPr="0022451D">
        <w:rPr>
          <w:rFonts w:ascii="Calibri" w:hAnsi="Calibri" w:cs="Calibri"/>
          <w:sz w:val="23"/>
          <w:szCs w:val="23"/>
        </w:rPr>
        <w:t>származik</w:t>
      </w:r>
      <w:r w:rsidR="00262286">
        <w:rPr>
          <w:rFonts w:ascii="Calibri" w:hAnsi="Calibri" w:cs="Calibri"/>
          <w:sz w:val="23"/>
          <w:szCs w:val="23"/>
        </w:rPr>
        <w:t xml:space="preserve">, másrészt </w:t>
      </w:r>
      <w:r w:rsidR="006E39D4">
        <w:rPr>
          <w:rFonts w:ascii="Calibri" w:hAnsi="Calibri" w:cs="Calibri"/>
          <w:sz w:val="23"/>
          <w:szCs w:val="23"/>
        </w:rPr>
        <w:t xml:space="preserve">– </w:t>
      </w:r>
      <w:r w:rsidR="00262286" w:rsidRPr="006E39D4">
        <w:rPr>
          <w:rFonts w:ascii="Calibri" w:hAnsi="Calibri" w:cs="Calibri"/>
          <w:i/>
          <w:iCs/>
          <w:sz w:val="23"/>
          <w:szCs w:val="23"/>
        </w:rPr>
        <w:t>a légi áruforgalomhoz köthetően</w:t>
      </w:r>
      <w:r w:rsidR="006E39D4">
        <w:rPr>
          <w:rFonts w:ascii="Calibri" w:hAnsi="Calibri" w:cs="Calibri"/>
          <w:sz w:val="23"/>
          <w:szCs w:val="23"/>
        </w:rPr>
        <w:t xml:space="preserve"> – </w:t>
      </w:r>
      <w:r w:rsidR="00262286">
        <w:rPr>
          <w:rFonts w:ascii="Calibri" w:hAnsi="Calibri" w:cs="Calibri"/>
          <w:sz w:val="23"/>
          <w:szCs w:val="23"/>
        </w:rPr>
        <w:t xml:space="preserve"> igénybevett rakodási és bontási tevékenységből</w:t>
      </w:r>
      <w:r w:rsidR="00FF26EF" w:rsidRPr="0022451D">
        <w:rPr>
          <w:rFonts w:ascii="Calibri" w:hAnsi="Calibri" w:cs="Calibri"/>
          <w:sz w:val="23"/>
          <w:szCs w:val="23"/>
        </w:rPr>
        <w:t xml:space="preserve">. </w:t>
      </w:r>
      <w:r w:rsidR="00C92396" w:rsidRPr="0022451D">
        <w:rPr>
          <w:rFonts w:ascii="Calibri" w:hAnsi="Calibri" w:cs="Calibri"/>
          <w:sz w:val="23"/>
          <w:szCs w:val="23"/>
        </w:rPr>
        <w:t>A tevékenység</w:t>
      </w:r>
      <w:r w:rsidR="00B87EAF" w:rsidRPr="0022451D">
        <w:rPr>
          <w:rFonts w:ascii="Calibri" w:hAnsi="Calibri" w:cs="Calibri"/>
          <w:sz w:val="23"/>
          <w:szCs w:val="23"/>
        </w:rPr>
        <w:t>ből származó</w:t>
      </w:r>
      <w:r w:rsidR="00DF665F" w:rsidRPr="0022451D">
        <w:rPr>
          <w:rFonts w:ascii="Calibri" w:hAnsi="Calibri" w:cs="Calibri"/>
          <w:sz w:val="23"/>
          <w:szCs w:val="23"/>
        </w:rPr>
        <w:t xml:space="preserve"> bevétel </w:t>
      </w:r>
      <w:r w:rsidR="008B6CB4">
        <w:rPr>
          <w:rFonts w:ascii="Calibri" w:hAnsi="Calibri" w:cs="Calibri"/>
          <w:b/>
          <w:bCs/>
          <w:sz w:val="23"/>
          <w:szCs w:val="23"/>
        </w:rPr>
        <w:t>34,4</w:t>
      </w:r>
      <w:r w:rsidR="00DF665F" w:rsidRPr="0022451D">
        <w:rPr>
          <w:rFonts w:ascii="Calibri" w:hAnsi="Calibri" w:cs="Calibri"/>
          <w:b/>
          <w:bCs/>
          <w:sz w:val="23"/>
          <w:szCs w:val="23"/>
        </w:rPr>
        <w:t xml:space="preserve"> millió Ft</w:t>
      </w:r>
      <w:r w:rsidR="008B6CB4">
        <w:rPr>
          <w:rFonts w:ascii="Calibri" w:hAnsi="Calibri" w:cs="Calibri"/>
          <w:b/>
          <w:bCs/>
          <w:sz w:val="23"/>
          <w:szCs w:val="23"/>
        </w:rPr>
        <w:t xml:space="preserve">, melyből a közvetített, továbbszámlázott szolgáltatások értéke 8,8 millió Ft, </w:t>
      </w:r>
    </w:p>
    <w:p w14:paraId="7988FC83" w14:textId="62BE6EBC" w:rsidR="00AD68F8" w:rsidRPr="00363D3A" w:rsidRDefault="00AD68F8" w:rsidP="00FA4A0F">
      <w:pPr>
        <w:pStyle w:val="Listaszerbekezds"/>
        <w:numPr>
          <w:ilvl w:val="0"/>
          <w:numId w:val="37"/>
        </w:numPr>
        <w:spacing w:before="480" w:after="240"/>
        <w:ind w:left="425" w:hanging="425"/>
        <w:contextualSpacing w:val="0"/>
        <w:rPr>
          <w:rFonts w:ascii="Calibri" w:hAnsi="Calibri" w:cs="Calibri"/>
          <w:b/>
          <w:sz w:val="24"/>
          <w:szCs w:val="24"/>
        </w:rPr>
      </w:pPr>
      <w:r w:rsidRPr="00363D3A">
        <w:rPr>
          <w:rFonts w:ascii="Calibri" w:hAnsi="Calibri" w:cs="Calibri"/>
          <w:b/>
          <w:sz w:val="24"/>
          <w:szCs w:val="24"/>
        </w:rPr>
        <w:t>Egyéb bevételek</w:t>
      </w:r>
    </w:p>
    <w:p w14:paraId="2CC8B8A8" w14:textId="7E2DA94E" w:rsidR="007F663E" w:rsidRDefault="00AD68F8" w:rsidP="00363D3A">
      <w:pPr>
        <w:pStyle w:val="Listaszerbekezds"/>
        <w:spacing w:before="240" w:after="240"/>
        <w:ind w:left="0"/>
        <w:contextualSpacing w:val="0"/>
        <w:jc w:val="both"/>
        <w:rPr>
          <w:rFonts w:ascii="Calibri" w:hAnsi="Calibri" w:cs="Calibri"/>
          <w:bCs/>
          <w:sz w:val="23"/>
          <w:szCs w:val="23"/>
        </w:rPr>
      </w:pPr>
      <w:r w:rsidRPr="00363D3A">
        <w:rPr>
          <w:rFonts w:ascii="Calibri" w:hAnsi="Calibri" w:cs="Calibri"/>
          <w:bCs/>
          <w:sz w:val="23"/>
          <w:szCs w:val="23"/>
        </w:rPr>
        <w:t>E jogcímen</w:t>
      </w:r>
      <w:r w:rsidR="007000EA">
        <w:rPr>
          <w:rFonts w:ascii="Calibri" w:hAnsi="Calibri" w:cs="Calibri"/>
          <w:bCs/>
          <w:sz w:val="23"/>
          <w:szCs w:val="23"/>
        </w:rPr>
        <w:t xml:space="preserve"> a bevétel összege </w:t>
      </w:r>
      <w:r w:rsidR="008E2CED">
        <w:rPr>
          <w:rFonts w:ascii="Calibri" w:hAnsi="Calibri" w:cs="Calibri"/>
          <w:b/>
          <w:sz w:val="23"/>
          <w:szCs w:val="23"/>
        </w:rPr>
        <w:t>880,0</w:t>
      </w:r>
      <w:r w:rsidR="007000EA" w:rsidRPr="007000EA">
        <w:rPr>
          <w:rFonts w:ascii="Calibri" w:hAnsi="Calibri" w:cs="Calibri"/>
          <w:b/>
          <w:sz w:val="23"/>
          <w:szCs w:val="23"/>
        </w:rPr>
        <w:t xml:space="preserve"> millió Ft</w:t>
      </w:r>
      <w:r w:rsidR="007000EA">
        <w:rPr>
          <w:rFonts w:ascii="Calibri" w:hAnsi="Calibri" w:cs="Calibri"/>
          <w:bCs/>
          <w:sz w:val="23"/>
          <w:szCs w:val="23"/>
        </w:rPr>
        <w:t>. A</w:t>
      </w:r>
      <w:r w:rsidR="00363D3A">
        <w:rPr>
          <w:rFonts w:ascii="Calibri" w:hAnsi="Calibri" w:cs="Calibri"/>
          <w:bCs/>
          <w:sz w:val="23"/>
          <w:szCs w:val="23"/>
        </w:rPr>
        <w:t xml:space="preserve"> bevételek meghatározó része a tárgyévi </w:t>
      </w:r>
      <w:r w:rsidR="008E2CED">
        <w:rPr>
          <w:rFonts w:ascii="Calibri" w:hAnsi="Calibri" w:cs="Calibri"/>
          <w:bCs/>
          <w:sz w:val="23"/>
          <w:szCs w:val="23"/>
        </w:rPr>
        <w:t xml:space="preserve">a Társaság </w:t>
      </w:r>
      <w:r w:rsidR="00363D3A">
        <w:rPr>
          <w:rFonts w:ascii="Calibri" w:hAnsi="Calibri" w:cs="Calibri"/>
          <w:bCs/>
          <w:sz w:val="23"/>
          <w:szCs w:val="23"/>
        </w:rPr>
        <w:t>működési támogatás</w:t>
      </w:r>
      <w:r w:rsidR="008E2CED">
        <w:rPr>
          <w:rFonts w:ascii="Calibri" w:hAnsi="Calibri" w:cs="Calibri"/>
          <w:bCs/>
          <w:sz w:val="23"/>
          <w:szCs w:val="23"/>
        </w:rPr>
        <w:t>á</w:t>
      </w:r>
      <w:r w:rsidR="00363D3A">
        <w:rPr>
          <w:rFonts w:ascii="Calibri" w:hAnsi="Calibri" w:cs="Calibri"/>
          <w:bCs/>
          <w:sz w:val="23"/>
          <w:szCs w:val="23"/>
        </w:rPr>
        <w:t>ból,</w:t>
      </w:r>
      <w:r w:rsidR="008E2CED">
        <w:rPr>
          <w:rFonts w:ascii="Calibri" w:hAnsi="Calibri" w:cs="Calibri"/>
          <w:bCs/>
          <w:sz w:val="23"/>
          <w:szCs w:val="23"/>
        </w:rPr>
        <w:t xml:space="preserve"> a vagyonkezelésbe vett ingatlanhoz tartozó működési támogatásból,</w:t>
      </w:r>
      <w:r w:rsidRPr="00363D3A">
        <w:rPr>
          <w:rFonts w:ascii="Calibri" w:hAnsi="Calibri" w:cs="Calibri"/>
          <w:bCs/>
          <w:sz w:val="23"/>
          <w:szCs w:val="23"/>
        </w:rPr>
        <w:t xml:space="preserve"> </w:t>
      </w:r>
      <w:r w:rsidR="00363D3A">
        <w:rPr>
          <w:rFonts w:ascii="Calibri" w:hAnsi="Calibri" w:cs="Calibri"/>
          <w:bCs/>
          <w:sz w:val="23"/>
          <w:szCs w:val="23"/>
        </w:rPr>
        <w:t xml:space="preserve">a </w:t>
      </w:r>
      <w:r w:rsidRPr="00363D3A">
        <w:rPr>
          <w:rFonts w:ascii="Calibri" w:hAnsi="Calibri" w:cs="Calibri"/>
          <w:bCs/>
          <w:sz w:val="23"/>
          <w:szCs w:val="23"/>
        </w:rPr>
        <w:t>halasztott bevételek feloldás</w:t>
      </w:r>
      <w:r w:rsidR="00363D3A">
        <w:rPr>
          <w:rFonts w:ascii="Calibri" w:hAnsi="Calibri" w:cs="Calibri"/>
          <w:bCs/>
          <w:sz w:val="23"/>
          <w:szCs w:val="23"/>
        </w:rPr>
        <w:t xml:space="preserve">ából ered. </w:t>
      </w:r>
    </w:p>
    <w:p w14:paraId="1A752241" w14:textId="65E6FF86" w:rsidR="007000EA" w:rsidRDefault="007F663E" w:rsidP="00363D3A">
      <w:pPr>
        <w:pStyle w:val="Listaszerbekezds"/>
        <w:spacing w:before="240" w:after="240"/>
        <w:ind w:left="0"/>
        <w:contextualSpacing w:val="0"/>
        <w:jc w:val="both"/>
        <w:rPr>
          <w:rFonts w:ascii="Calibri" w:hAnsi="Calibri" w:cs="Calibri"/>
          <w:bCs/>
          <w:sz w:val="23"/>
          <w:szCs w:val="23"/>
        </w:rPr>
      </w:pPr>
      <w:r>
        <w:rPr>
          <w:rFonts w:ascii="Calibri" w:hAnsi="Calibri" w:cs="Calibri"/>
          <w:bCs/>
          <w:sz w:val="23"/>
          <w:szCs w:val="23"/>
        </w:rPr>
        <w:t>Egyéb</w:t>
      </w:r>
      <w:r w:rsidR="007000EA">
        <w:rPr>
          <w:rFonts w:ascii="Calibri" w:hAnsi="Calibri" w:cs="Calibri"/>
          <w:bCs/>
          <w:sz w:val="23"/>
          <w:szCs w:val="23"/>
        </w:rPr>
        <w:t xml:space="preserve"> bevételként jelenik meg </w:t>
      </w:r>
      <w:r>
        <w:rPr>
          <w:rFonts w:ascii="Calibri" w:hAnsi="Calibri" w:cs="Calibri"/>
          <w:bCs/>
          <w:sz w:val="23"/>
          <w:szCs w:val="23"/>
        </w:rPr>
        <w:t xml:space="preserve">továbbá </w:t>
      </w:r>
      <w:r w:rsidR="007000EA">
        <w:rPr>
          <w:rFonts w:ascii="Calibri" w:hAnsi="Calibri" w:cs="Calibri"/>
          <w:bCs/>
          <w:sz w:val="23"/>
          <w:szCs w:val="23"/>
        </w:rPr>
        <w:t>a biztosítási kártérítés összege</w:t>
      </w:r>
      <w:r>
        <w:rPr>
          <w:rFonts w:ascii="Calibri" w:hAnsi="Calibri" w:cs="Calibri"/>
          <w:bCs/>
          <w:sz w:val="23"/>
          <w:szCs w:val="23"/>
        </w:rPr>
        <w:t>, továbbá a számviteli elszámolás szabálya miatt a</w:t>
      </w:r>
      <w:r w:rsidR="007000EA">
        <w:rPr>
          <w:rFonts w:ascii="Calibri" w:hAnsi="Calibri" w:cs="Calibri"/>
          <w:bCs/>
          <w:sz w:val="23"/>
          <w:szCs w:val="23"/>
        </w:rPr>
        <w:t xml:space="preserve"> vagyonkezelésbe vett ingatlan értékcsökkenésének összege</w:t>
      </w:r>
      <w:r>
        <w:rPr>
          <w:rFonts w:ascii="Calibri" w:hAnsi="Calibri" w:cs="Calibri"/>
          <w:bCs/>
          <w:sz w:val="23"/>
          <w:szCs w:val="23"/>
        </w:rPr>
        <w:t>.</w:t>
      </w:r>
    </w:p>
    <w:p w14:paraId="22DD6AAC" w14:textId="7B6DC5BC" w:rsidR="00AD68F8" w:rsidRDefault="007000EA" w:rsidP="00363D3A">
      <w:pPr>
        <w:pStyle w:val="Listaszerbekezds"/>
        <w:spacing w:before="240" w:after="240"/>
        <w:ind w:left="0"/>
        <w:contextualSpacing w:val="0"/>
        <w:jc w:val="both"/>
        <w:rPr>
          <w:rFonts w:ascii="Calibri" w:hAnsi="Calibri" w:cs="Calibri"/>
          <w:bCs/>
          <w:sz w:val="23"/>
          <w:szCs w:val="23"/>
        </w:rPr>
      </w:pPr>
      <w:r>
        <w:rPr>
          <w:rFonts w:ascii="Calibri" w:hAnsi="Calibri" w:cs="Calibri"/>
          <w:bCs/>
          <w:sz w:val="23"/>
          <w:szCs w:val="23"/>
        </w:rPr>
        <w:t>A következő táblázat az egyéb bevételek 202</w:t>
      </w:r>
      <w:r w:rsidR="008E2CED">
        <w:rPr>
          <w:rFonts w:ascii="Calibri" w:hAnsi="Calibri" w:cs="Calibri"/>
          <w:bCs/>
          <w:sz w:val="23"/>
          <w:szCs w:val="23"/>
        </w:rPr>
        <w:t>4</w:t>
      </w:r>
      <w:r>
        <w:rPr>
          <w:rFonts w:ascii="Calibri" w:hAnsi="Calibri" w:cs="Calibri"/>
          <w:bCs/>
          <w:sz w:val="23"/>
          <w:szCs w:val="23"/>
        </w:rPr>
        <w:t xml:space="preserve">. évi </w:t>
      </w:r>
      <w:r w:rsidR="007F663E">
        <w:rPr>
          <w:rFonts w:ascii="Calibri" w:hAnsi="Calibri" w:cs="Calibri"/>
          <w:bCs/>
          <w:sz w:val="23"/>
          <w:szCs w:val="23"/>
        </w:rPr>
        <w:t>záróösszegét</w:t>
      </w:r>
      <w:r>
        <w:rPr>
          <w:rFonts w:ascii="Calibri" w:hAnsi="Calibri" w:cs="Calibri"/>
          <w:bCs/>
          <w:sz w:val="23"/>
          <w:szCs w:val="23"/>
        </w:rPr>
        <w:t xml:space="preserve"> mutatja:</w:t>
      </w:r>
    </w:p>
    <w:tbl>
      <w:tblPr>
        <w:tblW w:w="827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968"/>
        <w:gridCol w:w="2308"/>
      </w:tblGrid>
      <w:tr w:rsidR="008E2CED" w:rsidRPr="008E2CED" w14:paraId="6105E398" w14:textId="77777777" w:rsidTr="008E2CED">
        <w:trPr>
          <w:trHeight w:val="398"/>
          <w:jc w:val="center"/>
        </w:trPr>
        <w:tc>
          <w:tcPr>
            <w:tcW w:w="5968" w:type="dxa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76BB903E" w14:textId="77777777" w:rsidR="008E2CED" w:rsidRPr="008E2CED" w:rsidRDefault="008E2CED" w:rsidP="008E2CE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2F2F2"/>
                <w:sz w:val="24"/>
                <w:szCs w:val="24"/>
              </w:rPr>
            </w:pPr>
            <w:r w:rsidRPr="008E2CED">
              <w:rPr>
                <w:rFonts w:ascii="Arial" w:eastAsia="Times New Roman" w:hAnsi="Arial" w:cs="Arial"/>
                <w:b/>
                <w:bCs/>
                <w:color w:val="F2F2F2"/>
                <w:sz w:val="24"/>
                <w:szCs w:val="24"/>
              </w:rPr>
              <w:t>Egyéb bevétel jogcíme</w:t>
            </w:r>
          </w:p>
        </w:tc>
        <w:tc>
          <w:tcPr>
            <w:tcW w:w="2308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14998812" w14:textId="77777777" w:rsidR="008E2CED" w:rsidRPr="008E2CED" w:rsidRDefault="008E2CED" w:rsidP="008E2CED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F2F2F2"/>
                <w:sz w:val="24"/>
                <w:szCs w:val="24"/>
              </w:rPr>
            </w:pPr>
            <w:r w:rsidRPr="008E2CED">
              <w:rPr>
                <w:rFonts w:ascii="Arial" w:eastAsia="Times New Roman" w:hAnsi="Arial" w:cs="Arial"/>
                <w:b/>
                <w:bCs/>
                <w:color w:val="F2F2F2"/>
                <w:sz w:val="24"/>
                <w:szCs w:val="24"/>
              </w:rPr>
              <w:t>összeg</w:t>
            </w:r>
          </w:p>
        </w:tc>
      </w:tr>
      <w:tr w:rsidR="008E2CED" w:rsidRPr="008E2CED" w14:paraId="77639C12" w14:textId="77777777" w:rsidTr="008E2CED">
        <w:trPr>
          <w:trHeight w:val="398"/>
          <w:jc w:val="center"/>
        </w:trPr>
        <w:tc>
          <w:tcPr>
            <w:tcW w:w="5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F91BE1" w14:textId="77777777" w:rsidR="008E2CED" w:rsidRPr="008E2CED" w:rsidRDefault="008E2CED" w:rsidP="008E2CED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8E2CED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halasztott bevétel feloldása</w:t>
            </w:r>
          </w:p>
        </w:tc>
        <w:tc>
          <w:tcPr>
            <w:tcW w:w="2308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AF6287" w14:textId="77777777" w:rsidR="008E2CED" w:rsidRPr="008E2CED" w:rsidRDefault="008E2CED" w:rsidP="008E2CE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8E2CED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48 681 854 Ft</w:t>
            </w:r>
          </w:p>
        </w:tc>
      </w:tr>
      <w:tr w:rsidR="008E2CED" w:rsidRPr="008E2CED" w14:paraId="0C3672FE" w14:textId="77777777" w:rsidTr="008E2CED">
        <w:trPr>
          <w:trHeight w:val="409"/>
          <w:jc w:val="center"/>
        </w:trPr>
        <w:tc>
          <w:tcPr>
            <w:tcW w:w="5968" w:type="dxa"/>
            <w:tcBorders>
              <w:top w:val="nil"/>
              <w:left w:val="nil"/>
              <w:bottom w:val="nil"/>
              <w:right w:val="nil"/>
            </w:tcBorders>
            <w:shd w:val="clear" w:color="000000" w:fill="BFBFBF"/>
            <w:noWrap/>
            <w:vAlign w:val="center"/>
            <w:hideMark/>
          </w:tcPr>
          <w:p w14:paraId="4367663C" w14:textId="04E513A5" w:rsidR="008E2CED" w:rsidRPr="008E2CED" w:rsidRDefault="008E2CED" w:rsidP="008E2CED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8E2CED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működési támogatás (közvetlen működésre)</w:t>
            </w:r>
            <w:r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*</w:t>
            </w:r>
          </w:p>
        </w:tc>
        <w:tc>
          <w:tcPr>
            <w:tcW w:w="2308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000000" w:fill="BFBFBF"/>
            <w:noWrap/>
            <w:vAlign w:val="center"/>
            <w:hideMark/>
          </w:tcPr>
          <w:p w14:paraId="70C9E3D6" w14:textId="77777777" w:rsidR="008E2CED" w:rsidRPr="008E2CED" w:rsidRDefault="008E2CED" w:rsidP="008E2CE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8E2CED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496 676 777 Ft</w:t>
            </w:r>
          </w:p>
        </w:tc>
      </w:tr>
      <w:tr w:rsidR="008E2CED" w:rsidRPr="008E2CED" w14:paraId="7BE600B2" w14:textId="77777777" w:rsidTr="008E2CED">
        <w:trPr>
          <w:trHeight w:val="409"/>
          <w:jc w:val="center"/>
        </w:trPr>
        <w:tc>
          <w:tcPr>
            <w:tcW w:w="5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E643A1" w14:textId="77777777" w:rsidR="008E2CED" w:rsidRPr="008E2CED" w:rsidRDefault="008E2CED" w:rsidP="008E2CED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8E2CED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működési támogatás (vagyonkezelt ingatlan helyi adójára)</w:t>
            </w:r>
          </w:p>
        </w:tc>
        <w:tc>
          <w:tcPr>
            <w:tcW w:w="2308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BD4AA8" w14:textId="77777777" w:rsidR="008E2CED" w:rsidRPr="008E2CED" w:rsidRDefault="008E2CED" w:rsidP="008E2CE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8E2CED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312 695 505 Ft</w:t>
            </w:r>
          </w:p>
        </w:tc>
      </w:tr>
      <w:tr w:rsidR="008E2CED" w:rsidRPr="008E2CED" w14:paraId="5C31A06F" w14:textId="77777777" w:rsidTr="008E2CED">
        <w:trPr>
          <w:trHeight w:val="398"/>
          <w:jc w:val="center"/>
        </w:trPr>
        <w:tc>
          <w:tcPr>
            <w:tcW w:w="5968" w:type="dxa"/>
            <w:tcBorders>
              <w:top w:val="nil"/>
              <w:left w:val="nil"/>
              <w:bottom w:val="nil"/>
              <w:right w:val="nil"/>
            </w:tcBorders>
            <w:shd w:val="clear" w:color="000000" w:fill="BFBFBF"/>
            <w:noWrap/>
            <w:vAlign w:val="center"/>
            <w:hideMark/>
          </w:tcPr>
          <w:p w14:paraId="41B59B8F" w14:textId="77777777" w:rsidR="008E2CED" w:rsidRPr="008E2CED" w:rsidRDefault="008E2CED" w:rsidP="008E2CED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8E2CED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kerekítésből származó bevétel</w:t>
            </w:r>
          </w:p>
        </w:tc>
        <w:tc>
          <w:tcPr>
            <w:tcW w:w="2308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000000" w:fill="BFBFBF"/>
            <w:noWrap/>
            <w:vAlign w:val="center"/>
            <w:hideMark/>
          </w:tcPr>
          <w:p w14:paraId="6F1D9031" w14:textId="77777777" w:rsidR="008E2CED" w:rsidRPr="008E2CED" w:rsidRDefault="008E2CED" w:rsidP="008E2CE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8E2CED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5 197 Ft</w:t>
            </w:r>
          </w:p>
        </w:tc>
      </w:tr>
      <w:tr w:rsidR="008E2CED" w:rsidRPr="008E2CED" w14:paraId="02AA7B13" w14:textId="77777777" w:rsidTr="008E2CED">
        <w:trPr>
          <w:trHeight w:val="398"/>
          <w:jc w:val="center"/>
        </w:trPr>
        <w:tc>
          <w:tcPr>
            <w:tcW w:w="5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E4AD3E" w14:textId="77777777" w:rsidR="008E2CED" w:rsidRPr="008E2CED" w:rsidRDefault="008E2CED" w:rsidP="008E2CED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8E2CED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kapott kártérítés, bírság, kötbér</w:t>
            </w:r>
          </w:p>
        </w:tc>
        <w:tc>
          <w:tcPr>
            <w:tcW w:w="2308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D72B72" w14:textId="77777777" w:rsidR="008E2CED" w:rsidRPr="008E2CED" w:rsidRDefault="008E2CED" w:rsidP="008E2CE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8E2CED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2 189 661 Ft</w:t>
            </w:r>
          </w:p>
        </w:tc>
      </w:tr>
      <w:tr w:rsidR="008E2CED" w:rsidRPr="008E2CED" w14:paraId="21E7ADF7" w14:textId="77777777" w:rsidTr="008E2CED">
        <w:trPr>
          <w:trHeight w:val="398"/>
          <w:jc w:val="center"/>
        </w:trPr>
        <w:tc>
          <w:tcPr>
            <w:tcW w:w="5968" w:type="dxa"/>
            <w:tcBorders>
              <w:top w:val="nil"/>
              <w:left w:val="nil"/>
              <w:bottom w:val="nil"/>
              <w:right w:val="nil"/>
            </w:tcBorders>
            <w:shd w:val="clear" w:color="000000" w:fill="BFBFBF"/>
            <w:noWrap/>
            <w:vAlign w:val="center"/>
            <w:hideMark/>
          </w:tcPr>
          <w:p w14:paraId="61404664" w14:textId="77777777" w:rsidR="008E2CED" w:rsidRPr="008E2CED" w:rsidRDefault="008E2CED" w:rsidP="008E2CED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8E2CED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 xml:space="preserve">vagyonkezelés écs.je </w:t>
            </w:r>
          </w:p>
        </w:tc>
        <w:tc>
          <w:tcPr>
            <w:tcW w:w="2308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000000" w:fill="BFBFBF"/>
            <w:noWrap/>
            <w:vAlign w:val="center"/>
            <w:hideMark/>
          </w:tcPr>
          <w:p w14:paraId="79D956E6" w14:textId="77777777" w:rsidR="008E2CED" w:rsidRPr="008E2CED" w:rsidRDefault="008E2CED" w:rsidP="008E2CE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8E2CED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18 434 915 Ft</w:t>
            </w:r>
          </w:p>
        </w:tc>
      </w:tr>
      <w:tr w:rsidR="008E2CED" w:rsidRPr="008E2CED" w14:paraId="03DF2D32" w14:textId="77777777" w:rsidTr="008E2CED">
        <w:trPr>
          <w:trHeight w:val="398"/>
          <w:jc w:val="center"/>
        </w:trPr>
        <w:tc>
          <w:tcPr>
            <w:tcW w:w="5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09B2AC" w14:textId="77777777" w:rsidR="008E2CED" w:rsidRPr="008E2CED" w:rsidRDefault="008E2CED" w:rsidP="008E2CED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8E2CED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további egyéb bevétel (pl. elévült köt., eszköz ért.)</w:t>
            </w:r>
          </w:p>
        </w:tc>
        <w:tc>
          <w:tcPr>
            <w:tcW w:w="2308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185770" w14:textId="77777777" w:rsidR="008E2CED" w:rsidRPr="008E2CED" w:rsidRDefault="008E2CED" w:rsidP="008E2CE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404040"/>
                <w:sz w:val="23"/>
                <w:szCs w:val="23"/>
              </w:rPr>
            </w:pPr>
            <w:r w:rsidRPr="008E2CED">
              <w:rPr>
                <w:rFonts w:ascii="Arial" w:eastAsia="Times New Roman" w:hAnsi="Arial" w:cs="Arial"/>
                <w:color w:val="404040"/>
                <w:sz w:val="23"/>
                <w:szCs w:val="23"/>
              </w:rPr>
              <w:t>1 302 055 Ft</w:t>
            </w:r>
          </w:p>
        </w:tc>
      </w:tr>
      <w:tr w:rsidR="008E2CED" w:rsidRPr="008E2CED" w14:paraId="0CE39B0A" w14:textId="77777777" w:rsidTr="008E2CED">
        <w:trPr>
          <w:trHeight w:val="398"/>
          <w:jc w:val="center"/>
        </w:trPr>
        <w:tc>
          <w:tcPr>
            <w:tcW w:w="5968" w:type="dxa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23D591E9" w14:textId="77777777" w:rsidR="008E2CED" w:rsidRPr="008E2CED" w:rsidRDefault="008E2CED" w:rsidP="008E2CE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2F2F2"/>
                <w:sz w:val="24"/>
                <w:szCs w:val="24"/>
              </w:rPr>
            </w:pPr>
            <w:r w:rsidRPr="008E2CED">
              <w:rPr>
                <w:rFonts w:ascii="Arial" w:eastAsia="Times New Roman" w:hAnsi="Arial" w:cs="Arial"/>
                <w:b/>
                <w:bCs/>
                <w:color w:val="F2F2F2"/>
                <w:sz w:val="24"/>
                <w:szCs w:val="24"/>
              </w:rPr>
              <w:t>összesen:</w:t>
            </w:r>
          </w:p>
        </w:tc>
        <w:tc>
          <w:tcPr>
            <w:tcW w:w="2308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534B5AB4" w14:textId="77777777" w:rsidR="008E2CED" w:rsidRPr="008E2CED" w:rsidRDefault="008E2CED" w:rsidP="008E2CED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F2F2F2"/>
                <w:sz w:val="24"/>
                <w:szCs w:val="24"/>
              </w:rPr>
            </w:pPr>
            <w:r w:rsidRPr="008E2CED">
              <w:rPr>
                <w:rFonts w:ascii="Arial" w:eastAsia="Times New Roman" w:hAnsi="Arial" w:cs="Arial"/>
                <w:b/>
                <w:bCs/>
                <w:color w:val="F2F2F2"/>
                <w:sz w:val="24"/>
                <w:szCs w:val="24"/>
              </w:rPr>
              <w:t>879 985 964 Ft</w:t>
            </w:r>
          </w:p>
        </w:tc>
      </w:tr>
    </w:tbl>
    <w:p w14:paraId="061DB3BA" w14:textId="614C17C6" w:rsidR="008E2CED" w:rsidRPr="006E39D4" w:rsidRDefault="008E2CED" w:rsidP="00363D3A">
      <w:pPr>
        <w:pStyle w:val="Listaszerbekezds"/>
        <w:spacing w:before="240" w:after="240"/>
        <w:ind w:left="0"/>
        <w:contextualSpacing w:val="0"/>
        <w:jc w:val="both"/>
        <w:rPr>
          <w:rFonts w:ascii="Calibri" w:hAnsi="Calibri" w:cs="Calibri"/>
          <w:bCs/>
          <w:i/>
          <w:iCs/>
          <w:sz w:val="23"/>
          <w:szCs w:val="23"/>
        </w:rPr>
      </w:pPr>
      <w:r w:rsidRPr="006E39D4">
        <w:rPr>
          <w:rFonts w:ascii="Calibri" w:hAnsi="Calibri" w:cs="Calibri"/>
          <w:bCs/>
          <w:i/>
          <w:iCs/>
          <w:sz w:val="23"/>
          <w:szCs w:val="23"/>
        </w:rPr>
        <w:t>*a tárgyévi működési támogatás összege 500 millió Ft, azonban a számviteli elszámolás szabályai szerint a több évet érintő költségek</w:t>
      </w:r>
      <w:r w:rsidR="0027720D" w:rsidRPr="006E39D4">
        <w:rPr>
          <w:rFonts w:ascii="Calibri" w:hAnsi="Calibri" w:cs="Calibri"/>
          <w:bCs/>
          <w:i/>
          <w:iCs/>
          <w:sz w:val="23"/>
          <w:szCs w:val="23"/>
        </w:rPr>
        <w:t>, ráfordítások elhatárolásra, beruházások elszámolása halasztásra került, ezért jelenik meg a táblázatban az ezekkel csökkentett összeg.</w:t>
      </w:r>
    </w:p>
    <w:p w14:paraId="487514BE" w14:textId="77777777" w:rsidR="008E2CED" w:rsidRDefault="008E2CED" w:rsidP="00363D3A">
      <w:pPr>
        <w:pStyle w:val="Listaszerbekezds"/>
        <w:spacing w:before="240" w:after="240"/>
        <w:ind w:left="0"/>
        <w:contextualSpacing w:val="0"/>
        <w:jc w:val="both"/>
        <w:rPr>
          <w:rFonts w:ascii="Calibri" w:hAnsi="Calibri" w:cs="Calibri"/>
          <w:bCs/>
          <w:sz w:val="23"/>
          <w:szCs w:val="23"/>
        </w:rPr>
      </w:pPr>
    </w:p>
    <w:p w14:paraId="7C0CB3C9" w14:textId="0F9289CF" w:rsidR="00AD68F8" w:rsidRPr="006C394B" w:rsidRDefault="00AD68F8" w:rsidP="00BA7E54">
      <w:pPr>
        <w:pStyle w:val="Listaszerbekezds"/>
        <w:spacing w:before="240" w:after="240"/>
        <w:ind w:left="0"/>
        <w:rPr>
          <w:rFonts w:ascii="Calibri" w:hAnsi="Calibri" w:cs="Calibri"/>
          <w:b/>
          <w:sz w:val="28"/>
          <w:szCs w:val="24"/>
          <w:highlight w:val="yellow"/>
        </w:rPr>
      </w:pPr>
    </w:p>
    <w:p w14:paraId="7D05156A" w14:textId="77777777" w:rsidR="00B5534D" w:rsidRPr="006C394B" w:rsidRDefault="00B5534D">
      <w:pPr>
        <w:rPr>
          <w:rFonts w:ascii="Calibri" w:eastAsiaTheme="majorEastAsia" w:hAnsi="Calibri" w:cs="Calibri"/>
          <w:b/>
          <w:bCs/>
          <w:caps/>
          <w:color w:val="244061" w:themeColor="accent1" w:themeShade="80"/>
          <w:sz w:val="26"/>
          <w:szCs w:val="26"/>
          <w:highlight w:val="yellow"/>
        </w:rPr>
      </w:pPr>
      <w:r w:rsidRPr="006C394B">
        <w:rPr>
          <w:rFonts w:ascii="Calibri" w:hAnsi="Calibri" w:cs="Calibri"/>
          <w:b/>
          <w:bCs/>
          <w:caps/>
          <w:sz w:val="26"/>
          <w:szCs w:val="26"/>
          <w:highlight w:val="yellow"/>
        </w:rPr>
        <w:br w:type="page"/>
      </w:r>
    </w:p>
    <w:p w14:paraId="2F3D2885" w14:textId="405D70ED" w:rsidR="00471B82" w:rsidRPr="00AD65E2" w:rsidRDefault="00F97514" w:rsidP="00AD65E2">
      <w:pPr>
        <w:pStyle w:val="Cmsor1"/>
        <w:numPr>
          <w:ilvl w:val="0"/>
          <w:numId w:val="35"/>
        </w:numPr>
        <w:spacing w:before="240" w:after="240"/>
        <w:ind w:left="426" w:hanging="426"/>
        <w:rPr>
          <w:rFonts w:ascii="Calibri" w:hAnsi="Calibri" w:cs="Calibri"/>
          <w:b/>
          <w:caps/>
          <w:sz w:val="26"/>
          <w:szCs w:val="26"/>
        </w:rPr>
      </w:pPr>
      <w:bookmarkStart w:id="7" w:name="_Toc196485749"/>
      <w:r w:rsidRPr="00AD65E2">
        <w:rPr>
          <w:rFonts w:ascii="Calibri" w:hAnsi="Calibri" w:cs="Calibri"/>
          <w:b/>
          <w:caps/>
          <w:sz w:val="26"/>
          <w:szCs w:val="26"/>
        </w:rPr>
        <w:lastRenderedPageBreak/>
        <w:t>költségek és ráfordítások</w:t>
      </w:r>
      <w:r w:rsidR="00CC36DD" w:rsidRPr="00AD65E2">
        <w:rPr>
          <w:rFonts w:ascii="Calibri" w:hAnsi="Calibri" w:cs="Calibri"/>
          <w:b/>
          <w:caps/>
          <w:sz w:val="26"/>
          <w:szCs w:val="26"/>
        </w:rPr>
        <w:t xml:space="preserve"> ALAKULÁSA</w:t>
      </w:r>
      <w:bookmarkEnd w:id="7"/>
    </w:p>
    <w:p w14:paraId="324C7F92" w14:textId="5A0C8EB5" w:rsidR="00366FBF" w:rsidRDefault="006A250E" w:rsidP="0071562F">
      <w:pPr>
        <w:jc w:val="both"/>
      </w:pPr>
      <w:r w:rsidRPr="00795D75">
        <w:t>A Társaság</w:t>
      </w:r>
      <w:r w:rsidR="00CD3FD4">
        <w:t xml:space="preserve"> összes</w:t>
      </w:r>
      <w:r w:rsidR="00366FBF" w:rsidRPr="00795D75">
        <w:t xml:space="preserve"> költségei és</w:t>
      </w:r>
      <w:r w:rsidRPr="00795D75">
        <w:t xml:space="preserve"> ráfordításai </w:t>
      </w:r>
      <w:r w:rsidR="00CD3FD4">
        <w:t xml:space="preserve">a tárgyévben a </w:t>
      </w:r>
      <w:r w:rsidR="00CD3FD4" w:rsidRPr="00CD3FD4">
        <w:rPr>
          <w:b/>
          <w:bCs/>
        </w:rPr>
        <w:t>tervezetthez képest 48,6%-os,</w:t>
      </w:r>
      <w:r w:rsidR="00795D75" w:rsidRPr="00CD3FD4">
        <w:rPr>
          <w:b/>
          <w:bCs/>
        </w:rPr>
        <w:t xml:space="preserve"> </w:t>
      </w:r>
      <w:r w:rsidR="00B22407" w:rsidRPr="00CD3FD4">
        <w:rPr>
          <w:b/>
          <w:bCs/>
        </w:rPr>
        <w:t>az előző év</w:t>
      </w:r>
      <w:r w:rsidR="00CD3FD4" w:rsidRPr="00CD3FD4">
        <w:rPr>
          <w:b/>
          <w:bCs/>
        </w:rPr>
        <w:t>i teljesítés</w:t>
      </w:r>
      <w:r w:rsidR="00B22407" w:rsidRPr="00CD3FD4">
        <w:rPr>
          <w:b/>
          <w:bCs/>
        </w:rPr>
        <w:t xml:space="preserve">hez képest </w:t>
      </w:r>
      <w:r w:rsidR="00FD0DDC">
        <w:rPr>
          <w:b/>
          <w:bCs/>
        </w:rPr>
        <w:t xml:space="preserve">30,5 </w:t>
      </w:r>
      <w:r w:rsidRPr="00CD3FD4">
        <w:rPr>
          <w:b/>
          <w:bCs/>
        </w:rPr>
        <w:t>%-os</w:t>
      </w:r>
      <w:r w:rsidR="00E96C9B">
        <w:rPr>
          <w:b/>
          <w:bCs/>
        </w:rPr>
        <w:t xml:space="preserve"> növekedést mutatnak</w:t>
      </w:r>
      <w:r w:rsidR="00366FBF" w:rsidRPr="00795D75">
        <w:rPr>
          <w:b/>
          <w:bCs/>
        </w:rPr>
        <w:t>,</w:t>
      </w:r>
      <w:r w:rsidR="00366FBF" w:rsidRPr="00795D75">
        <w:t xml:space="preserve"> mintegy </w:t>
      </w:r>
      <w:r w:rsidR="00E96C9B">
        <w:t>1.392,4</w:t>
      </w:r>
      <w:r w:rsidR="00366FBF" w:rsidRPr="00795D75">
        <w:t xml:space="preserve"> millió Ft összegben teljesültek. </w:t>
      </w:r>
    </w:p>
    <w:p w14:paraId="25A39272" w14:textId="785DC8B5" w:rsidR="00AB542A" w:rsidRDefault="00AB542A" w:rsidP="0071562F">
      <w:pPr>
        <w:jc w:val="both"/>
      </w:pPr>
      <w:r>
        <w:t>A költségek és ráfordítások tervezetthez történő alakulása a következő:</w:t>
      </w:r>
    </w:p>
    <w:p w14:paraId="7C177D62" w14:textId="6EC8A69B" w:rsidR="00AB542A" w:rsidRPr="00795D75" w:rsidRDefault="00AB542A" w:rsidP="00AB542A">
      <w:pPr>
        <w:jc w:val="center"/>
      </w:pPr>
      <w:r>
        <w:rPr>
          <w:noProof/>
        </w:rPr>
        <w:drawing>
          <wp:inline distT="0" distB="0" distL="0" distR="0" wp14:anchorId="22AC76C1" wp14:editId="75ADEEEE">
            <wp:extent cx="6206066" cy="2802466"/>
            <wp:effectExtent l="0" t="0" r="4445" b="0"/>
            <wp:docPr id="1628177613" name="Diagram 1">
              <a:extLst xmlns:a="http://schemas.openxmlformats.org/drawingml/2006/main">
                <a:ext uri="{FF2B5EF4-FFF2-40B4-BE49-F238E27FC236}">
                  <a16:creationId xmlns:a16="http://schemas.microsoft.com/office/drawing/2014/main" id="{08B28469-7440-81E2-20F6-DF53515F229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14:paraId="0A61F1A2" w14:textId="68444F2E" w:rsidR="00B22407" w:rsidRDefault="00E96C9B" w:rsidP="0071562F">
      <w:pPr>
        <w:jc w:val="both"/>
      </w:pPr>
      <w:r>
        <w:t>A jelentősnek tűnő növekedés</w:t>
      </w:r>
      <w:r w:rsidR="00F32B62">
        <w:t xml:space="preserve"> nem tényleges költségnövekedés, mivel az értékesítésre kerülő üzemanyag beszerzési értéke is itt jelenik </w:t>
      </w:r>
      <w:r w:rsidR="009C25E0">
        <w:t>meg</w:t>
      </w:r>
      <w:r w:rsidR="00F32B62">
        <w:t xml:space="preserve">, amely azonban bevételnövekedést is eredményezett. Az egyes ráfordításkategóriák teljesülése a későbbiekben kerül bemutatásra.    </w:t>
      </w:r>
    </w:p>
    <w:p w14:paraId="1022E416" w14:textId="347CD94D" w:rsidR="009012DC" w:rsidRDefault="009012DC" w:rsidP="0071562F">
      <w:pPr>
        <w:jc w:val="both"/>
      </w:pPr>
      <w:r>
        <w:t>A Társaság költségeinek és ráfordításainak 202</w:t>
      </w:r>
      <w:r w:rsidR="00F32B62">
        <w:t>4</w:t>
      </w:r>
      <w:r>
        <w:t>. évi megoszlása:</w:t>
      </w:r>
    </w:p>
    <w:p w14:paraId="16A64859" w14:textId="1E8A03DC" w:rsidR="009012DC" w:rsidRDefault="00F32B62" w:rsidP="009012DC">
      <w:pPr>
        <w:jc w:val="center"/>
      </w:pPr>
      <w:r>
        <w:rPr>
          <w:noProof/>
        </w:rPr>
        <w:drawing>
          <wp:inline distT="0" distB="0" distL="0" distR="0" wp14:anchorId="2FC2C0E6" wp14:editId="28E32ED2">
            <wp:extent cx="5092700" cy="3920067"/>
            <wp:effectExtent l="0" t="0" r="12700" b="4445"/>
            <wp:docPr id="850356368" name="Diagram 1">
              <a:extLst xmlns:a="http://schemas.openxmlformats.org/drawingml/2006/main">
                <a:ext uri="{FF2B5EF4-FFF2-40B4-BE49-F238E27FC236}">
                  <a16:creationId xmlns:a16="http://schemas.microsoft.com/office/drawing/2014/main" id="{41B99942-90FF-46D4-B868-F2205DF181E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14:paraId="08A596DA" w14:textId="2754B324" w:rsidR="002E0D8A" w:rsidRDefault="009012DC" w:rsidP="0071562F">
      <w:pPr>
        <w:jc w:val="both"/>
      </w:pPr>
      <w:r>
        <w:lastRenderedPageBreak/>
        <w:t xml:space="preserve">A </w:t>
      </w:r>
      <w:r w:rsidR="00713070">
        <w:t xml:space="preserve">költségek legnagyobb hányadát </w:t>
      </w:r>
      <w:r w:rsidR="002E0D8A">
        <w:t>202</w:t>
      </w:r>
      <w:r w:rsidR="00F32B62">
        <w:t>4</w:t>
      </w:r>
      <w:r w:rsidR="002E0D8A">
        <w:t xml:space="preserve">. évben is </w:t>
      </w:r>
      <w:r w:rsidR="00713070">
        <w:t>az</w:t>
      </w:r>
      <w:r>
        <w:t xml:space="preserve"> anyagjellegű ráfordítások jelentették</w:t>
      </w:r>
      <w:r w:rsidR="005901A0">
        <w:t xml:space="preserve">, </w:t>
      </w:r>
      <w:r w:rsidR="00713070">
        <w:t>ezeknek az ráfordításoknak jelentős hányada közvetett, a forgalom alakulásától független költségnek</w:t>
      </w:r>
      <w:r w:rsidR="002E0D8A">
        <w:t>, ráfordításnak</w:t>
      </w:r>
      <w:r w:rsidR="00713070">
        <w:t xml:space="preserve"> tekinthető. </w:t>
      </w:r>
    </w:p>
    <w:p w14:paraId="2A64E383" w14:textId="77777777" w:rsidR="002E0D8A" w:rsidRDefault="00713070" w:rsidP="0071562F">
      <w:pPr>
        <w:jc w:val="both"/>
      </w:pPr>
      <w:r>
        <w:t xml:space="preserve">Ugyanez mondható el a személyi jellegű ráfordításokról is, hisz a Társaság mind az üzemeltetés, mind a földi kiszolgálás, mind pedig az ún. központi irányítás területén a feltétlenül indokolt és szükséges létszámot alkalmazta, törekedett az átmenetileg felmerülő létszámszükségletet egyszerűsített foglalkoztatás keretében biztosítani. </w:t>
      </w:r>
    </w:p>
    <w:p w14:paraId="182B9BA7" w14:textId="5398DD0B" w:rsidR="009012DC" w:rsidRDefault="00713070" w:rsidP="0071562F">
      <w:pPr>
        <w:jc w:val="both"/>
      </w:pPr>
      <w:r>
        <w:t>Az értékcsökkenési leírás tartalmazza a vagyonkezelésbe vett ingatlanok értékcsökkenését, mely összeggel a számviteli sajátosságok miatt az egyéb bevételeink korrigálásra kerültek, így ezek együttes nettó értéke 0 Ft.</w:t>
      </w:r>
    </w:p>
    <w:p w14:paraId="5CB5EF72" w14:textId="199E3D39" w:rsidR="006A250E" w:rsidRDefault="00366FBF" w:rsidP="0071562F">
      <w:pPr>
        <w:jc w:val="both"/>
      </w:pPr>
      <w:r w:rsidRPr="00795D75">
        <w:t>A Társaság költségeinek és ráfordításainak alakulása 2021. – 202</w:t>
      </w:r>
      <w:r w:rsidR="005901A0">
        <w:t>4</w:t>
      </w:r>
      <w:r w:rsidRPr="00795D75">
        <w:t>. években:</w:t>
      </w:r>
    </w:p>
    <w:p w14:paraId="0D7CB9C8" w14:textId="735E665F" w:rsidR="005901A0" w:rsidRDefault="005901A0" w:rsidP="00AB542A">
      <w:pPr>
        <w:ind w:left="-284"/>
        <w:jc w:val="center"/>
      </w:pPr>
      <w:r>
        <w:rPr>
          <w:noProof/>
        </w:rPr>
        <w:drawing>
          <wp:inline distT="0" distB="0" distL="0" distR="0" wp14:anchorId="078A3DC1" wp14:editId="4EF92ED3">
            <wp:extent cx="6407785" cy="5883910"/>
            <wp:effectExtent l="0" t="0" r="12065" b="2540"/>
            <wp:docPr id="35147758" name="Diagram 1">
              <a:extLst xmlns:a="http://schemas.openxmlformats.org/drawingml/2006/main">
                <a:ext uri="{FF2B5EF4-FFF2-40B4-BE49-F238E27FC236}">
                  <a16:creationId xmlns:a16="http://schemas.microsoft.com/office/drawing/2014/main" id="{57860F5A-80B8-4075-87B9-46C8701C8316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14:paraId="20ECFDD2" w14:textId="77777777" w:rsidR="00AB542A" w:rsidRDefault="00AB542A">
      <w:pPr>
        <w:rPr>
          <w:rFonts w:ascii="Calibri" w:hAnsi="Calibri" w:cs="Calibri"/>
          <w:b/>
          <w:sz w:val="24"/>
          <w:szCs w:val="24"/>
        </w:rPr>
      </w:pPr>
      <w:bookmarkStart w:id="8" w:name="_Hlk133421905"/>
      <w:r>
        <w:rPr>
          <w:rFonts w:ascii="Calibri" w:hAnsi="Calibri" w:cs="Calibri"/>
          <w:b/>
          <w:sz w:val="24"/>
          <w:szCs w:val="24"/>
        </w:rPr>
        <w:br w:type="page"/>
      </w:r>
    </w:p>
    <w:p w14:paraId="4023F0EA" w14:textId="76C5E4F2" w:rsidR="00436EB4" w:rsidRPr="00582838" w:rsidRDefault="008E5085" w:rsidP="00290107">
      <w:pPr>
        <w:pStyle w:val="Listaszerbekezds"/>
        <w:numPr>
          <w:ilvl w:val="0"/>
          <w:numId w:val="38"/>
        </w:numPr>
        <w:spacing w:before="240" w:after="240"/>
        <w:ind w:left="284" w:hanging="284"/>
        <w:rPr>
          <w:rFonts w:ascii="Calibri" w:hAnsi="Calibri" w:cs="Calibri"/>
          <w:b/>
          <w:sz w:val="24"/>
          <w:szCs w:val="24"/>
        </w:rPr>
      </w:pPr>
      <w:r w:rsidRPr="00582838">
        <w:rPr>
          <w:rFonts w:ascii="Calibri" w:hAnsi="Calibri" w:cs="Calibri"/>
          <w:b/>
          <w:sz w:val="24"/>
          <w:szCs w:val="24"/>
        </w:rPr>
        <w:lastRenderedPageBreak/>
        <w:t>Anyagjellegű ráfordítások</w:t>
      </w:r>
    </w:p>
    <w:bookmarkEnd w:id="8"/>
    <w:p w14:paraId="66F3D9F5" w14:textId="67DD4FD7" w:rsidR="001217E2" w:rsidRDefault="00436EB4" w:rsidP="00436EB4">
      <w:pPr>
        <w:jc w:val="both"/>
        <w:rPr>
          <w:rFonts w:ascii="Calibri" w:hAnsi="Calibri" w:cs="Calibri"/>
          <w:bCs/>
          <w:sz w:val="23"/>
          <w:szCs w:val="23"/>
        </w:rPr>
      </w:pPr>
      <w:r w:rsidRPr="00582838">
        <w:rPr>
          <w:rFonts w:ascii="Calibri" w:hAnsi="Calibri" w:cs="Calibri"/>
          <w:bCs/>
          <w:sz w:val="23"/>
          <w:szCs w:val="23"/>
        </w:rPr>
        <w:t>Anyagjellegű ráfordítás</w:t>
      </w:r>
      <w:r w:rsidR="001217E2">
        <w:rPr>
          <w:rFonts w:ascii="Calibri" w:hAnsi="Calibri" w:cs="Calibri"/>
          <w:bCs/>
          <w:sz w:val="23"/>
          <w:szCs w:val="23"/>
        </w:rPr>
        <w:t xml:space="preserve"> tárgyévi teljesülése</w:t>
      </w:r>
      <w:r w:rsidR="00FD0DDC">
        <w:rPr>
          <w:rFonts w:ascii="Calibri" w:hAnsi="Calibri" w:cs="Calibri"/>
          <w:bCs/>
          <w:sz w:val="23"/>
          <w:szCs w:val="23"/>
        </w:rPr>
        <w:t xml:space="preserve"> a tervezetthez képest </w:t>
      </w:r>
      <w:r w:rsidR="001217E2">
        <w:rPr>
          <w:rFonts w:ascii="Calibri" w:hAnsi="Calibri" w:cs="Calibri"/>
          <w:bCs/>
          <w:sz w:val="23"/>
          <w:szCs w:val="23"/>
        </w:rPr>
        <w:t xml:space="preserve">29,4 %-os, </w:t>
      </w:r>
      <w:r w:rsidR="000A7A2A" w:rsidRPr="00582838">
        <w:rPr>
          <w:rFonts w:ascii="Calibri" w:hAnsi="Calibri" w:cs="Calibri"/>
          <w:bCs/>
          <w:sz w:val="23"/>
          <w:szCs w:val="23"/>
        </w:rPr>
        <w:t xml:space="preserve">az előző évihez képest </w:t>
      </w:r>
      <w:r w:rsidR="001217E2">
        <w:rPr>
          <w:rFonts w:ascii="Calibri" w:hAnsi="Calibri" w:cs="Calibri"/>
          <w:bCs/>
          <w:sz w:val="23"/>
          <w:szCs w:val="23"/>
        </w:rPr>
        <w:t>40,7</w:t>
      </w:r>
      <w:r w:rsidR="000A7A2A" w:rsidRPr="00582838">
        <w:rPr>
          <w:rFonts w:ascii="Calibri" w:hAnsi="Calibri" w:cs="Calibri"/>
          <w:bCs/>
          <w:sz w:val="23"/>
          <w:szCs w:val="23"/>
        </w:rPr>
        <w:t xml:space="preserve">%-os </w:t>
      </w:r>
      <w:r w:rsidR="001217E2">
        <w:rPr>
          <w:rFonts w:ascii="Calibri" w:hAnsi="Calibri" w:cs="Calibri"/>
          <w:bCs/>
          <w:sz w:val="23"/>
          <w:szCs w:val="23"/>
        </w:rPr>
        <w:t>növekedést</w:t>
      </w:r>
      <w:r w:rsidR="000A7A2A" w:rsidRPr="00582838">
        <w:rPr>
          <w:rFonts w:ascii="Calibri" w:hAnsi="Calibri" w:cs="Calibri"/>
          <w:bCs/>
          <w:sz w:val="23"/>
          <w:szCs w:val="23"/>
        </w:rPr>
        <w:t xml:space="preserve"> mutat</w:t>
      </w:r>
      <w:r w:rsidR="001217E2">
        <w:rPr>
          <w:rFonts w:ascii="Calibri" w:hAnsi="Calibri" w:cs="Calibri"/>
          <w:bCs/>
          <w:sz w:val="23"/>
          <w:szCs w:val="23"/>
        </w:rPr>
        <w:t>. E</w:t>
      </w:r>
      <w:r w:rsidR="000A7A2A" w:rsidRPr="00582838">
        <w:rPr>
          <w:rFonts w:ascii="Calibri" w:hAnsi="Calibri" w:cs="Calibri"/>
          <w:bCs/>
          <w:sz w:val="23"/>
          <w:szCs w:val="23"/>
        </w:rPr>
        <w:t xml:space="preserve"> ráfordítások </w:t>
      </w:r>
      <w:r w:rsidR="000A7A2A" w:rsidRPr="00582838">
        <w:rPr>
          <w:rFonts w:ascii="Calibri" w:hAnsi="Calibri" w:cs="Calibri"/>
          <w:b/>
          <w:sz w:val="23"/>
          <w:szCs w:val="23"/>
        </w:rPr>
        <w:t>202</w:t>
      </w:r>
      <w:r w:rsidR="001217E2">
        <w:rPr>
          <w:rFonts w:ascii="Calibri" w:hAnsi="Calibri" w:cs="Calibri"/>
          <w:b/>
          <w:sz w:val="23"/>
          <w:szCs w:val="23"/>
        </w:rPr>
        <w:t>4</w:t>
      </w:r>
      <w:r w:rsidR="000A7A2A" w:rsidRPr="00582838">
        <w:rPr>
          <w:rFonts w:ascii="Calibri" w:hAnsi="Calibri" w:cs="Calibri"/>
          <w:b/>
          <w:sz w:val="23"/>
          <w:szCs w:val="23"/>
        </w:rPr>
        <w:t>. évi összege</w:t>
      </w:r>
      <w:r w:rsidRPr="00582838">
        <w:rPr>
          <w:rFonts w:ascii="Calibri" w:hAnsi="Calibri" w:cs="Calibri"/>
          <w:b/>
          <w:sz w:val="23"/>
          <w:szCs w:val="23"/>
        </w:rPr>
        <w:t xml:space="preserve"> </w:t>
      </w:r>
      <w:r w:rsidR="001217E2">
        <w:rPr>
          <w:rFonts w:ascii="Calibri" w:hAnsi="Calibri" w:cs="Calibri"/>
          <w:b/>
          <w:sz w:val="23"/>
          <w:szCs w:val="23"/>
        </w:rPr>
        <w:t>558,7</w:t>
      </w:r>
      <w:r w:rsidRPr="00582838">
        <w:rPr>
          <w:rFonts w:ascii="Calibri" w:hAnsi="Calibri" w:cs="Calibri"/>
          <w:b/>
          <w:sz w:val="23"/>
          <w:szCs w:val="23"/>
        </w:rPr>
        <w:t xml:space="preserve"> millió Ft</w:t>
      </w:r>
      <w:r w:rsidR="000A7A2A" w:rsidRPr="00582838">
        <w:rPr>
          <w:rFonts w:ascii="Calibri" w:hAnsi="Calibri" w:cs="Calibri"/>
          <w:bCs/>
          <w:sz w:val="23"/>
          <w:szCs w:val="23"/>
        </w:rPr>
        <w:t xml:space="preserve">. </w:t>
      </w:r>
    </w:p>
    <w:p w14:paraId="02B0796E" w14:textId="309FA6BC" w:rsidR="00AB542A" w:rsidRDefault="00AB542A" w:rsidP="00436EB4">
      <w:pPr>
        <w:jc w:val="both"/>
        <w:rPr>
          <w:rFonts w:ascii="Calibri" w:hAnsi="Calibri" w:cs="Calibri"/>
          <w:bCs/>
          <w:sz w:val="23"/>
          <w:szCs w:val="23"/>
        </w:rPr>
      </w:pPr>
      <w:r>
        <w:rPr>
          <w:rFonts w:ascii="Calibri" w:hAnsi="Calibri" w:cs="Calibri"/>
          <w:bCs/>
          <w:sz w:val="23"/>
          <w:szCs w:val="23"/>
        </w:rPr>
        <w:t>Az anyagjellegű ráfordítások alakulása a tervezetthez képest a következő:</w:t>
      </w:r>
    </w:p>
    <w:p w14:paraId="75264FFD" w14:textId="151F97FF" w:rsidR="00AB542A" w:rsidRDefault="00AB542A" w:rsidP="00AB542A">
      <w:pPr>
        <w:jc w:val="center"/>
        <w:rPr>
          <w:rFonts w:ascii="Calibri" w:hAnsi="Calibri" w:cs="Calibri"/>
          <w:bCs/>
          <w:sz w:val="23"/>
          <w:szCs w:val="23"/>
        </w:rPr>
      </w:pPr>
      <w:r>
        <w:rPr>
          <w:noProof/>
        </w:rPr>
        <w:drawing>
          <wp:inline distT="0" distB="0" distL="0" distR="0" wp14:anchorId="7816D931" wp14:editId="11C0302D">
            <wp:extent cx="5782310" cy="2624667"/>
            <wp:effectExtent l="0" t="0" r="8890" b="4445"/>
            <wp:docPr id="826908082" name="Diagram 1">
              <a:extLst xmlns:a="http://schemas.openxmlformats.org/drawingml/2006/main">
                <a:ext uri="{FF2B5EF4-FFF2-40B4-BE49-F238E27FC236}">
                  <a16:creationId xmlns:a16="http://schemas.microsoft.com/office/drawing/2014/main" id="{A87EB904-17B0-8630-31D2-B22669D6DE6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"/>
              </a:graphicData>
            </a:graphic>
          </wp:inline>
        </w:drawing>
      </w:r>
    </w:p>
    <w:p w14:paraId="4C939867" w14:textId="26F14EAD" w:rsidR="000E4B21" w:rsidRDefault="000A7A2A" w:rsidP="000A7A2A">
      <w:pPr>
        <w:jc w:val="both"/>
        <w:rPr>
          <w:rFonts w:ascii="Calibri" w:hAnsi="Calibri" w:cs="Calibri"/>
          <w:bCs/>
          <w:sz w:val="23"/>
          <w:szCs w:val="23"/>
        </w:rPr>
      </w:pPr>
      <w:r w:rsidRPr="00F97514">
        <w:rPr>
          <w:rFonts w:ascii="Calibri" w:hAnsi="Calibri" w:cs="Calibri"/>
          <w:bCs/>
          <w:sz w:val="23"/>
          <w:szCs w:val="23"/>
        </w:rPr>
        <w:t xml:space="preserve">Anyagjellegű </w:t>
      </w:r>
      <w:r w:rsidR="003F687B" w:rsidRPr="00F97514">
        <w:rPr>
          <w:rFonts w:ascii="Calibri" w:hAnsi="Calibri" w:cs="Calibri"/>
          <w:bCs/>
          <w:sz w:val="23"/>
          <w:szCs w:val="23"/>
        </w:rPr>
        <w:t>ráfordítás</w:t>
      </w:r>
      <w:r w:rsidR="003F687B">
        <w:rPr>
          <w:rFonts w:ascii="Calibri" w:hAnsi="Calibri" w:cs="Calibri"/>
          <w:bCs/>
          <w:sz w:val="23"/>
          <w:szCs w:val="23"/>
        </w:rPr>
        <w:t>o</w:t>
      </w:r>
      <w:r w:rsidR="003F687B" w:rsidRPr="00F97514">
        <w:rPr>
          <w:rFonts w:ascii="Calibri" w:hAnsi="Calibri" w:cs="Calibri"/>
          <w:bCs/>
          <w:sz w:val="23"/>
          <w:szCs w:val="23"/>
        </w:rPr>
        <w:t>k alakulás</w:t>
      </w:r>
      <w:r w:rsidR="003F687B">
        <w:rPr>
          <w:rFonts w:ascii="Calibri" w:hAnsi="Calibri" w:cs="Calibri"/>
          <w:bCs/>
          <w:sz w:val="23"/>
          <w:szCs w:val="23"/>
        </w:rPr>
        <w:t>a</w:t>
      </w:r>
      <w:r w:rsidR="003F687B" w:rsidRPr="00F97514">
        <w:rPr>
          <w:rFonts w:ascii="Calibri" w:hAnsi="Calibri" w:cs="Calibri"/>
          <w:bCs/>
          <w:sz w:val="23"/>
          <w:szCs w:val="23"/>
        </w:rPr>
        <w:t xml:space="preserve"> </w:t>
      </w:r>
      <w:r w:rsidR="00582838" w:rsidRPr="00F97514">
        <w:rPr>
          <w:rFonts w:ascii="Calibri" w:hAnsi="Calibri" w:cs="Calibri"/>
          <w:bCs/>
          <w:sz w:val="23"/>
          <w:szCs w:val="23"/>
        </w:rPr>
        <w:t>a beszámolás és az azt megelőző években a következő</w:t>
      </w:r>
      <w:r w:rsidRPr="00F97514">
        <w:rPr>
          <w:rFonts w:ascii="Calibri" w:hAnsi="Calibri" w:cs="Calibri"/>
          <w:bCs/>
          <w:sz w:val="23"/>
          <w:szCs w:val="23"/>
        </w:rPr>
        <w:t>:</w:t>
      </w:r>
    </w:p>
    <w:p w14:paraId="271C8957" w14:textId="268A5801" w:rsidR="000E4B21" w:rsidRDefault="000E4B21" w:rsidP="004F1FC6">
      <w:pPr>
        <w:ind w:left="-426"/>
        <w:jc w:val="both"/>
        <w:rPr>
          <w:rFonts w:ascii="Calibri" w:hAnsi="Calibri" w:cs="Calibri"/>
          <w:bCs/>
          <w:sz w:val="23"/>
          <w:szCs w:val="23"/>
        </w:rPr>
      </w:pPr>
      <w:r>
        <w:rPr>
          <w:noProof/>
        </w:rPr>
        <w:drawing>
          <wp:inline distT="0" distB="0" distL="0" distR="0" wp14:anchorId="245EF2A9" wp14:editId="518FD7FA">
            <wp:extent cx="6538595" cy="4512733"/>
            <wp:effectExtent l="0" t="0" r="14605" b="2540"/>
            <wp:docPr id="153013863" name="Diagram 1">
              <a:extLst xmlns:a="http://schemas.openxmlformats.org/drawingml/2006/main">
                <a:ext uri="{FF2B5EF4-FFF2-40B4-BE49-F238E27FC236}">
                  <a16:creationId xmlns:a16="http://schemas.microsoft.com/office/drawing/2014/main" id="{9A32A4D2-12D9-49E1-A400-46BA1D1A6BA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14:paraId="6A9A306D" w14:textId="046F4204" w:rsidR="00AB542A" w:rsidRPr="00582838" w:rsidRDefault="00AB542A" w:rsidP="00AB542A">
      <w:pPr>
        <w:jc w:val="both"/>
        <w:rPr>
          <w:rFonts w:ascii="Calibri" w:hAnsi="Calibri" w:cs="Calibri"/>
          <w:bCs/>
          <w:sz w:val="23"/>
          <w:szCs w:val="23"/>
        </w:rPr>
      </w:pPr>
      <w:r w:rsidRPr="00582838">
        <w:rPr>
          <w:rFonts w:ascii="Calibri" w:hAnsi="Calibri" w:cs="Calibri"/>
          <w:bCs/>
          <w:sz w:val="23"/>
          <w:szCs w:val="23"/>
        </w:rPr>
        <w:lastRenderedPageBreak/>
        <w:t xml:space="preserve">Míg a 2021. – 2022. évek közötti költségemelkedés egyértelműen hozzárendelhető a COVID világjárványt követő, a légiforgalom területén is érzékelhető növekedéséhez, és ennek következtében a felmerülő közvetlen költségek növekedéséhez, </w:t>
      </w:r>
      <w:r>
        <w:rPr>
          <w:rFonts w:ascii="Calibri" w:hAnsi="Calibri" w:cs="Calibri"/>
          <w:bCs/>
          <w:sz w:val="23"/>
          <w:szCs w:val="23"/>
        </w:rPr>
        <w:t>továbbá</w:t>
      </w:r>
      <w:r w:rsidRPr="00582838">
        <w:rPr>
          <w:rFonts w:ascii="Calibri" w:hAnsi="Calibri" w:cs="Calibri"/>
          <w:bCs/>
          <w:sz w:val="23"/>
          <w:szCs w:val="23"/>
        </w:rPr>
        <w:t xml:space="preserve"> a </w:t>
      </w:r>
      <w:r>
        <w:rPr>
          <w:rFonts w:ascii="Calibri" w:hAnsi="Calibri" w:cs="Calibri"/>
          <w:bCs/>
          <w:sz w:val="23"/>
          <w:szCs w:val="23"/>
        </w:rPr>
        <w:t>2023. évi</w:t>
      </w:r>
      <w:r w:rsidRPr="00582838">
        <w:rPr>
          <w:rFonts w:ascii="Calibri" w:hAnsi="Calibri" w:cs="Calibri"/>
          <w:bCs/>
          <w:sz w:val="23"/>
          <w:szCs w:val="23"/>
        </w:rPr>
        <w:t xml:space="preserve"> csökkenés nem jelent tényleges megtakarítást</w:t>
      </w:r>
      <w:r>
        <w:rPr>
          <w:rFonts w:ascii="Calibri" w:hAnsi="Calibri" w:cs="Calibri"/>
          <w:bCs/>
          <w:sz w:val="23"/>
          <w:szCs w:val="23"/>
        </w:rPr>
        <w:t>, mivel 2023. évben</w:t>
      </w:r>
      <w:r w:rsidRPr="00582838">
        <w:rPr>
          <w:rFonts w:ascii="Calibri" w:hAnsi="Calibri" w:cs="Calibri"/>
          <w:bCs/>
          <w:sz w:val="23"/>
          <w:szCs w:val="23"/>
        </w:rPr>
        <w:t xml:space="preserve"> alacsonyabb összegű teljesítés oka a bevételszerző tevékenység csökkenésé</w:t>
      </w:r>
      <w:r>
        <w:rPr>
          <w:rFonts w:ascii="Calibri" w:hAnsi="Calibri" w:cs="Calibri"/>
          <w:bCs/>
          <w:sz w:val="23"/>
          <w:szCs w:val="23"/>
        </w:rPr>
        <w:t>vel magyarázható</w:t>
      </w:r>
      <w:r w:rsidRPr="00582838">
        <w:rPr>
          <w:rFonts w:ascii="Calibri" w:hAnsi="Calibri" w:cs="Calibri"/>
          <w:bCs/>
          <w:sz w:val="23"/>
          <w:szCs w:val="23"/>
        </w:rPr>
        <w:t xml:space="preserve">, </w:t>
      </w:r>
      <w:r>
        <w:rPr>
          <w:rFonts w:ascii="Calibri" w:hAnsi="Calibri" w:cs="Calibri"/>
          <w:bCs/>
          <w:sz w:val="23"/>
          <w:szCs w:val="23"/>
        </w:rPr>
        <w:t>2024. évben azonban a szolgáltatói szektorban tapasztalható jelentős</w:t>
      </w:r>
      <w:r w:rsidR="004F1FC6">
        <w:rPr>
          <w:rFonts w:ascii="Calibri" w:hAnsi="Calibri" w:cs="Calibri"/>
          <w:bCs/>
          <w:sz w:val="23"/>
          <w:szCs w:val="23"/>
        </w:rPr>
        <w:t>, a fogyasztói árindexet meghaladó mértékű</w:t>
      </w:r>
      <w:r>
        <w:rPr>
          <w:rFonts w:ascii="Calibri" w:hAnsi="Calibri" w:cs="Calibri"/>
          <w:bCs/>
          <w:sz w:val="23"/>
          <w:szCs w:val="23"/>
        </w:rPr>
        <w:t xml:space="preserve"> áremelkedés éreztette a hatását, </w:t>
      </w:r>
      <w:r w:rsidR="004F1FC6">
        <w:rPr>
          <w:rFonts w:ascii="Calibri" w:hAnsi="Calibri" w:cs="Calibri"/>
          <w:bCs/>
          <w:sz w:val="23"/>
          <w:szCs w:val="23"/>
        </w:rPr>
        <w:t>melyet az</w:t>
      </w:r>
      <w:r>
        <w:rPr>
          <w:rFonts w:ascii="Calibri" w:hAnsi="Calibri" w:cs="Calibri"/>
          <w:bCs/>
          <w:sz w:val="23"/>
          <w:szCs w:val="23"/>
        </w:rPr>
        <w:t xml:space="preserve"> előre összegszerűen nem tervez</w:t>
      </w:r>
      <w:r w:rsidR="004F1FC6">
        <w:rPr>
          <w:rFonts w:ascii="Calibri" w:hAnsi="Calibri" w:cs="Calibri"/>
          <w:bCs/>
          <w:sz w:val="23"/>
          <w:szCs w:val="23"/>
        </w:rPr>
        <w:t xml:space="preserve">hető </w:t>
      </w:r>
      <w:r>
        <w:rPr>
          <w:rFonts w:ascii="Calibri" w:hAnsi="Calibri" w:cs="Calibri"/>
          <w:bCs/>
          <w:sz w:val="23"/>
          <w:szCs w:val="23"/>
        </w:rPr>
        <w:t xml:space="preserve">költségek tovább </w:t>
      </w:r>
      <w:r w:rsidR="004F1FC6">
        <w:rPr>
          <w:rFonts w:ascii="Calibri" w:hAnsi="Calibri" w:cs="Calibri"/>
          <w:bCs/>
          <w:sz w:val="23"/>
          <w:szCs w:val="23"/>
        </w:rPr>
        <w:t>emeltek</w:t>
      </w:r>
      <w:r>
        <w:rPr>
          <w:rFonts w:ascii="Calibri" w:hAnsi="Calibri" w:cs="Calibri"/>
          <w:bCs/>
          <w:sz w:val="23"/>
          <w:szCs w:val="23"/>
        </w:rPr>
        <w:t>.</w:t>
      </w:r>
    </w:p>
    <w:p w14:paraId="3840C414" w14:textId="5C751853" w:rsidR="00AB542A" w:rsidRPr="00582838" w:rsidRDefault="00AB542A" w:rsidP="00AB542A">
      <w:pPr>
        <w:jc w:val="both"/>
        <w:rPr>
          <w:rFonts w:ascii="Calibri" w:hAnsi="Calibri" w:cs="Calibri"/>
          <w:bCs/>
          <w:sz w:val="23"/>
          <w:szCs w:val="23"/>
        </w:rPr>
      </w:pPr>
      <w:r>
        <w:rPr>
          <w:rFonts w:ascii="Calibri" w:hAnsi="Calibri" w:cs="Calibri"/>
          <w:bCs/>
          <w:sz w:val="23"/>
          <w:szCs w:val="23"/>
        </w:rPr>
        <w:t xml:space="preserve">A </w:t>
      </w:r>
      <w:r w:rsidRPr="00582838">
        <w:rPr>
          <w:rFonts w:ascii="Calibri" w:hAnsi="Calibri" w:cs="Calibri"/>
          <w:bCs/>
          <w:sz w:val="23"/>
          <w:szCs w:val="23"/>
        </w:rPr>
        <w:t xml:space="preserve">Társaság az energiahordozók piaci árának rendkívüli növekedése okán, a fűtésre használt földgáz felhasználást 2022. évtől drasztikusan csökkentette, így </w:t>
      </w:r>
      <w:r>
        <w:rPr>
          <w:rFonts w:ascii="Calibri" w:hAnsi="Calibri" w:cs="Calibri"/>
          <w:bCs/>
          <w:sz w:val="23"/>
          <w:szCs w:val="23"/>
        </w:rPr>
        <w:t>a tárgyévben</w:t>
      </w:r>
      <w:r w:rsidRPr="00582838">
        <w:rPr>
          <w:rFonts w:ascii="Calibri" w:hAnsi="Calibri" w:cs="Calibri"/>
          <w:bCs/>
          <w:sz w:val="23"/>
          <w:szCs w:val="23"/>
        </w:rPr>
        <w:t xml:space="preserve"> is elkerülte e költségek </w:t>
      </w:r>
      <w:r>
        <w:rPr>
          <w:rFonts w:ascii="Calibri" w:hAnsi="Calibri" w:cs="Calibri"/>
          <w:bCs/>
          <w:sz w:val="23"/>
          <w:szCs w:val="23"/>
        </w:rPr>
        <w:t>jelentős</w:t>
      </w:r>
      <w:r w:rsidRPr="00582838">
        <w:rPr>
          <w:rFonts w:ascii="Calibri" w:hAnsi="Calibri" w:cs="Calibri"/>
          <w:bCs/>
          <w:sz w:val="23"/>
          <w:szCs w:val="23"/>
        </w:rPr>
        <w:t xml:space="preserve"> növekedését.</w:t>
      </w:r>
      <w:r>
        <w:rPr>
          <w:rFonts w:ascii="Calibri" w:hAnsi="Calibri" w:cs="Calibri"/>
          <w:bCs/>
          <w:sz w:val="23"/>
          <w:szCs w:val="23"/>
        </w:rPr>
        <w:t xml:space="preserve"> E kiadások mintegy 15 millió Ft-tal a korábbi év teljesítése </w:t>
      </w:r>
      <w:r w:rsidR="00F868CB">
        <w:rPr>
          <w:rFonts w:ascii="Calibri" w:hAnsi="Calibri" w:cs="Calibri"/>
          <w:bCs/>
          <w:sz w:val="23"/>
          <w:szCs w:val="23"/>
        </w:rPr>
        <w:t>alatt maradtak</w:t>
      </w:r>
      <w:r>
        <w:rPr>
          <w:rFonts w:ascii="Calibri" w:hAnsi="Calibri" w:cs="Calibri"/>
          <w:bCs/>
          <w:sz w:val="23"/>
          <w:szCs w:val="23"/>
        </w:rPr>
        <w:t xml:space="preserve">. </w:t>
      </w:r>
    </w:p>
    <w:p w14:paraId="447E6C0F" w14:textId="7E323513" w:rsidR="001602CF" w:rsidRDefault="001602CF" w:rsidP="00461A09">
      <w:pPr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 xml:space="preserve">Anyagköltség kategóriában elsősorban a korábbiakban már említett közüzemi költségek alacsonyabb szinten történő teljesülése eredményezett az előző évekhez viszonyítva jelentős megtakarítást, továbbá a korábbi évekhez viszonyítva a légi utasforgalommal összefüggő és megtakarítható közvetlen költségek elmaradása (irodaszer, nyomtatvány, formaruha) </w:t>
      </w:r>
      <w:r w:rsidR="00F868CB">
        <w:rPr>
          <w:rFonts w:ascii="Calibri" w:hAnsi="Calibri" w:cs="Calibri"/>
          <w:bCs/>
          <w:sz w:val="24"/>
          <w:szCs w:val="24"/>
        </w:rPr>
        <w:t>járult hozzá a a korábbi évekhez viszonyított költségek csökkenéséhez</w:t>
      </w:r>
      <w:r>
        <w:rPr>
          <w:rFonts w:ascii="Calibri" w:hAnsi="Calibri" w:cs="Calibri"/>
          <w:bCs/>
          <w:sz w:val="24"/>
          <w:szCs w:val="24"/>
        </w:rPr>
        <w:t>.</w:t>
      </w:r>
    </w:p>
    <w:p w14:paraId="34E9CFA2" w14:textId="330844B3" w:rsidR="00461A09" w:rsidRPr="00240104" w:rsidRDefault="001602CF" w:rsidP="00461A09">
      <w:pPr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Az igénybevett szolgáltatások</w:t>
      </w:r>
      <w:r w:rsidR="003322F4">
        <w:rPr>
          <w:rFonts w:ascii="Calibri" w:hAnsi="Calibri" w:cs="Calibri"/>
          <w:bCs/>
          <w:sz w:val="24"/>
          <w:szCs w:val="24"/>
        </w:rPr>
        <w:t xml:space="preserve"> értéke</w:t>
      </w:r>
      <w:r>
        <w:rPr>
          <w:rFonts w:ascii="Calibri" w:hAnsi="Calibri" w:cs="Calibri"/>
          <w:bCs/>
          <w:sz w:val="24"/>
          <w:szCs w:val="24"/>
        </w:rPr>
        <w:t xml:space="preserve"> a tervezettet mintegy 23,2%-kal, a korábbi év költségeit 33,4%-kal haladta meg</w:t>
      </w:r>
      <w:r w:rsidR="00F868CB">
        <w:rPr>
          <w:rFonts w:ascii="Calibri" w:hAnsi="Calibri" w:cs="Calibri"/>
          <w:bCs/>
          <w:sz w:val="24"/>
          <w:szCs w:val="24"/>
        </w:rPr>
        <w:t xml:space="preserve"> a</w:t>
      </w:r>
      <w:r>
        <w:rPr>
          <w:rFonts w:ascii="Calibri" w:hAnsi="Calibri" w:cs="Calibri"/>
          <w:bCs/>
          <w:sz w:val="24"/>
          <w:szCs w:val="24"/>
        </w:rPr>
        <w:t xml:space="preserve"> 271,5 millió Ft teljesítési </w:t>
      </w:r>
      <w:r w:rsidR="003322F4">
        <w:rPr>
          <w:rFonts w:ascii="Calibri" w:hAnsi="Calibri" w:cs="Calibri"/>
          <w:bCs/>
          <w:sz w:val="24"/>
          <w:szCs w:val="24"/>
        </w:rPr>
        <w:t>összeggel</w:t>
      </w:r>
      <w:r>
        <w:rPr>
          <w:rFonts w:ascii="Calibri" w:hAnsi="Calibri" w:cs="Calibri"/>
          <w:bCs/>
          <w:sz w:val="24"/>
          <w:szCs w:val="24"/>
        </w:rPr>
        <w:t>.</w:t>
      </w:r>
      <w:r w:rsidR="00461A09" w:rsidRPr="00240104">
        <w:rPr>
          <w:rFonts w:ascii="Calibri" w:hAnsi="Calibri" w:cs="Calibri"/>
          <w:bCs/>
          <w:sz w:val="24"/>
          <w:szCs w:val="24"/>
        </w:rPr>
        <w:t xml:space="preserve"> </w:t>
      </w:r>
      <w:r w:rsidR="003322F4">
        <w:rPr>
          <w:rFonts w:ascii="Calibri" w:hAnsi="Calibri" w:cs="Calibri"/>
          <w:bCs/>
          <w:sz w:val="24"/>
          <w:szCs w:val="24"/>
        </w:rPr>
        <w:t>E kategóriában a tervezetthez való magasabb teljesítést elsősorban a</w:t>
      </w:r>
      <w:r w:rsidR="00522CB8">
        <w:rPr>
          <w:rFonts w:ascii="Calibri" w:hAnsi="Calibri" w:cs="Calibri"/>
          <w:bCs/>
          <w:sz w:val="24"/>
          <w:szCs w:val="24"/>
        </w:rPr>
        <w:t xml:space="preserve"> jogszabályi rendelkezés alapján kötelező jelleggel létrehozandó</w:t>
      </w:r>
      <w:r w:rsidR="003322F4">
        <w:rPr>
          <w:rFonts w:ascii="Calibri" w:hAnsi="Calibri" w:cs="Calibri"/>
          <w:bCs/>
          <w:sz w:val="24"/>
          <w:szCs w:val="24"/>
        </w:rPr>
        <w:t xml:space="preserve"> létesítményi tűzoltóság szolgáltatásként történő vásá</w:t>
      </w:r>
      <w:r w:rsidR="00522CB8">
        <w:rPr>
          <w:rFonts w:ascii="Calibri" w:hAnsi="Calibri" w:cs="Calibri"/>
          <w:bCs/>
          <w:sz w:val="24"/>
          <w:szCs w:val="24"/>
        </w:rPr>
        <w:t>rlásának költsége</w:t>
      </w:r>
      <w:r w:rsidR="00F868CB">
        <w:rPr>
          <w:rFonts w:ascii="Calibri" w:hAnsi="Calibri" w:cs="Calibri"/>
          <w:bCs/>
          <w:sz w:val="24"/>
          <w:szCs w:val="24"/>
        </w:rPr>
        <w:t>, valamint</w:t>
      </w:r>
      <w:r w:rsidR="00522CB8">
        <w:rPr>
          <w:rFonts w:ascii="Calibri" w:hAnsi="Calibri" w:cs="Calibri"/>
          <w:bCs/>
          <w:sz w:val="24"/>
          <w:szCs w:val="24"/>
        </w:rPr>
        <w:t xml:space="preserve"> a karbantartási költségek növekedése eredményezte. Az elmúlt évi </w:t>
      </w:r>
      <w:r w:rsidR="00F868CB">
        <w:rPr>
          <w:rFonts w:ascii="Calibri" w:hAnsi="Calibri" w:cs="Calibri"/>
          <w:bCs/>
          <w:sz w:val="24"/>
          <w:szCs w:val="24"/>
        </w:rPr>
        <w:t>teljesítési adatoktól való eltér</w:t>
      </w:r>
      <w:r w:rsidR="00522CB8">
        <w:rPr>
          <w:rFonts w:ascii="Calibri" w:hAnsi="Calibri" w:cs="Calibri"/>
          <w:bCs/>
          <w:sz w:val="24"/>
          <w:szCs w:val="24"/>
        </w:rPr>
        <w:t>és</w:t>
      </w:r>
      <w:r w:rsidR="00070EA7">
        <w:rPr>
          <w:rFonts w:ascii="Calibri" w:hAnsi="Calibri" w:cs="Calibri"/>
          <w:bCs/>
          <w:sz w:val="24"/>
          <w:szCs w:val="24"/>
        </w:rPr>
        <w:t>t</w:t>
      </w:r>
      <w:r w:rsidR="00522CB8">
        <w:rPr>
          <w:rFonts w:ascii="Calibri" w:hAnsi="Calibri" w:cs="Calibri"/>
          <w:bCs/>
          <w:sz w:val="24"/>
          <w:szCs w:val="24"/>
        </w:rPr>
        <w:t xml:space="preserve"> az előzőeken túl, a korábban már hivatkozott szolgáltatói díjemelés magas mértéke eredményezte.</w:t>
      </w:r>
    </w:p>
    <w:p w14:paraId="67FE93BE" w14:textId="051FAFE7" w:rsidR="000A7A2A" w:rsidRPr="00F95D84" w:rsidRDefault="00B4152A" w:rsidP="000A7A2A">
      <w:pPr>
        <w:pStyle w:val="Listaszerbekezds"/>
        <w:numPr>
          <w:ilvl w:val="0"/>
          <w:numId w:val="38"/>
        </w:numPr>
        <w:spacing w:before="240" w:after="240"/>
        <w:ind w:left="284" w:hanging="284"/>
        <w:rPr>
          <w:rFonts w:ascii="Calibri" w:hAnsi="Calibri" w:cs="Calibri"/>
          <w:b/>
          <w:sz w:val="24"/>
          <w:szCs w:val="24"/>
        </w:rPr>
      </w:pPr>
      <w:r w:rsidRPr="00F95D84">
        <w:rPr>
          <w:rFonts w:ascii="Calibri" w:hAnsi="Calibri" w:cs="Calibri"/>
          <w:b/>
          <w:sz w:val="24"/>
          <w:szCs w:val="24"/>
        </w:rPr>
        <w:t xml:space="preserve">Személyi </w:t>
      </w:r>
      <w:r w:rsidR="000A7A2A" w:rsidRPr="00F95D84">
        <w:rPr>
          <w:rFonts w:ascii="Calibri" w:hAnsi="Calibri" w:cs="Calibri"/>
          <w:b/>
          <w:sz w:val="24"/>
          <w:szCs w:val="24"/>
        </w:rPr>
        <w:t>jellegű ráfordítások</w:t>
      </w:r>
    </w:p>
    <w:p w14:paraId="04D1A205" w14:textId="4E59A8FE" w:rsidR="00F95D84" w:rsidRPr="00F95D84" w:rsidRDefault="00265A49" w:rsidP="009B2505">
      <w:pPr>
        <w:jc w:val="both"/>
        <w:rPr>
          <w:rFonts w:ascii="Calibri" w:hAnsi="Calibri" w:cs="Calibri"/>
          <w:bCs/>
          <w:sz w:val="23"/>
          <w:szCs w:val="23"/>
        </w:rPr>
      </w:pPr>
      <w:r w:rsidRPr="00F95D84">
        <w:rPr>
          <w:rFonts w:ascii="Calibri" w:hAnsi="Calibri" w:cs="Calibri"/>
          <w:bCs/>
          <w:sz w:val="23"/>
          <w:szCs w:val="23"/>
        </w:rPr>
        <w:t xml:space="preserve">A személyi jellegű </w:t>
      </w:r>
      <w:r w:rsidR="00B4152A" w:rsidRPr="00F95D84">
        <w:rPr>
          <w:rFonts w:ascii="Calibri" w:hAnsi="Calibri" w:cs="Calibri"/>
          <w:bCs/>
          <w:sz w:val="23"/>
          <w:szCs w:val="23"/>
        </w:rPr>
        <w:t>ráfordítások</w:t>
      </w:r>
      <w:r w:rsidRPr="00F95D84">
        <w:rPr>
          <w:rFonts w:ascii="Calibri" w:hAnsi="Calibri" w:cs="Calibri"/>
          <w:bCs/>
          <w:sz w:val="23"/>
          <w:szCs w:val="23"/>
        </w:rPr>
        <w:t xml:space="preserve"> </w:t>
      </w:r>
      <w:r w:rsidR="009B2505" w:rsidRPr="00F95D84">
        <w:rPr>
          <w:rFonts w:ascii="Calibri" w:hAnsi="Calibri" w:cs="Calibri"/>
          <w:bCs/>
          <w:sz w:val="23"/>
          <w:szCs w:val="23"/>
        </w:rPr>
        <w:t>202</w:t>
      </w:r>
      <w:r w:rsidR="00522CB8">
        <w:rPr>
          <w:rFonts w:ascii="Calibri" w:hAnsi="Calibri" w:cs="Calibri"/>
          <w:bCs/>
          <w:sz w:val="23"/>
          <w:szCs w:val="23"/>
        </w:rPr>
        <w:t>4</w:t>
      </w:r>
      <w:r w:rsidR="009B2505" w:rsidRPr="00F95D84">
        <w:rPr>
          <w:rFonts w:ascii="Calibri" w:hAnsi="Calibri" w:cs="Calibri"/>
          <w:bCs/>
          <w:sz w:val="23"/>
          <w:szCs w:val="23"/>
        </w:rPr>
        <w:t xml:space="preserve">. évi összege </w:t>
      </w:r>
      <w:r w:rsidR="00522CB8">
        <w:rPr>
          <w:rFonts w:ascii="Calibri" w:hAnsi="Calibri" w:cs="Calibri"/>
          <w:b/>
          <w:sz w:val="23"/>
          <w:szCs w:val="23"/>
        </w:rPr>
        <w:t>365,3</w:t>
      </w:r>
      <w:r w:rsidR="009B2505" w:rsidRPr="00F95D84">
        <w:rPr>
          <w:rFonts w:ascii="Calibri" w:hAnsi="Calibri" w:cs="Calibri"/>
          <w:b/>
          <w:sz w:val="23"/>
          <w:szCs w:val="23"/>
        </w:rPr>
        <w:t xml:space="preserve"> millió Ft</w:t>
      </w:r>
      <w:r w:rsidR="009B2505" w:rsidRPr="00F95D84">
        <w:rPr>
          <w:rFonts w:ascii="Calibri" w:hAnsi="Calibri" w:cs="Calibri"/>
          <w:bCs/>
          <w:sz w:val="23"/>
          <w:szCs w:val="23"/>
        </w:rPr>
        <w:t xml:space="preserve">, mely </w:t>
      </w:r>
      <w:r w:rsidRPr="00F95D84">
        <w:rPr>
          <w:rFonts w:ascii="Calibri" w:hAnsi="Calibri" w:cs="Calibri"/>
          <w:bCs/>
          <w:sz w:val="23"/>
          <w:szCs w:val="23"/>
        </w:rPr>
        <w:t>a</w:t>
      </w:r>
      <w:r w:rsidR="00522CB8">
        <w:rPr>
          <w:rFonts w:ascii="Calibri" w:hAnsi="Calibri" w:cs="Calibri"/>
          <w:bCs/>
          <w:sz w:val="23"/>
          <w:szCs w:val="23"/>
        </w:rPr>
        <w:t xml:space="preserve"> tervezethez képest alacsonyabb mértékű kiadást jelent (13,2 millió Ft megtakarítás történt ezen a költségnemen), a</w:t>
      </w:r>
      <w:r w:rsidRPr="00F95D84">
        <w:rPr>
          <w:rFonts w:ascii="Calibri" w:hAnsi="Calibri" w:cs="Calibri"/>
          <w:bCs/>
          <w:sz w:val="23"/>
          <w:szCs w:val="23"/>
        </w:rPr>
        <w:t xml:space="preserve"> 202</w:t>
      </w:r>
      <w:r w:rsidR="00522CB8">
        <w:rPr>
          <w:rFonts w:ascii="Calibri" w:hAnsi="Calibri" w:cs="Calibri"/>
          <w:bCs/>
          <w:sz w:val="23"/>
          <w:szCs w:val="23"/>
        </w:rPr>
        <w:t>3</w:t>
      </w:r>
      <w:r w:rsidR="00B4152A" w:rsidRPr="00F95D84">
        <w:rPr>
          <w:rFonts w:ascii="Calibri" w:hAnsi="Calibri" w:cs="Calibri"/>
          <w:bCs/>
          <w:sz w:val="23"/>
          <w:szCs w:val="23"/>
        </w:rPr>
        <w:t>. évi</w:t>
      </w:r>
      <w:r w:rsidR="00522CB8">
        <w:rPr>
          <w:rFonts w:ascii="Calibri" w:hAnsi="Calibri" w:cs="Calibri"/>
          <w:bCs/>
          <w:sz w:val="23"/>
          <w:szCs w:val="23"/>
        </w:rPr>
        <w:t xml:space="preserve"> teljesítés</w:t>
      </w:r>
      <w:r w:rsidR="00B4152A" w:rsidRPr="00F95D84">
        <w:rPr>
          <w:rFonts w:ascii="Calibri" w:hAnsi="Calibri" w:cs="Calibri"/>
          <w:bCs/>
          <w:sz w:val="23"/>
          <w:szCs w:val="23"/>
        </w:rPr>
        <w:t xml:space="preserve">hez képest </w:t>
      </w:r>
      <w:r w:rsidR="00522CB8">
        <w:rPr>
          <w:rFonts w:ascii="Calibri" w:hAnsi="Calibri" w:cs="Calibri"/>
          <w:bCs/>
          <w:sz w:val="23"/>
          <w:szCs w:val="23"/>
        </w:rPr>
        <w:t xml:space="preserve">pedig </w:t>
      </w:r>
      <w:r w:rsidR="00B4152A" w:rsidRPr="00F95D84">
        <w:rPr>
          <w:rFonts w:ascii="Calibri" w:hAnsi="Calibri" w:cs="Calibri"/>
          <w:bCs/>
          <w:sz w:val="23"/>
          <w:szCs w:val="23"/>
        </w:rPr>
        <w:t xml:space="preserve">mintegy </w:t>
      </w:r>
      <w:r w:rsidR="00522CB8">
        <w:rPr>
          <w:rFonts w:ascii="Calibri" w:hAnsi="Calibri" w:cs="Calibri"/>
          <w:bCs/>
          <w:sz w:val="23"/>
          <w:szCs w:val="23"/>
        </w:rPr>
        <w:t>11,1</w:t>
      </w:r>
      <w:r w:rsidR="00F6017C" w:rsidRPr="00F95D84">
        <w:rPr>
          <w:rFonts w:ascii="Calibri" w:hAnsi="Calibri" w:cs="Calibri"/>
          <w:bCs/>
          <w:sz w:val="23"/>
          <w:szCs w:val="23"/>
        </w:rPr>
        <w:t xml:space="preserve"> %-os növekedést mutat</w:t>
      </w:r>
      <w:r w:rsidR="009B2505" w:rsidRPr="00F95D84">
        <w:rPr>
          <w:rFonts w:ascii="Calibri" w:hAnsi="Calibri" w:cs="Calibri"/>
          <w:bCs/>
          <w:sz w:val="23"/>
          <w:szCs w:val="23"/>
        </w:rPr>
        <w:t>.</w:t>
      </w:r>
      <w:r w:rsidR="00070EA7">
        <w:rPr>
          <w:rFonts w:ascii="Calibri" w:hAnsi="Calibri" w:cs="Calibri"/>
          <w:bCs/>
          <w:sz w:val="23"/>
          <w:szCs w:val="23"/>
        </w:rPr>
        <w:t xml:space="preserve"> A tervezettől való </w:t>
      </w:r>
      <w:r w:rsidR="00F8196E">
        <w:rPr>
          <w:rFonts w:ascii="Calibri" w:hAnsi="Calibri" w:cs="Calibri"/>
          <w:bCs/>
          <w:sz w:val="23"/>
          <w:szCs w:val="23"/>
        </w:rPr>
        <w:t xml:space="preserve">kedvező </w:t>
      </w:r>
      <w:r w:rsidR="00070EA7">
        <w:rPr>
          <w:rFonts w:ascii="Calibri" w:hAnsi="Calibri" w:cs="Calibri"/>
          <w:bCs/>
          <w:sz w:val="23"/>
          <w:szCs w:val="23"/>
        </w:rPr>
        <w:t>eltérés egyrészt a létesítményi tűzoltóság szolgáltatásvásárlással történő beszerzése miatt kieső bérköltségek</w:t>
      </w:r>
      <w:r w:rsidR="00F8196E">
        <w:rPr>
          <w:rFonts w:ascii="Calibri" w:hAnsi="Calibri" w:cs="Calibri"/>
          <w:bCs/>
          <w:sz w:val="23"/>
          <w:szCs w:val="23"/>
        </w:rPr>
        <w:t xml:space="preserve"> (mely nem tényleges megtakarítás, hisz a szolgáltatási költségekben megjelenik)</w:t>
      </w:r>
      <w:r w:rsidR="00070EA7">
        <w:rPr>
          <w:rFonts w:ascii="Calibri" w:hAnsi="Calibri" w:cs="Calibri"/>
          <w:bCs/>
          <w:sz w:val="23"/>
          <w:szCs w:val="23"/>
        </w:rPr>
        <w:t xml:space="preserve">, másrészt az átmenetileg be nem töltött munkakörök megtakarításai.  </w:t>
      </w:r>
      <w:r w:rsidR="009B2505" w:rsidRPr="00F95D84">
        <w:rPr>
          <w:rFonts w:ascii="Calibri" w:hAnsi="Calibri" w:cs="Calibri"/>
          <w:bCs/>
          <w:sz w:val="23"/>
          <w:szCs w:val="23"/>
        </w:rPr>
        <w:t xml:space="preserve"> A </w:t>
      </w:r>
      <w:r w:rsidR="00070EA7">
        <w:rPr>
          <w:rFonts w:ascii="Calibri" w:hAnsi="Calibri" w:cs="Calibri"/>
          <w:bCs/>
          <w:sz w:val="23"/>
          <w:szCs w:val="23"/>
        </w:rPr>
        <w:t xml:space="preserve">bérköltségek </w:t>
      </w:r>
      <w:r w:rsidR="009B2505" w:rsidRPr="00F95D84">
        <w:rPr>
          <w:rFonts w:ascii="Calibri" w:hAnsi="Calibri" w:cs="Calibri"/>
          <w:bCs/>
          <w:sz w:val="23"/>
          <w:szCs w:val="23"/>
        </w:rPr>
        <w:t>növekedés</w:t>
      </w:r>
      <w:r w:rsidR="00070EA7">
        <w:rPr>
          <w:rFonts w:ascii="Calibri" w:hAnsi="Calibri" w:cs="Calibri"/>
          <w:bCs/>
          <w:sz w:val="23"/>
          <w:szCs w:val="23"/>
        </w:rPr>
        <w:t>e az elmúlt évhez viszonyítva</w:t>
      </w:r>
      <w:r w:rsidR="009B2505" w:rsidRPr="00F95D84">
        <w:rPr>
          <w:rFonts w:ascii="Calibri" w:hAnsi="Calibri" w:cs="Calibri"/>
          <w:bCs/>
          <w:sz w:val="23"/>
          <w:szCs w:val="23"/>
        </w:rPr>
        <w:t xml:space="preserve"> arányosan változott </w:t>
      </w:r>
      <w:r w:rsidR="00070EA7">
        <w:rPr>
          <w:rFonts w:ascii="Calibri" w:hAnsi="Calibri" w:cs="Calibri"/>
          <w:bCs/>
          <w:sz w:val="23"/>
          <w:szCs w:val="23"/>
        </w:rPr>
        <w:t>a</w:t>
      </w:r>
      <w:r w:rsidR="009B2505" w:rsidRPr="00F95D84">
        <w:rPr>
          <w:rFonts w:ascii="Calibri" w:hAnsi="Calibri" w:cs="Calibri"/>
          <w:bCs/>
          <w:sz w:val="23"/>
          <w:szCs w:val="23"/>
        </w:rPr>
        <w:t xml:space="preserve"> minimálbér és </w:t>
      </w:r>
      <w:r w:rsidR="00070EA7">
        <w:rPr>
          <w:rFonts w:ascii="Calibri" w:hAnsi="Calibri" w:cs="Calibri"/>
          <w:bCs/>
          <w:sz w:val="23"/>
          <w:szCs w:val="23"/>
        </w:rPr>
        <w:t>a</w:t>
      </w:r>
      <w:r w:rsidR="009B2505" w:rsidRPr="00F95D84">
        <w:rPr>
          <w:rFonts w:ascii="Calibri" w:hAnsi="Calibri" w:cs="Calibri"/>
          <w:bCs/>
          <w:sz w:val="23"/>
          <w:szCs w:val="23"/>
        </w:rPr>
        <w:t xml:space="preserve"> garantált bérminimum emeléssel</w:t>
      </w:r>
      <w:r w:rsidR="00F95D84" w:rsidRPr="00F95D84">
        <w:rPr>
          <w:rFonts w:ascii="Calibri" w:hAnsi="Calibri" w:cs="Calibri"/>
          <w:bCs/>
          <w:sz w:val="23"/>
          <w:szCs w:val="23"/>
        </w:rPr>
        <w:t xml:space="preserve">, így az a várható szinten teljesült. </w:t>
      </w:r>
    </w:p>
    <w:p w14:paraId="3D2AE87E" w14:textId="77777777" w:rsidR="00672553" w:rsidRDefault="00BF1836" w:rsidP="009B2505">
      <w:pPr>
        <w:jc w:val="both"/>
        <w:rPr>
          <w:rFonts w:ascii="Calibri" w:hAnsi="Calibri" w:cs="Calibri"/>
          <w:bCs/>
          <w:sz w:val="23"/>
          <w:szCs w:val="23"/>
        </w:rPr>
      </w:pPr>
      <w:r>
        <w:rPr>
          <w:rFonts w:ascii="Calibri" w:hAnsi="Calibri" w:cs="Calibri"/>
          <w:bCs/>
          <w:sz w:val="23"/>
          <w:szCs w:val="23"/>
        </w:rPr>
        <w:t>A 202</w:t>
      </w:r>
      <w:r w:rsidR="00070EA7">
        <w:rPr>
          <w:rFonts w:ascii="Calibri" w:hAnsi="Calibri" w:cs="Calibri"/>
          <w:bCs/>
          <w:sz w:val="23"/>
          <w:szCs w:val="23"/>
        </w:rPr>
        <w:t>4</w:t>
      </w:r>
      <w:r>
        <w:rPr>
          <w:rFonts w:ascii="Calibri" w:hAnsi="Calibri" w:cs="Calibri"/>
          <w:bCs/>
          <w:sz w:val="23"/>
          <w:szCs w:val="23"/>
        </w:rPr>
        <w:t xml:space="preserve">. évi átlagkereset </w:t>
      </w:r>
      <w:r w:rsidR="00070EA7">
        <w:rPr>
          <w:rFonts w:ascii="Calibri" w:hAnsi="Calibri" w:cs="Calibri"/>
          <w:bCs/>
          <w:sz w:val="23"/>
          <w:szCs w:val="23"/>
        </w:rPr>
        <w:t>602.996</w:t>
      </w:r>
      <w:r>
        <w:rPr>
          <w:rFonts w:ascii="Calibri" w:hAnsi="Calibri" w:cs="Calibri"/>
          <w:bCs/>
          <w:sz w:val="23"/>
          <w:szCs w:val="23"/>
        </w:rPr>
        <w:t xml:space="preserve">.-Ft, míg az egyéb jövedelmek átlaga </w:t>
      </w:r>
      <w:r w:rsidR="00070EA7">
        <w:rPr>
          <w:rFonts w:ascii="Calibri" w:hAnsi="Calibri" w:cs="Calibri"/>
          <w:bCs/>
          <w:sz w:val="23"/>
          <w:szCs w:val="23"/>
        </w:rPr>
        <w:t>53.603</w:t>
      </w:r>
      <w:r>
        <w:rPr>
          <w:rFonts w:ascii="Calibri" w:hAnsi="Calibri" w:cs="Calibri"/>
          <w:bCs/>
          <w:sz w:val="23"/>
          <w:szCs w:val="23"/>
        </w:rPr>
        <w:t>.-Ft volt</w:t>
      </w:r>
      <w:r w:rsidR="004B4B79">
        <w:rPr>
          <w:rFonts w:ascii="Calibri" w:hAnsi="Calibri" w:cs="Calibri"/>
          <w:bCs/>
          <w:sz w:val="23"/>
          <w:szCs w:val="23"/>
        </w:rPr>
        <w:t xml:space="preserve">, mely az előző évihez </w:t>
      </w:r>
      <w:r w:rsidR="00070EA7">
        <w:rPr>
          <w:rFonts w:ascii="Calibri" w:hAnsi="Calibri" w:cs="Calibri"/>
          <w:bCs/>
          <w:sz w:val="23"/>
          <w:szCs w:val="23"/>
        </w:rPr>
        <w:t>100.823</w:t>
      </w:r>
      <w:r w:rsidR="004B4B79">
        <w:rPr>
          <w:rFonts w:ascii="Calibri" w:hAnsi="Calibri" w:cs="Calibri"/>
          <w:bCs/>
          <w:sz w:val="23"/>
          <w:szCs w:val="23"/>
        </w:rPr>
        <w:t xml:space="preserve">.-Ft-os keresetnövekedést és </w:t>
      </w:r>
      <w:r w:rsidR="00070EA7">
        <w:rPr>
          <w:rFonts w:ascii="Calibri" w:hAnsi="Calibri" w:cs="Calibri"/>
          <w:bCs/>
          <w:sz w:val="23"/>
          <w:szCs w:val="23"/>
        </w:rPr>
        <w:t>1.759</w:t>
      </w:r>
      <w:r w:rsidR="004B4B79">
        <w:rPr>
          <w:rFonts w:ascii="Calibri" w:hAnsi="Calibri" w:cs="Calibri"/>
          <w:bCs/>
          <w:sz w:val="23"/>
          <w:szCs w:val="23"/>
        </w:rPr>
        <w:t xml:space="preserve">.- Ft összegű egyéb jövedelem növekedést jelentett, ez mindösszesen </w:t>
      </w:r>
      <w:r w:rsidR="00070EA7">
        <w:rPr>
          <w:rFonts w:ascii="Calibri" w:hAnsi="Calibri" w:cs="Calibri"/>
          <w:bCs/>
          <w:sz w:val="23"/>
          <w:szCs w:val="23"/>
        </w:rPr>
        <w:t>102.582</w:t>
      </w:r>
      <w:r w:rsidR="004B4B79">
        <w:rPr>
          <w:rFonts w:ascii="Calibri" w:hAnsi="Calibri" w:cs="Calibri"/>
          <w:bCs/>
          <w:sz w:val="23"/>
          <w:szCs w:val="23"/>
        </w:rPr>
        <w:t>.-Ft átlagos jövedelemnövekedést jelent.</w:t>
      </w:r>
      <w:r w:rsidR="00070EA7">
        <w:rPr>
          <w:rFonts w:ascii="Calibri" w:hAnsi="Calibri" w:cs="Calibri"/>
          <w:bCs/>
          <w:sz w:val="23"/>
          <w:szCs w:val="23"/>
        </w:rPr>
        <w:t xml:space="preserve"> </w:t>
      </w:r>
    </w:p>
    <w:p w14:paraId="0565A74F" w14:textId="26AD7AA6" w:rsidR="00BF1836" w:rsidRDefault="00070EA7" w:rsidP="009B2505">
      <w:pPr>
        <w:jc w:val="both"/>
        <w:rPr>
          <w:rFonts w:ascii="Calibri" w:hAnsi="Calibri" w:cs="Calibri"/>
          <w:bCs/>
          <w:sz w:val="23"/>
          <w:szCs w:val="23"/>
        </w:rPr>
      </w:pPr>
      <w:r>
        <w:rPr>
          <w:rFonts w:ascii="Calibri" w:hAnsi="Calibri" w:cs="Calibri"/>
          <w:bCs/>
          <w:sz w:val="23"/>
          <w:szCs w:val="23"/>
        </w:rPr>
        <w:t>Az átlagkereset növekedése nem általános</w:t>
      </w:r>
      <w:r w:rsidR="00E8301B">
        <w:rPr>
          <w:rFonts w:ascii="Calibri" w:hAnsi="Calibri" w:cs="Calibri"/>
          <w:bCs/>
          <w:sz w:val="23"/>
          <w:szCs w:val="23"/>
        </w:rPr>
        <w:t xml:space="preserve">, az év elején a minimál- vagy garantált bérminimum emeléssel egyidejű </w:t>
      </w:r>
      <w:r>
        <w:rPr>
          <w:rFonts w:ascii="Calibri" w:hAnsi="Calibri" w:cs="Calibri"/>
          <w:bCs/>
          <w:sz w:val="23"/>
          <w:szCs w:val="23"/>
        </w:rPr>
        <w:t xml:space="preserve">béremelést jelentett kizárólag, hanem </w:t>
      </w:r>
      <w:r w:rsidR="00672553">
        <w:rPr>
          <w:rFonts w:ascii="Calibri" w:hAnsi="Calibri" w:cs="Calibri"/>
          <w:bCs/>
          <w:sz w:val="23"/>
          <w:szCs w:val="23"/>
        </w:rPr>
        <w:t xml:space="preserve">évközi intézkedés hatása, mivel </w:t>
      </w:r>
      <w:r>
        <w:rPr>
          <w:rFonts w:ascii="Calibri" w:hAnsi="Calibri" w:cs="Calibri"/>
          <w:bCs/>
          <w:sz w:val="23"/>
          <w:szCs w:val="23"/>
        </w:rPr>
        <w:t xml:space="preserve">több szakmai munkavállaló szerzett olyan speciális szakképesítést, </w:t>
      </w:r>
      <w:r w:rsidR="00E8301B">
        <w:rPr>
          <w:rFonts w:ascii="Calibri" w:hAnsi="Calibri" w:cs="Calibri"/>
          <w:bCs/>
          <w:sz w:val="23"/>
          <w:szCs w:val="23"/>
        </w:rPr>
        <w:t xml:space="preserve">mely nélkülözhetetlen a repülőtér működése szempontjából, és a megszerzett képesítések, feladat- és felelősségi kör kiegészítéssel jártak, melyekhez béremelés is tartozott. </w:t>
      </w:r>
    </w:p>
    <w:p w14:paraId="1834DA29" w14:textId="77777777" w:rsidR="00F8196E" w:rsidRDefault="00F8196E" w:rsidP="009B2505">
      <w:pPr>
        <w:jc w:val="both"/>
        <w:rPr>
          <w:rFonts w:ascii="Calibri" w:hAnsi="Calibri" w:cs="Calibri"/>
          <w:bCs/>
          <w:sz w:val="23"/>
          <w:szCs w:val="23"/>
        </w:rPr>
      </w:pPr>
    </w:p>
    <w:p w14:paraId="690D34D6" w14:textId="77777777" w:rsidR="00F8196E" w:rsidRDefault="00F8196E">
      <w:pPr>
        <w:rPr>
          <w:rFonts w:ascii="Calibri" w:hAnsi="Calibri" w:cs="Calibri"/>
          <w:bCs/>
          <w:sz w:val="23"/>
          <w:szCs w:val="23"/>
        </w:rPr>
      </w:pPr>
      <w:r>
        <w:rPr>
          <w:rFonts w:ascii="Calibri" w:hAnsi="Calibri" w:cs="Calibri"/>
          <w:bCs/>
          <w:sz w:val="23"/>
          <w:szCs w:val="23"/>
        </w:rPr>
        <w:br w:type="page"/>
      </w:r>
    </w:p>
    <w:p w14:paraId="27CB4AFD" w14:textId="3EA207AC" w:rsidR="00460405" w:rsidRDefault="00BF1836" w:rsidP="009B2505">
      <w:pPr>
        <w:jc w:val="both"/>
        <w:rPr>
          <w:rFonts w:ascii="Calibri" w:hAnsi="Calibri" w:cs="Calibri"/>
          <w:bCs/>
          <w:sz w:val="20"/>
          <w:szCs w:val="20"/>
        </w:rPr>
      </w:pPr>
      <w:r>
        <w:rPr>
          <w:rFonts w:ascii="Calibri" w:hAnsi="Calibri" w:cs="Calibri"/>
          <w:bCs/>
          <w:sz w:val="23"/>
          <w:szCs w:val="23"/>
        </w:rPr>
        <w:lastRenderedPageBreak/>
        <w:t xml:space="preserve">A kereset és egyéb jövedelmek átlagos alakulását a következő ábra szemlélteti </w:t>
      </w:r>
      <w:r w:rsidRPr="003D691D">
        <w:rPr>
          <w:rFonts w:ascii="Calibri" w:hAnsi="Calibri" w:cs="Calibri"/>
          <w:bCs/>
          <w:i/>
          <w:iCs/>
          <w:sz w:val="20"/>
          <w:szCs w:val="20"/>
        </w:rPr>
        <w:t>(keresetelemként a KSH kereset fogalmába tartozó tételek, úgymint alapbér, órabér, pótlékok stb., míg egyéb jövedelemként a munkábajárás költségtérítése, cafeteria juttatás és egyéb keresetbe nem tartozó jövedelmek kerültek figyelembevételre)</w:t>
      </w:r>
      <w:r w:rsidRPr="003D691D">
        <w:rPr>
          <w:rFonts w:ascii="Calibri" w:hAnsi="Calibri" w:cs="Calibri"/>
          <w:bCs/>
          <w:sz w:val="20"/>
          <w:szCs w:val="20"/>
        </w:rPr>
        <w:t>:</w:t>
      </w:r>
    </w:p>
    <w:p w14:paraId="0ED697D6" w14:textId="5A79B256" w:rsidR="00E8301B" w:rsidRDefault="00E8301B" w:rsidP="009B2505">
      <w:pPr>
        <w:jc w:val="both"/>
        <w:rPr>
          <w:rFonts w:ascii="Calibri" w:hAnsi="Calibri" w:cs="Calibri"/>
          <w:bCs/>
          <w:sz w:val="20"/>
          <w:szCs w:val="20"/>
        </w:rPr>
      </w:pPr>
      <w:r>
        <w:rPr>
          <w:noProof/>
        </w:rPr>
        <w:drawing>
          <wp:inline distT="0" distB="0" distL="0" distR="0" wp14:anchorId="09BB679C" wp14:editId="08B9E796">
            <wp:extent cx="6120130" cy="3217333"/>
            <wp:effectExtent l="0" t="0" r="0" b="2540"/>
            <wp:docPr id="314921031" name="Diagram 1">
              <a:extLst xmlns:a="http://schemas.openxmlformats.org/drawingml/2006/main">
                <a:ext uri="{FF2B5EF4-FFF2-40B4-BE49-F238E27FC236}">
                  <a16:creationId xmlns:a16="http://schemas.microsoft.com/office/drawing/2014/main" id="{BCBAB14F-69EB-A21D-C04D-54AD5236E48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14:paraId="0CCBC4E4" w14:textId="63925491" w:rsidR="000876BB" w:rsidRPr="003F687B" w:rsidRDefault="000876BB" w:rsidP="009B2505">
      <w:pPr>
        <w:jc w:val="both"/>
        <w:rPr>
          <w:rFonts w:ascii="Calibri" w:hAnsi="Calibri" w:cs="Calibri"/>
          <w:b/>
          <w:sz w:val="23"/>
          <w:szCs w:val="23"/>
        </w:rPr>
      </w:pPr>
      <w:r w:rsidRPr="003F687B">
        <w:rPr>
          <w:rFonts w:ascii="Calibri" w:hAnsi="Calibri" w:cs="Calibri"/>
          <w:b/>
          <w:sz w:val="23"/>
          <w:szCs w:val="23"/>
        </w:rPr>
        <w:t>Munkaerőgazdálkodás</w:t>
      </w:r>
    </w:p>
    <w:p w14:paraId="6C0DB388" w14:textId="6D1A6DEF" w:rsidR="008229CE" w:rsidRPr="00460405" w:rsidRDefault="00BF1836" w:rsidP="000876BB">
      <w:pPr>
        <w:spacing w:before="80" w:after="80"/>
        <w:jc w:val="both"/>
        <w:rPr>
          <w:rFonts w:ascii="Calibri" w:hAnsi="Calibri" w:cs="Calibri"/>
          <w:bCs/>
          <w:sz w:val="23"/>
          <w:szCs w:val="23"/>
        </w:rPr>
      </w:pPr>
      <w:r w:rsidRPr="00460405">
        <w:rPr>
          <w:rFonts w:ascii="Calibri" w:hAnsi="Calibri" w:cs="Calibri"/>
          <w:bCs/>
          <w:sz w:val="23"/>
          <w:szCs w:val="23"/>
        </w:rPr>
        <w:t xml:space="preserve">A Hévíz-Balaton Airport Kft. </w:t>
      </w:r>
      <w:r w:rsidR="008229CE" w:rsidRPr="00460405">
        <w:rPr>
          <w:rFonts w:ascii="Calibri" w:hAnsi="Calibri" w:cs="Calibri"/>
          <w:bCs/>
          <w:sz w:val="23"/>
          <w:szCs w:val="23"/>
        </w:rPr>
        <w:t>202</w:t>
      </w:r>
      <w:r w:rsidR="00E8301B">
        <w:rPr>
          <w:rFonts w:ascii="Calibri" w:hAnsi="Calibri" w:cs="Calibri"/>
          <w:bCs/>
          <w:sz w:val="23"/>
          <w:szCs w:val="23"/>
        </w:rPr>
        <w:t>4</w:t>
      </w:r>
      <w:r w:rsidRPr="00460405">
        <w:rPr>
          <w:rFonts w:ascii="Calibri" w:hAnsi="Calibri" w:cs="Calibri"/>
          <w:bCs/>
          <w:sz w:val="23"/>
          <w:szCs w:val="23"/>
        </w:rPr>
        <w:t xml:space="preserve">. </w:t>
      </w:r>
      <w:r w:rsidR="008229CE" w:rsidRPr="00460405">
        <w:rPr>
          <w:rFonts w:ascii="Calibri" w:hAnsi="Calibri" w:cs="Calibri"/>
          <w:bCs/>
          <w:sz w:val="23"/>
          <w:szCs w:val="23"/>
        </w:rPr>
        <w:t xml:space="preserve">évi átlagos statisztikai létszáma </w:t>
      </w:r>
      <w:r w:rsidR="00E8301B">
        <w:rPr>
          <w:rFonts w:ascii="Calibri" w:hAnsi="Calibri" w:cs="Calibri"/>
          <w:bCs/>
          <w:sz w:val="23"/>
          <w:szCs w:val="23"/>
        </w:rPr>
        <w:t>44,6</w:t>
      </w:r>
      <w:r w:rsidR="008229CE" w:rsidRPr="00460405">
        <w:rPr>
          <w:rFonts w:ascii="Calibri" w:hAnsi="Calibri" w:cs="Calibri"/>
          <w:bCs/>
          <w:sz w:val="23"/>
          <w:szCs w:val="23"/>
        </w:rPr>
        <w:t xml:space="preserve"> fő, átlagos állományi létszáma </w:t>
      </w:r>
      <w:r w:rsidR="00E8301B">
        <w:rPr>
          <w:rFonts w:ascii="Calibri" w:hAnsi="Calibri" w:cs="Calibri"/>
          <w:bCs/>
          <w:sz w:val="23"/>
          <w:szCs w:val="23"/>
        </w:rPr>
        <w:t>45,1</w:t>
      </w:r>
      <w:r w:rsidR="008229CE" w:rsidRPr="00460405">
        <w:rPr>
          <w:rFonts w:ascii="Calibri" w:hAnsi="Calibri" w:cs="Calibri"/>
          <w:bCs/>
          <w:sz w:val="23"/>
          <w:szCs w:val="23"/>
        </w:rPr>
        <w:t xml:space="preserve"> fő. A Társaság záró munkajogi létszáma 4</w:t>
      </w:r>
      <w:r w:rsidR="00E8301B">
        <w:rPr>
          <w:rFonts w:ascii="Calibri" w:hAnsi="Calibri" w:cs="Calibri"/>
          <w:bCs/>
          <w:sz w:val="23"/>
          <w:szCs w:val="23"/>
        </w:rPr>
        <w:t>6</w:t>
      </w:r>
      <w:r w:rsidR="008229CE" w:rsidRPr="00460405">
        <w:rPr>
          <w:rFonts w:ascii="Calibri" w:hAnsi="Calibri" w:cs="Calibri"/>
          <w:bCs/>
          <w:sz w:val="23"/>
          <w:szCs w:val="23"/>
        </w:rPr>
        <w:t xml:space="preserve"> fő</w:t>
      </w:r>
      <w:r w:rsidRPr="00460405">
        <w:rPr>
          <w:rFonts w:ascii="Calibri" w:hAnsi="Calibri" w:cs="Calibri"/>
          <w:bCs/>
          <w:sz w:val="23"/>
          <w:szCs w:val="23"/>
        </w:rPr>
        <w:t xml:space="preserve">, </w:t>
      </w:r>
      <w:r w:rsidR="00E8301B">
        <w:rPr>
          <w:rFonts w:ascii="Calibri" w:hAnsi="Calibri" w:cs="Calibri"/>
          <w:bCs/>
          <w:sz w:val="23"/>
          <w:szCs w:val="23"/>
        </w:rPr>
        <w:t xml:space="preserve">megbízási szerződéssel </w:t>
      </w:r>
      <w:r w:rsidR="00AD5F51">
        <w:rPr>
          <w:rFonts w:ascii="Calibri" w:hAnsi="Calibri" w:cs="Calibri"/>
          <w:bCs/>
          <w:sz w:val="23"/>
          <w:szCs w:val="23"/>
        </w:rPr>
        <w:t>foglalkoztatottak száma 5 fő</w:t>
      </w:r>
      <w:r w:rsidRPr="00460405">
        <w:rPr>
          <w:rFonts w:ascii="Calibri" w:hAnsi="Calibri" w:cs="Calibri"/>
          <w:bCs/>
          <w:sz w:val="23"/>
          <w:szCs w:val="23"/>
        </w:rPr>
        <w:t>.</w:t>
      </w:r>
    </w:p>
    <w:p w14:paraId="1CC27285" w14:textId="77777777" w:rsidR="00B712E9" w:rsidRDefault="004B4B79" w:rsidP="000876BB">
      <w:pPr>
        <w:spacing w:before="80" w:after="80"/>
        <w:jc w:val="both"/>
        <w:rPr>
          <w:rFonts w:ascii="Calibri" w:hAnsi="Calibri" w:cs="Calibri"/>
          <w:bCs/>
          <w:sz w:val="23"/>
          <w:szCs w:val="23"/>
        </w:rPr>
      </w:pPr>
      <w:r w:rsidRPr="00460405">
        <w:rPr>
          <w:rFonts w:ascii="Calibri" w:hAnsi="Calibri" w:cs="Calibri"/>
          <w:bCs/>
          <w:sz w:val="23"/>
          <w:szCs w:val="23"/>
        </w:rPr>
        <w:t xml:space="preserve">A munkaerőmozgás, azaz a belépési és kilépési forgalom az előző évhez képest jelentős </w:t>
      </w:r>
      <w:r w:rsidR="00AD5F51">
        <w:rPr>
          <w:rFonts w:ascii="Calibri" w:hAnsi="Calibri" w:cs="Calibri"/>
          <w:bCs/>
          <w:sz w:val="23"/>
          <w:szCs w:val="23"/>
        </w:rPr>
        <w:t>növekedést</w:t>
      </w:r>
      <w:r w:rsidRPr="00460405">
        <w:rPr>
          <w:rFonts w:ascii="Calibri" w:hAnsi="Calibri" w:cs="Calibri"/>
          <w:bCs/>
          <w:sz w:val="23"/>
          <w:szCs w:val="23"/>
        </w:rPr>
        <w:t xml:space="preserve"> mutat, a </w:t>
      </w:r>
      <w:r w:rsidRPr="003F687B">
        <w:rPr>
          <w:rFonts w:ascii="Calibri" w:hAnsi="Calibri" w:cs="Calibri"/>
          <w:b/>
          <w:sz w:val="23"/>
          <w:szCs w:val="23"/>
        </w:rPr>
        <w:t>fluktuáció</w:t>
      </w:r>
      <w:r w:rsidRPr="00460405">
        <w:rPr>
          <w:rFonts w:ascii="Calibri" w:hAnsi="Calibri" w:cs="Calibri"/>
          <w:bCs/>
          <w:sz w:val="23"/>
          <w:szCs w:val="23"/>
        </w:rPr>
        <w:t xml:space="preserve"> mértéke </w:t>
      </w:r>
      <w:r w:rsidR="00AD5F51">
        <w:rPr>
          <w:rFonts w:ascii="Calibri" w:hAnsi="Calibri" w:cs="Calibri"/>
          <w:b/>
          <w:sz w:val="23"/>
          <w:szCs w:val="23"/>
        </w:rPr>
        <w:t xml:space="preserve">90,9 </w:t>
      </w:r>
      <w:r w:rsidRPr="003F687B">
        <w:rPr>
          <w:rFonts w:ascii="Calibri" w:hAnsi="Calibri" w:cs="Calibri"/>
          <w:b/>
          <w:sz w:val="23"/>
          <w:szCs w:val="23"/>
        </w:rPr>
        <w:t>%</w:t>
      </w:r>
      <w:r w:rsidR="00AD5F51">
        <w:rPr>
          <w:rFonts w:ascii="Calibri" w:hAnsi="Calibri" w:cs="Calibri"/>
          <w:b/>
          <w:sz w:val="23"/>
          <w:szCs w:val="23"/>
        </w:rPr>
        <w:t xml:space="preserve">. melyből a belépési forgalom 46,6% a kilépési forgalom </w:t>
      </w:r>
      <w:r w:rsidR="00B712E9">
        <w:rPr>
          <w:rFonts w:ascii="Calibri" w:hAnsi="Calibri" w:cs="Calibri"/>
          <w:b/>
          <w:sz w:val="23"/>
          <w:szCs w:val="23"/>
        </w:rPr>
        <w:t>44,3</w:t>
      </w:r>
      <w:r w:rsidR="00AD5F51">
        <w:rPr>
          <w:rFonts w:ascii="Calibri" w:hAnsi="Calibri" w:cs="Calibri"/>
          <w:b/>
          <w:sz w:val="23"/>
          <w:szCs w:val="23"/>
        </w:rPr>
        <w:t>%</w:t>
      </w:r>
      <w:r w:rsidRPr="00460405">
        <w:rPr>
          <w:rFonts w:ascii="Calibri" w:hAnsi="Calibri" w:cs="Calibri"/>
          <w:bCs/>
          <w:sz w:val="23"/>
          <w:szCs w:val="23"/>
        </w:rPr>
        <w:t>.</w:t>
      </w:r>
      <w:r w:rsidR="00B712E9">
        <w:rPr>
          <w:rFonts w:ascii="Calibri" w:hAnsi="Calibri" w:cs="Calibri"/>
          <w:bCs/>
          <w:sz w:val="23"/>
          <w:szCs w:val="23"/>
        </w:rPr>
        <w:t xml:space="preserve"> A magas munkaerőmozgás a tűzoltási feladatot ellátó munkavállalók be- majd – </w:t>
      </w:r>
      <w:r w:rsidR="00B712E9" w:rsidRPr="00B712E9">
        <w:rPr>
          <w:rFonts w:ascii="Calibri" w:hAnsi="Calibri" w:cs="Calibri"/>
          <w:bCs/>
          <w:i/>
          <w:iCs/>
          <w:sz w:val="23"/>
          <w:szCs w:val="23"/>
        </w:rPr>
        <w:t>a tűzoltószolgálat és a létesítményi tűzoltósági feladatok kiszervezésével</w:t>
      </w:r>
      <w:r w:rsidR="00B712E9">
        <w:rPr>
          <w:rFonts w:ascii="Calibri" w:hAnsi="Calibri" w:cs="Calibri"/>
          <w:bCs/>
          <w:sz w:val="23"/>
          <w:szCs w:val="23"/>
        </w:rPr>
        <w:t xml:space="preserve"> – a kiléptetésük 57,6 %-os munkaerőmozgást jelent a teljes fluktuáción belül. A tűzoltólétszám figyelmen kívül hagyásával a fluktuáció 33,3%-os mértékű. </w:t>
      </w:r>
      <w:r w:rsidRPr="00460405">
        <w:rPr>
          <w:rFonts w:ascii="Calibri" w:hAnsi="Calibri" w:cs="Calibri"/>
          <w:bCs/>
          <w:sz w:val="23"/>
          <w:szCs w:val="23"/>
        </w:rPr>
        <w:t xml:space="preserve"> </w:t>
      </w:r>
    </w:p>
    <w:p w14:paraId="7376B76D" w14:textId="0F467350" w:rsidR="00460405" w:rsidRDefault="00460405" w:rsidP="000876BB">
      <w:pPr>
        <w:spacing w:before="80" w:after="80"/>
        <w:jc w:val="both"/>
        <w:rPr>
          <w:rFonts w:ascii="Calibri" w:hAnsi="Calibri" w:cs="Calibri"/>
          <w:bCs/>
          <w:sz w:val="23"/>
          <w:szCs w:val="23"/>
        </w:rPr>
      </w:pPr>
      <w:r w:rsidRPr="00460405">
        <w:rPr>
          <w:rFonts w:ascii="Calibri" w:hAnsi="Calibri" w:cs="Calibri"/>
          <w:bCs/>
          <w:sz w:val="23"/>
          <w:szCs w:val="23"/>
        </w:rPr>
        <w:t>A fluktuáció alakulását a következő ábra mutatja:</w:t>
      </w:r>
    </w:p>
    <w:p w14:paraId="4BDB49C1" w14:textId="6ED7BF27" w:rsidR="00460405" w:rsidRDefault="00B712E9" w:rsidP="00F8196E">
      <w:pPr>
        <w:spacing w:before="80" w:after="80"/>
        <w:ind w:left="-284"/>
        <w:jc w:val="center"/>
        <w:rPr>
          <w:rFonts w:ascii="Calibri" w:hAnsi="Calibri" w:cs="Calibri"/>
          <w:bCs/>
          <w:sz w:val="23"/>
          <w:szCs w:val="23"/>
          <w:highlight w:val="yellow"/>
        </w:rPr>
      </w:pPr>
      <w:r>
        <w:rPr>
          <w:noProof/>
        </w:rPr>
        <w:drawing>
          <wp:inline distT="0" distB="0" distL="0" distR="0" wp14:anchorId="65CD2377" wp14:editId="4E475672">
            <wp:extent cx="5858510" cy="2980267"/>
            <wp:effectExtent l="0" t="0" r="8890" b="0"/>
            <wp:docPr id="2033120573" name="Diagram 1">
              <a:extLst xmlns:a="http://schemas.openxmlformats.org/drawingml/2006/main">
                <a:ext uri="{FF2B5EF4-FFF2-40B4-BE49-F238E27FC236}">
                  <a16:creationId xmlns:a16="http://schemas.microsoft.com/office/drawing/2014/main" id="{BA15761C-7716-3A0F-2665-9403816A992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</w:p>
    <w:p w14:paraId="3D461EDD" w14:textId="77777777" w:rsidR="00425B69" w:rsidRPr="00D21B1E" w:rsidRDefault="00080507" w:rsidP="00425B69">
      <w:pPr>
        <w:pStyle w:val="Listaszerbekezds"/>
        <w:numPr>
          <w:ilvl w:val="0"/>
          <w:numId w:val="38"/>
        </w:numPr>
        <w:spacing w:before="240" w:after="240"/>
        <w:ind w:left="284" w:hanging="284"/>
        <w:contextualSpacing w:val="0"/>
        <w:rPr>
          <w:rFonts w:ascii="Calibri" w:hAnsi="Calibri" w:cs="Calibri"/>
          <w:b/>
          <w:sz w:val="24"/>
          <w:szCs w:val="24"/>
        </w:rPr>
      </w:pPr>
      <w:r w:rsidRPr="00D21B1E">
        <w:rPr>
          <w:rFonts w:ascii="Calibri" w:hAnsi="Calibri" w:cs="Calibri"/>
          <w:b/>
          <w:sz w:val="24"/>
          <w:szCs w:val="24"/>
        </w:rPr>
        <w:lastRenderedPageBreak/>
        <w:t>Értékcsökkenési leírás</w:t>
      </w:r>
    </w:p>
    <w:p w14:paraId="1179E633" w14:textId="397049D7" w:rsidR="00A61681" w:rsidRPr="00D21B1E" w:rsidRDefault="00425B69" w:rsidP="00CC36DD">
      <w:pPr>
        <w:jc w:val="both"/>
        <w:rPr>
          <w:rFonts w:ascii="Calibri" w:hAnsi="Calibri" w:cs="Calibri"/>
          <w:bCs/>
          <w:sz w:val="23"/>
          <w:szCs w:val="23"/>
        </w:rPr>
      </w:pPr>
      <w:r w:rsidRPr="00D21B1E">
        <w:rPr>
          <w:rFonts w:ascii="Calibri" w:hAnsi="Calibri" w:cs="Calibri"/>
          <w:bCs/>
          <w:sz w:val="23"/>
          <w:szCs w:val="23"/>
        </w:rPr>
        <w:t>202</w:t>
      </w:r>
      <w:r w:rsidR="00B712E9">
        <w:rPr>
          <w:rFonts w:ascii="Calibri" w:hAnsi="Calibri" w:cs="Calibri"/>
          <w:bCs/>
          <w:sz w:val="23"/>
          <w:szCs w:val="23"/>
        </w:rPr>
        <w:t>4</w:t>
      </w:r>
      <w:r w:rsidR="00460405" w:rsidRPr="00D21B1E">
        <w:rPr>
          <w:rFonts w:ascii="Calibri" w:hAnsi="Calibri" w:cs="Calibri"/>
          <w:bCs/>
          <w:sz w:val="23"/>
          <w:szCs w:val="23"/>
        </w:rPr>
        <w:t>.</w:t>
      </w:r>
      <w:r w:rsidRPr="00D21B1E">
        <w:rPr>
          <w:rFonts w:ascii="Calibri" w:hAnsi="Calibri" w:cs="Calibri"/>
          <w:bCs/>
          <w:sz w:val="23"/>
          <w:szCs w:val="23"/>
        </w:rPr>
        <w:t xml:space="preserve"> év során terven felüli értékcsökkenés elszámolás</w:t>
      </w:r>
      <w:r w:rsidR="00CA166F" w:rsidRPr="00D21B1E">
        <w:rPr>
          <w:rFonts w:ascii="Calibri" w:hAnsi="Calibri" w:cs="Calibri"/>
          <w:bCs/>
          <w:sz w:val="23"/>
          <w:szCs w:val="23"/>
        </w:rPr>
        <w:t>a</w:t>
      </w:r>
      <w:r w:rsidRPr="00D21B1E">
        <w:rPr>
          <w:rFonts w:ascii="Calibri" w:hAnsi="Calibri" w:cs="Calibri"/>
          <w:bCs/>
          <w:sz w:val="23"/>
          <w:szCs w:val="23"/>
        </w:rPr>
        <w:t xml:space="preserve"> nem vált szükségessé, a terv szerinti értékcsökkenés </w:t>
      </w:r>
      <w:r w:rsidR="000A2A20">
        <w:rPr>
          <w:rFonts w:ascii="Calibri" w:hAnsi="Calibri" w:cs="Calibri"/>
          <w:bCs/>
          <w:sz w:val="23"/>
          <w:szCs w:val="23"/>
        </w:rPr>
        <w:t>értéke 141,4</w:t>
      </w:r>
      <w:r w:rsidRPr="00D21B1E">
        <w:rPr>
          <w:rFonts w:ascii="Calibri" w:hAnsi="Calibri" w:cs="Calibri"/>
          <w:bCs/>
          <w:sz w:val="23"/>
          <w:szCs w:val="23"/>
        </w:rPr>
        <w:t xml:space="preserve"> millió Ft</w:t>
      </w:r>
      <w:r w:rsidR="000A2A20">
        <w:rPr>
          <w:rFonts w:ascii="Calibri" w:hAnsi="Calibri" w:cs="Calibri"/>
          <w:bCs/>
          <w:sz w:val="23"/>
          <w:szCs w:val="23"/>
        </w:rPr>
        <w:t>, e</w:t>
      </w:r>
      <w:r w:rsidR="0000564C" w:rsidRPr="00D21B1E">
        <w:rPr>
          <w:rFonts w:ascii="Calibri" w:hAnsi="Calibri" w:cs="Calibri"/>
          <w:bCs/>
          <w:sz w:val="23"/>
          <w:szCs w:val="23"/>
        </w:rPr>
        <w:t xml:space="preserve">mellett a használatbavételkor egyösszegben elszámolt értékcsökkenés mértéke </w:t>
      </w:r>
      <w:r w:rsidR="000A2A20">
        <w:rPr>
          <w:rFonts w:ascii="Calibri" w:hAnsi="Calibri" w:cs="Calibri"/>
          <w:bCs/>
          <w:sz w:val="23"/>
          <w:szCs w:val="23"/>
        </w:rPr>
        <w:t>3,5</w:t>
      </w:r>
      <w:r w:rsidR="0000564C" w:rsidRPr="00D21B1E">
        <w:rPr>
          <w:rFonts w:ascii="Calibri" w:hAnsi="Calibri" w:cs="Calibri"/>
          <w:bCs/>
          <w:sz w:val="23"/>
          <w:szCs w:val="23"/>
        </w:rPr>
        <w:t xml:space="preserve"> millió Ft. Az értékcsökkenés 202</w:t>
      </w:r>
      <w:r w:rsidR="000A2A20">
        <w:rPr>
          <w:rFonts w:ascii="Calibri" w:hAnsi="Calibri" w:cs="Calibri"/>
          <w:bCs/>
          <w:sz w:val="23"/>
          <w:szCs w:val="23"/>
        </w:rPr>
        <w:t>4</w:t>
      </w:r>
      <w:r w:rsidR="00460405" w:rsidRPr="00D21B1E">
        <w:rPr>
          <w:rFonts w:ascii="Calibri" w:hAnsi="Calibri" w:cs="Calibri"/>
          <w:bCs/>
          <w:sz w:val="23"/>
          <w:szCs w:val="23"/>
        </w:rPr>
        <w:t>.</w:t>
      </w:r>
      <w:r w:rsidR="0000564C" w:rsidRPr="00D21B1E">
        <w:rPr>
          <w:rFonts w:ascii="Calibri" w:hAnsi="Calibri" w:cs="Calibri"/>
          <w:bCs/>
          <w:sz w:val="23"/>
          <w:szCs w:val="23"/>
        </w:rPr>
        <w:t xml:space="preserve"> évi </w:t>
      </w:r>
      <w:r w:rsidR="00CA166F" w:rsidRPr="00D21B1E">
        <w:rPr>
          <w:rFonts w:ascii="Calibri" w:hAnsi="Calibri" w:cs="Calibri"/>
          <w:bCs/>
          <w:sz w:val="23"/>
          <w:szCs w:val="23"/>
        </w:rPr>
        <w:t xml:space="preserve">teljes </w:t>
      </w:r>
      <w:r w:rsidR="0000564C" w:rsidRPr="00D21B1E">
        <w:rPr>
          <w:rFonts w:ascii="Calibri" w:hAnsi="Calibri" w:cs="Calibri"/>
          <w:bCs/>
          <w:sz w:val="23"/>
          <w:szCs w:val="23"/>
        </w:rPr>
        <w:t xml:space="preserve">összege: </w:t>
      </w:r>
      <w:r w:rsidR="000A2A20">
        <w:rPr>
          <w:rFonts w:ascii="Calibri" w:hAnsi="Calibri" w:cs="Calibri"/>
          <w:b/>
          <w:sz w:val="23"/>
          <w:szCs w:val="23"/>
        </w:rPr>
        <w:t>145</w:t>
      </w:r>
      <w:r w:rsidR="00460405" w:rsidRPr="00D21B1E">
        <w:rPr>
          <w:rFonts w:ascii="Calibri" w:hAnsi="Calibri" w:cs="Calibri"/>
          <w:b/>
          <w:sz w:val="23"/>
          <w:szCs w:val="23"/>
        </w:rPr>
        <w:t>,0</w:t>
      </w:r>
      <w:r w:rsidR="0000564C" w:rsidRPr="00D21B1E">
        <w:rPr>
          <w:rFonts w:ascii="Calibri" w:hAnsi="Calibri" w:cs="Calibri"/>
          <w:b/>
          <w:sz w:val="23"/>
          <w:szCs w:val="23"/>
        </w:rPr>
        <w:t xml:space="preserve"> millió Ft</w:t>
      </w:r>
      <w:r w:rsidR="00460405" w:rsidRPr="00D21B1E">
        <w:rPr>
          <w:rFonts w:ascii="Calibri" w:hAnsi="Calibri" w:cs="Calibri"/>
          <w:bCs/>
          <w:sz w:val="23"/>
          <w:szCs w:val="23"/>
        </w:rPr>
        <w:t xml:space="preserve">, melyből a vagyonkezelésbe vett ingatlanokhoz tartozó értékcsökkenés összege </w:t>
      </w:r>
      <w:r w:rsidR="000A2A20">
        <w:rPr>
          <w:rFonts w:ascii="Calibri" w:hAnsi="Calibri" w:cs="Calibri"/>
          <w:bCs/>
          <w:sz w:val="23"/>
          <w:szCs w:val="23"/>
        </w:rPr>
        <w:t>18,4</w:t>
      </w:r>
      <w:r w:rsidR="00460405" w:rsidRPr="00D21B1E">
        <w:rPr>
          <w:rFonts w:ascii="Calibri" w:hAnsi="Calibri" w:cs="Calibri"/>
          <w:bCs/>
          <w:sz w:val="23"/>
          <w:szCs w:val="23"/>
        </w:rPr>
        <w:t xml:space="preserve"> millió Ft</w:t>
      </w:r>
      <w:r w:rsidR="0000564C" w:rsidRPr="00D21B1E">
        <w:rPr>
          <w:rFonts w:ascii="Calibri" w:hAnsi="Calibri" w:cs="Calibri"/>
          <w:bCs/>
          <w:sz w:val="23"/>
          <w:szCs w:val="23"/>
        </w:rPr>
        <w:t>.</w:t>
      </w:r>
    </w:p>
    <w:p w14:paraId="2E40DADA" w14:textId="5963AF83" w:rsidR="00A61681" w:rsidRPr="00D21B1E" w:rsidRDefault="00A61681" w:rsidP="00BF1D19">
      <w:pPr>
        <w:pStyle w:val="Listaszerbekezds"/>
        <w:numPr>
          <w:ilvl w:val="0"/>
          <w:numId w:val="38"/>
        </w:numPr>
        <w:spacing w:before="240" w:after="240"/>
        <w:ind w:left="284" w:hanging="284"/>
        <w:contextualSpacing w:val="0"/>
        <w:rPr>
          <w:rFonts w:ascii="Calibri" w:hAnsi="Calibri" w:cs="Calibri"/>
          <w:b/>
          <w:sz w:val="24"/>
          <w:szCs w:val="24"/>
        </w:rPr>
      </w:pPr>
      <w:r w:rsidRPr="00D21B1E">
        <w:rPr>
          <w:rFonts w:ascii="Calibri" w:hAnsi="Calibri" w:cs="Calibri"/>
          <w:b/>
          <w:sz w:val="24"/>
          <w:szCs w:val="24"/>
        </w:rPr>
        <w:t>Egyéb ráfordítások</w:t>
      </w:r>
    </w:p>
    <w:p w14:paraId="11835F8F" w14:textId="1D138AB6" w:rsidR="00A61681" w:rsidRPr="006C394B" w:rsidRDefault="00BF1D19" w:rsidP="00D21B1E">
      <w:pPr>
        <w:jc w:val="both"/>
        <w:rPr>
          <w:rFonts w:ascii="Calibri" w:hAnsi="Calibri" w:cs="Calibri"/>
          <w:b/>
          <w:sz w:val="23"/>
          <w:szCs w:val="23"/>
          <w:highlight w:val="yellow"/>
        </w:rPr>
      </w:pPr>
      <w:r w:rsidRPr="00D21B1E">
        <w:rPr>
          <w:rFonts w:ascii="Calibri" w:hAnsi="Calibri" w:cs="Calibri"/>
          <w:bCs/>
          <w:sz w:val="23"/>
          <w:szCs w:val="23"/>
        </w:rPr>
        <w:t>Egyéb ráfordítás</w:t>
      </w:r>
      <w:r w:rsidR="00D21B1E" w:rsidRPr="00D21B1E">
        <w:rPr>
          <w:rFonts w:ascii="Calibri" w:hAnsi="Calibri" w:cs="Calibri"/>
          <w:bCs/>
          <w:sz w:val="23"/>
          <w:szCs w:val="23"/>
        </w:rPr>
        <w:t>o</w:t>
      </w:r>
      <w:r w:rsidRPr="00D21B1E">
        <w:rPr>
          <w:rFonts w:ascii="Calibri" w:hAnsi="Calibri" w:cs="Calibri"/>
          <w:bCs/>
          <w:sz w:val="23"/>
          <w:szCs w:val="23"/>
        </w:rPr>
        <w:t xml:space="preserve">k </w:t>
      </w:r>
      <w:r w:rsidR="000A2A20">
        <w:rPr>
          <w:rFonts w:ascii="Calibri" w:hAnsi="Calibri" w:cs="Calibri"/>
          <w:bCs/>
          <w:sz w:val="23"/>
          <w:szCs w:val="23"/>
        </w:rPr>
        <w:t>mind a tervezetthez, mind az előző évhez</w:t>
      </w:r>
      <w:r w:rsidRPr="00D21B1E">
        <w:rPr>
          <w:rFonts w:ascii="Calibri" w:hAnsi="Calibri" w:cs="Calibri"/>
          <w:bCs/>
          <w:sz w:val="23"/>
          <w:szCs w:val="23"/>
        </w:rPr>
        <w:t xml:space="preserve"> képest jelentős mérték</w:t>
      </w:r>
      <w:r w:rsidR="00D21B1E" w:rsidRPr="00D21B1E">
        <w:rPr>
          <w:rFonts w:ascii="Calibri" w:hAnsi="Calibri" w:cs="Calibri"/>
          <w:bCs/>
          <w:sz w:val="23"/>
          <w:szCs w:val="23"/>
        </w:rPr>
        <w:t xml:space="preserve">ben növekedtek, a teljesítés </w:t>
      </w:r>
      <w:r w:rsidR="00672553">
        <w:rPr>
          <w:rFonts w:ascii="Calibri" w:hAnsi="Calibri" w:cs="Calibri"/>
          <w:bCs/>
          <w:sz w:val="23"/>
          <w:szCs w:val="23"/>
        </w:rPr>
        <w:t>értéke</w:t>
      </w:r>
      <w:r w:rsidR="00D21B1E" w:rsidRPr="00D21B1E">
        <w:rPr>
          <w:rFonts w:ascii="Calibri" w:hAnsi="Calibri" w:cs="Calibri"/>
          <w:bCs/>
          <w:sz w:val="23"/>
          <w:szCs w:val="23"/>
        </w:rPr>
        <w:t xml:space="preserve"> </w:t>
      </w:r>
      <w:r w:rsidR="000A2A20">
        <w:rPr>
          <w:rFonts w:ascii="Calibri" w:hAnsi="Calibri" w:cs="Calibri"/>
          <w:b/>
          <w:sz w:val="23"/>
          <w:szCs w:val="23"/>
        </w:rPr>
        <w:t>323,4</w:t>
      </w:r>
      <w:r w:rsidR="00D21B1E" w:rsidRPr="00D21B1E">
        <w:rPr>
          <w:rFonts w:ascii="Calibri" w:hAnsi="Calibri" w:cs="Calibri"/>
          <w:b/>
          <w:sz w:val="23"/>
          <w:szCs w:val="23"/>
        </w:rPr>
        <w:t xml:space="preserve"> millió Ft</w:t>
      </w:r>
      <w:r w:rsidR="00D21B1E" w:rsidRPr="00D21B1E">
        <w:rPr>
          <w:rFonts w:ascii="Calibri" w:hAnsi="Calibri" w:cs="Calibri"/>
          <w:bCs/>
          <w:sz w:val="23"/>
          <w:szCs w:val="23"/>
        </w:rPr>
        <w:t xml:space="preserve">. A jelentős növekedés oka </w:t>
      </w:r>
      <w:r w:rsidR="00C90A38">
        <w:rPr>
          <w:rFonts w:ascii="Calibri" w:hAnsi="Calibri" w:cs="Calibri"/>
          <w:bCs/>
          <w:sz w:val="23"/>
          <w:szCs w:val="23"/>
        </w:rPr>
        <w:t>a vagyonkezelésbe vett Budaörs Repülőtér területre kivetett 312,7 millió Ft helyi adó fizetési kötelezettség teljesítése.</w:t>
      </w:r>
    </w:p>
    <w:p w14:paraId="101EEA9B" w14:textId="77777777" w:rsidR="0035009C" w:rsidRDefault="0035009C">
      <w:pPr>
        <w:rPr>
          <w:rFonts w:ascii="Calibri" w:eastAsiaTheme="majorEastAsia" w:hAnsi="Calibri" w:cs="Calibri"/>
          <w:b/>
          <w:caps/>
          <w:color w:val="244061" w:themeColor="accent1" w:themeShade="80"/>
          <w:sz w:val="26"/>
          <w:szCs w:val="26"/>
        </w:rPr>
      </w:pPr>
      <w:r>
        <w:rPr>
          <w:rFonts w:ascii="Calibri" w:hAnsi="Calibri" w:cs="Calibri"/>
          <w:b/>
          <w:caps/>
          <w:sz w:val="26"/>
          <w:szCs w:val="26"/>
        </w:rPr>
        <w:br w:type="page"/>
      </w:r>
    </w:p>
    <w:p w14:paraId="4E5AAD50" w14:textId="7DBE7F19" w:rsidR="00CC36DD" w:rsidRPr="00B712E9" w:rsidRDefault="00F97514" w:rsidP="00B712E9">
      <w:pPr>
        <w:pStyle w:val="Cmsor1"/>
        <w:numPr>
          <w:ilvl w:val="0"/>
          <w:numId w:val="35"/>
        </w:numPr>
        <w:spacing w:before="240" w:after="240"/>
        <w:ind w:left="426" w:hanging="426"/>
        <w:rPr>
          <w:rFonts w:ascii="Calibri" w:hAnsi="Calibri" w:cs="Calibri"/>
          <w:b/>
          <w:caps/>
          <w:sz w:val="26"/>
          <w:szCs w:val="26"/>
        </w:rPr>
      </w:pPr>
      <w:bookmarkStart w:id="9" w:name="_Toc196485750"/>
      <w:r w:rsidRPr="00B712E9">
        <w:rPr>
          <w:rFonts w:ascii="Calibri" w:hAnsi="Calibri" w:cs="Calibri"/>
          <w:b/>
          <w:caps/>
          <w:sz w:val="26"/>
          <w:szCs w:val="26"/>
        </w:rPr>
        <w:lastRenderedPageBreak/>
        <w:t xml:space="preserve">A társaság </w:t>
      </w:r>
      <w:r w:rsidR="00CC36DD" w:rsidRPr="00B712E9">
        <w:rPr>
          <w:rFonts w:ascii="Calibri" w:hAnsi="Calibri" w:cs="Calibri"/>
          <w:b/>
          <w:caps/>
          <w:sz w:val="26"/>
          <w:szCs w:val="26"/>
        </w:rPr>
        <w:t>EREDMÉNY</w:t>
      </w:r>
      <w:r w:rsidRPr="00B712E9">
        <w:rPr>
          <w:rFonts w:ascii="Calibri" w:hAnsi="Calibri" w:cs="Calibri"/>
          <w:b/>
          <w:caps/>
          <w:sz w:val="26"/>
          <w:szCs w:val="26"/>
        </w:rPr>
        <w:t xml:space="preserve">ének </w:t>
      </w:r>
      <w:r w:rsidR="00CC36DD" w:rsidRPr="00B712E9">
        <w:rPr>
          <w:rFonts w:ascii="Calibri" w:hAnsi="Calibri" w:cs="Calibri"/>
          <w:b/>
          <w:caps/>
          <w:sz w:val="26"/>
          <w:szCs w:val="26"/>
        </w:rPr>
        <w:t>ALAKULÁSA</w:t>
      </w:r>
      <w:bookmarkEnd w:id="9"/>
    </w:p>
    <w:p w14:paraId="3B420375" w14:textId="5E1B5F5A" w:rsidR="00581961" w:rsidRPr="00C02F24" w:rsidRDefault="00581961" w:rsidP="00CC36DD">
      <w:pPr>
        <w:rPr>
          <w:rFonts w:ascii="Calibri" w:hAnsi="Calibri" w:cs="Calibri"/>
          <w:b/>
          <w:bCs/>
          <w:sz w:val="24"/>
          <w:szCs w:val="24"/>
        </w:rPr>
      </w:pPr>
      <w:r w:rsidRPr="00C02F24">
        <w:rPr>
          <w:rFonts w:ascii="Calibri" w:hAnsi="Calibri" w:cs="Calibri"/>
          <w:b/>
          <w:bCs/>
          <w:sz w:val="24"/>
          <w:szCs w:val="24"/>
        </w:rPr>
        <w:t>Üzemi tevékenység eredménye:</w:t>
      </w:r>
      <w:r w:rsidR="00095A85">
        <w:rPr>
          <w:rFonts w:ascii="Calibri" w:hAnsi="Calibri" w:cs="Calibri"/>
          <w:b/>
          <w:bCs/>
          <w:sz w:val="24"/>
          <w:szCs w:val="24"/>
        </w:rPr>
        <w:tab/>
      </w:r>
      <w:r w:rsidR="00C90A38">
        <w:rPr>
          <w:rFonts w:ascii="Calibri" w:hAnsi="Calibri" w:cs="Calibri"/>
          <w:b/>
          <w:bCs/>
          <w:sz w:val="24"/>
          <w:szCs w:val="24"/>
        </w:rPr>
        <w:t>6.990</w:t>
      </w:r>
      <w:r w:rsidR="00B65B77" w:rsidRPr="00C02F24">
        <w:rPr>
          <w:rFonts w:ascii="Calibri" w:hAnsi="Calibri" w:cs="Calibri"/>
          <w:b/>
          <w:bCs/>
          <w:sz w:val="24"/>
          <w:szCs w:val="24"/>
        </w:rPr>
        <w:t xml:space="preserve"> e Ft</w:t>
      </w:r>
      <w:r w:rsidRPr="00C02F24">
        <w:rPr>
          <w:rFonts w:ascii="Calibri" w:hAnsi="Calibri" w:cs="Calibri"/>
          <w:b/>
          <w:bCs/>
          <w:sz w:val="24"/>
          <w:szCs w:val="24"/>
        </w:rPr>
        <w:t>.</w:t>
      </w:r>
    </w:p>
    <w:p w14:paraId="08465EBB" w14:textId="2F972DA9" w:rsidR="002557E3" w:rsidRPr="00C02F24" w:rsidRDefault="002557E3" w:rsidP="00CC36DD">
      <w:pPr>
        <w:rPr>
          <w:rFonts w:ascii="Calibri" w:hAnsi="Calibri" w:cs="Calibri"/>
          <w:b/>
          <w:bCs/>
          <w:sz w:val="24"/>
          <w:szCs w:val="24"/>
        </w:rPr>
      </w:pPr>
      <w:r w:rsidRPr="00C02F24">
        <w:rPr>
          <w:rFonts w:ascii="Calibri" w:hAnsi="Calibri" w:cs="Calibri"/>
          <w:b/>
          <w:bCs/>
          <w:sz w:val="24"/>
          <w:szCs w:val="24"/>
        </w:rPr>
        <w:t xml:space="preserve">Pénzügyi </w:t>
      </w:r>
      <w:r w:rsidR="00B65B77" w:rsidRPr="00C02F24">
        <w:rPr>
          <w:rFonts w:ascii="Calibri" w:hAnsi="Calibri" w:cs="Calibri"/>
          <w:b/>
          <w:bCs/>
          <w:sz w:val="24"/>
          <w:szCs w:val="24"/>
        </w:rPr>
        <w:t>m</w:t>
      </w:r>
      <w:r w:rsidRPr="00C02F24">
        <w:rPr>
          <w:rFonts w:ascii="Calibri" w:hAnsi="Calibri" w:cs="Calibri"/>
          <w:b/>
          <w:bCs/>
          <w:sz w:val="24"/>
          <w:szCs w:val="24"/>
        </w:rPr>
        <w:t>űveletek eredménye</w:t>
      </w:r>
      <w:r w:rsidR="00C90A38">
        <w:rPr>
          <w:rFonts w:ascii="Calibri" w:hAnsi="Calibri" w:cs="Calibri"/>
          <w:b/>
          <w:bCs/>
          <w:sz w:val="24"/>
          <w:szCs w:val="24"/>
        </w:rPr>
        <w:t>:</w:t>
      </w:r>
      <w:r w:rsidR="00C90A38">
        <w:rPr>
          <w:rFonts w:ascii="Calibri" w:hAnsi="Calibri" w:cs="Calibri"/>
          <w:b/>
          <w:bCs/>
          <w:sz w:val="24"/>
          <w:szCs w:val="24"/>
        </w:rPr>
        <w:tab/>
        <w:t>13.748</w:t>
      </w:r>
      <w:r w:rsidR="00B65B77" w:rsidRPr="00C02F24">
        <w:rPr>
          <w:rFonts w:ascii="Calibri" w:hAnsi="Calibri" w:cs="Calibri"/>
          <w:b/>
          <w:bCs/>
          <w:sz w:val="24"/>
          <w:szCs w:val="24"/>
        </w:rPr>
        <w:t xml:space="preserve"> e Ft</w:t>
      </w:r>
    </w:p>
    <w:p w14:paraId="74233B2B" w14:textId="3696D2CA" w:rsidR="002557E3" w:rsidRPr="00C02F24" w:rsidRDefault="002557E3" w:rsidP="00FA4A0F">
      <w:pPr>
        <w:spacing w:before="240" w:after="240"/>
        <w:rPr>
          <w:rFonts w:ascii="Calibri" w:hAnsi="Calibri" w:cs="Calibri"/>
          <w:b/>
          <w:bCs/>
          <w:sz w:val="24"/>
          <w:szCs w:val="24"/>
        </w:rPr>
      </w:pPr>
      <w:r w:rsidRPr="00C02F24">
        <w:rPr>
          <w:rFonts w:ascii="Calibri" w:hAnsi="Calibri" w:cs="Calibri"/>
          <w:b/>
          <w:bCs/>
          <w:sz w:val="24"/>
          <w:szCs w:val="24"/>
        </w:rPr>
        <w:t>Adózás előtti eredmény:</w:t>
      </w:r>
      <w:r w:rsidR="00C90A38">
        <w:rPr>
          <w:rFonts w:ascii="Calibri" w:hAnsi="Calibri" w:cs="Calibri"/>
          <w:b/>
          <w:bCs/>
          <w:sz w:val="24"/>
          <w:szCs w:val="24"/>
        </w:rPr>
        <w:tab/>
      </w:r>
      <w:r w:rsidR="00C90A38">
        <w:rPr>
          <w:rFonts w:ascii="Calibri" w:hAnsi="Calibri" w:cs="Calibri"/>
          <w:b/>
          <w:bCs/>
          <w:sz w:val="24"/>
          <w:szCs w:val="24"/>
        </w:rPr>
        <w:tab/>
        <w:t>20.738</w:t>
      </w:r>
      <w:r w:rsidR="00B65B77" w:rsidRPr="00C02F24">
        <w:rPr>
          <w:rFonts w:ascii="Calibri" w:hAnsi="Calibri" w:cs="Calibri"/>
          <w:b/>
          <w:bCs/>
          <w:sz w:val="24"/>
          <w:szCs w:val="24"/>
        </w:rPr>
        <w:t xml:space="preserve"> e Ft</w:t>
      </w:r>
    </w:p>
    <w:p w14:paraId="7CF60960" w14:textId="792F3400" w:rsidR="002557E3" w:rsidRPr="00C02F24" w:rsidRDefault="002557E3" w:rsidP="00CC36DD">
      <w:pPr>
        <w:jc w:val="both"/>
        <w:rPr>
          <w:rFonts w:ascii="Calibri" w:hAnsi="Calibri" w:cs="Calibri"/>
          <w:sz w:val="23"/>
          <w:szCs w:val="23"/>
        </w:rPr>
      </w:pPr>
      <w:r w:rsidRPr="00C02F24">
        <w:rPr>
          <w:rFonts w:ascii="Calibri" w:hAnsi="Calibri" w:cs="Calibri"/>
          <w:sz w:val="23"/>
          <w:szCs w:val="23"/>
        </w:rPr>
        <w:t>Társaság</w:t>
      </w:r>
      <w:r w:rsidR="00B65B77" w:rsidRPr="00C02F24">
        <w:rPr>
          <w:rFonts w:ascii="Calibri" w:hAnsi="Calibri" w:cs="Calibri"/>
          <w:sz w:val="23"/>
          <w:szCs w:val="23"/>
        </w:rPr>
        <w:t>nak</w:t>
      </w:r>
      <w:r w:rsidRPr="00C02F24">
        <w:rPr>
          <w:rFonts w:ascii="Calibri" w:hAnsi="Calibri" w:cs="Calibri"/>
          <w:sz w:val="23"/>
          <w:szCs w:val="23"/>
        </w:rPr>
        <w:t xml:space="preserve"> </w:t>
      </w:r>
      <w:r w:rsidR="00C90A38">
        <w:rPr>
          <w:rFonts w:ascii="Calibri" w:hAnsi="Calibri" w:cs="Calibri"/>
          <w:sz w:val="23"/>
          <w:szCs w:val="23"/>
        </w:rPr>
        <w:t xml:space="preserve">kisvállalati </w:t>
      </w:r>
      <w:r w:rsidRPr="00C02F24">
        <w:rPr>
          <w:rFonts w:ascii="Calibri" w:hAnsi="Calibri" w:cs="Calibri"/>
          <w:sz w:val="23"/>
          <w:szCs w:val="23"/>
        </w:rPr>
        <w:t>adófizetési kötelezettsége</w:t>
      </w:r>
      <w:r w:rsidR="00C90A38">
        <w:rPr>
          <w:rFonts w:ascii="Calibri" w:hAnsi="Calibri" w:cs="Calibri"/>
          <w:sz w:val="23"/>
          <w:szCs w:val="23"/>
        </w:rPr>
        <w:t xml:space="preserve"> mindössze 5.750 e Ft összegben keletkezett tekintettel arra, hogy a korábbi évek tőketartalék ill. beruházások értékei adóalap csökkentő tételként jelentős összeggel voltak figyelembevehetőek a 2024. évi adóbevallásnál.</w:t>
      </w:r>
      <w:r w:rsidR="00CA166F" w:rsidRPr="00C02F24">
        <w:rPr>
          <w:rFonts w:ascii="Calibri" w:hAnsi="Calibri" w:cs="Calibri"/>
          <w:sz w:val="23"/>
          <w:szCs w:val="23"/>
        </w:rPr>
        <w:t xml:space="preserve"> </w:t>
      </w:r>
    </w:p>
    <w:p w14:paraId="5FB5D59B" w14:textId="32E4ED7D" w:rsidR="00C1406A" w:rsidRDefault="00C1406A" w:rsidP="001F3EF8">
      <w:pPr>
        <w:jc w:val="both"/>
        <w:rPr>
          <w:rFonts w:ascii="Calibri" w:hAnsi="Calibri" w:cs="Calibri"/>
          <w:b/>
          <w:bCs/>
          <w:sz w:val="24"/>
          <w:szCs w:val="24"/>
        </w:rPr>
      </w:pPr>
      <w:r w:rsidRPr="00C02F24">
        <w:rPr>
          <w:rFonts w:ascii="Calibri" w:hAnsi="Calibri" w:cs="Calibri"/>
          <w:sz w:val="23"/>
          <w:szCs w:val="23"/>
        </w:rPr>
        <w:t>Ebből kifolyólag</w:t>
      </w:r>
      <w:r w:rsidR="001F3EF8">
        <w:rPr>
          <w:rFonts w:ascii="Calibri" w:hAnsi="Calibri" w:cs="Calibri"/>
          <w:sz w:val="23"/>
          <w:szCs w:val="23"/>
        </w:rPr>
        <w:t xml:space="preserve"> a Társaság </w:t>
      </w:r>
      <w:r w:rsidR="001F3EF8" w:rsidRPr="001F3EF8">
        <w:rPr>
          <w:rFonts w:ascii="Calibri" w:hAnsi="Calibri" w:cs="Calibri"/>
          <w:b/>
          <w:bCs/>
          <w:sz w:val="23"/>
          <w:szCs w:val="23"/>
        </w:rPr>
        <w:t>a</w:t>
      </w:r>
      <w:r w:rsidRPr="001F3EF8">
        <w:rPr>
          <w:rFonts w:ascii="Calibri" w:hAnsi="Calibri" w:cs="Calibri"/>
          <w:b/>
          <w:bCs/>
          <w:sz w:val="24"/>
          <w:szCs w:val="24"/>
        </w:rPr>
        <w:t>d</w:t>
      </w:r>
      <w:r w:rsidRPr="00C02F24">
        <w:rPr>
          <w:rFonts w:ascii="Calibri" w:hAnsi="Calibri" w:cs="Calibri"/>
          <w:b/>
          <w:bCs/>
          <w:sz w:val="24"/>
          <w:szCs w:val="24"/>
        </w:rPr>
        <w:t>ózás utáni eredmény</w:t>
      </w:r>
      <w:r w:rsidR="001F3EF8">
        <w:rPr>
          <w:rFonts w:ascii="Calibri" w:hAnsi="Calibri" w:cs="Calibri"/>
          <w:b/>
          <w:bCs/>
          <w:sz w:val="24"/>
          <w:szCs w:val="24"/>
        </w:rPr>
        <w:t>e</w:t>
      </w:r>
      <w:r w:rsidRPr="00C02F24">
        <w:rPr>
          <w:rFonts w:ascii="Calibri" w:hAnsi="Calibri" w:cs="Calibri"/>
          <w:b/>
          <w:bCs/>
          <w:sz w:val="24"/>
          <w:szCs w:val="24"/>
        </w:rPr>
        <w:t xml:space="preserve">: </w:t>
      </w:r>
      <w:r w:rsidR="00C90A38">
        <w:rPr>
          <w:rFonts w:ascii="Calibri" w:hAnsi="Calibri" w:cs="Calibri"/>
          <w:b/>
          <w:bCs/>
          <w:sz w:val="24"/>
          <w:szCs w:val="24"/>
        </w:rPr>
        <w:t>14.988</w:t>
      </w:r>
      <w:r w:rsidRPr="00C02F24">
        <w:rPr>
          <w:rFonts w:ascii="Calibri" w:hAnsi="Calibri" w:cs="Calibri"/>
          <w:b/>
          <w:bCs/>
          <w:sz w:val="24"/>
          <w:szCs w:val="24"/>
        </w:rPr>
        <w:t xml:space="preserve"> e Ft.</w:t>
      </w:r>
    </w:p>
    <w:p w14:paraId="5B711F85" w14:textId="38A323E6" w:rsidR="006C394B" w:rsidRDefault="006C394B" w:rsidP="00FA4A0F">
      <w:pPr>
        <w:spacing w:before="240"/>
        <w:jc w:val="both"/>
        <w:rPr>
          <w:rFonts w:ascii="Calibri" w:hAnsi="Calibri" w:cs="Calibri"/>
          <w:b/>
          <w:bCs/>
          <w:sz w:val="24"/>
          <w:szCs w:val="24"/>
        </w:rPr>
      </w:pPr>
      <w:r>
        <w:rPr>
          <w:rFonts w:ascii="Calibri" w:hAnsi="Calibri" w:cs="Calibri"/>
          <w:b/>
          <w:bCs/>
          <w:sz w:val="24"/>
          <w:szCs w:val="24"/>
        </w:rPr>
        <w:t>Az elmúlt évek eredményének alakulását a következő ábra mutatja:</w:t>
      </w:r>
    </w:p>
    <w:p w14:paraId="78A2F3BF" w14:textId="27F33CD9" w:rsidR="008128CF" w:rsidRDefault="00B45C84" w:rsidP="00870D37">
      <w:pPr>
        <w:spacing w:before="240"/>
        <w:ind w:left="-142"/>
        <w:jc w:val="both"/>
        <w:rPr>
          <w:rFonts w:ascii="Calibri" w:hAnsi="Calibri" w:cs="Calibri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39721EC2" wp14:editId="73EEF67D">
            <wp:extent cx="6629400" cy="5012055"/>
            <wp:effectExtent l="0" t="0" r="0" b="0"/>
            <wp:docPr id="711991044" name="Diagram 1">
              <a:extLst xmlns:a="http://schemas.openxmlformats.org/drawingml/2006/main">
                <a:ext uri="{FF2B5EF4-FFF2-40B4-BE49-F238E27FC236}">
                  <a16:creationId xmlns:a16="http://schemas.microsoft.com/office/drawing/2014/main" id="{5B724B76-9E77-53A9-06F3-A73AAAF571E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"/>
              </a:graphicData>
            </a:graphic>
          </wp:inline>
        </w:drawing>
      </w:r>
    </w:p>
    <w:p w14:paraId="61937672" w14:textId="6D8E1648" w:rsidR="00FB56B6" w:rsidRDefault="00D220CF" w:rsidP="00FA4A0F">
      <w:pPr>
        <w:spacing w:before="240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A Társaság </w:t>
      </w:r>
      <w:r w:rsidR="001E12D2">
        <w:rPr>
          <w:rFonts w:ascii="Calibri" w:hAnsi="Calibri" w:cs="Calibri"/>
          <w:sz w:val="24"/>
          <w:szCs w:val="24"/>
        </w:rPr>
        <w:t xml:space="preserve">üzemi (üzleti) </w:t>
      </w:r>
      <w:r w:rsidRPr="00774B42">
        <w:rPr>
          <w:rFonts w:ascii="Calibri" w:hAnsi="Calibri" w:cs="Calibri"/>
          <w:b/>
          <w:bCs/>
          <w:sz w:val="24"/>
          <w:szCs w:val="24"/>
        </w:rPr>
        <w:t>t</w:t>
      </w:r>
      <w:r w:rsidR="00BF4A6B" w:rsidRPr="00774B42">
        <w:rPr>
          <w:rFonts w:ascii="Calibri" w:hAnsi="Calibri" w:cs="Calibri"/>
          <w:b/>
          <w:bCs/>
          <w:sz w:val="24"/>
          <w:szCs w:val="24"/>
        </w:rPr>
        <w:t>evékenység</w:t>
      </w:r>
      <w:r w:rsidRPr="00774B42">
        <w:rPr>
          <w:rFonts w:ascii="Calibri" w:hAnsi="Calibri" w:cs="Calibri"/>
          <w:b/>
          <w:bCs/>
          <w:sz w:val="24"/>
          <w:szCs w:val="24"/>
        </w:rPr>
        <w:t>é</w:t>
      </w:r>
      <w:r w:rsidR="00BF4A6B" w:rsidRPr="00774B42">
        <w:rPr>
          <w:rFonts w:ascii="Calibri" w:hAnsi="Calibri" w:cs="Calibri"/>
          <w:b/>
          <w:bCs/>
          <w:sz w:val="24"/>
          <w:szCs w:val="24"/>
        </w:rPr>
        <w:t>ből származó eredmény</w:t>
      </w:r>
      <w:r w:rsidR="00BF4A6B" w:rsidRPr="00BF4A6B">
        <w:rPr>
          <w:rFonts w:ascii="Calibri" w:hAnsi="Calibri" w:cs="Calibri"/>
          <w:sz w:val="24"/>
          <w:szCs w:val="24"/>
        </w:rPr>
        <w:t xml:space="preserve"> az elmúlt év</w:t>
      </w:r>
      <w:r w:rsidR="00B45C84">
        <w:rPr>
          <w:rFonts w:ascii="Calibri" w:hAnsi="Calibri" w:cs="Calibri"/>
          <w:sz w:val="24"/>
          <w:szCs w:val="24"/>
        </w:rPr>
        <w:t xml:space="preserve">hez képest növekedett, értéke mintegy </w:t>
      </w:r>
      <w:r w:rsidR="00E96FFC">
        <w:rPr>
          <w:rFonts w:ascii="Calibri" w:hAnsi="Calibri" w:cs="Calibri"/>
          <w:sz w:val="24"/>
          <w:szCs w:val="24"/>
        </w:rPr>
        <w:t xml:space="preserve">7,0 millió Ft. </w:t>
      </w:r>
    </w:p>
    <w:p w14:paraId="1F61BFC3" w14:textId="1A049F7B" w:rsidR="00217D64" w:rsidRDefault="00D220CF" w:rsidP="00FA4A0F">
      <w:pPr>
        <w:spacing w:before="240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A</w:t>
      </w:r>
      <w:r w:rsidR="001F3EF8">
        <w:rPr>
          <w:rFonts w:ascii="Calibri" w:hAnsi="Calibri" w:cs="Calibri"/>
          <w:sz w:val="24"/>
          <w:szCs w:val="24"/>
        </w:rPr>
        <w:t xml:space="preserve">z előző évhez viszonyított </w:t>
      </w:r>
      <w:r w:rsidR="00E96FFC">
        <w:rPr>
          <w:rFonts w:ascii="Calibri" w:hAnsi="Calibri" w:cs="Calibri"/>
          <w:sz w:val="24"/>
          <w:szCs w:val="24"/>
        </w:rPr>
        <w:t>javuló</w:t>
      </w:r>
      <w:r w:rsidR="001F3EF8">
        <w:rPr>
          <w:rFonts w:ascii="Calibri" w:hAnsi="Calibri" w:cs="Calibri"/>
          <w:sz w:val="24"/>
          <w:szCs w:val="24"/>
        </w:rPr>
        <w:t xml:space="preserve"> üzleti </w:t>
      </w:r>
      <w:r>
        <w:rPr>
          <w:rFonts w:ascii="Calibri" w:hAnsi="Calibri" w:cs="Calibri"/>
          <w:sz w:val="24"/>
          <w:szCs w:val="24"/>
        </w:rPr>
        <w:t>eredmény</w:t>
      </w:r>
      <w:r w:rsidR="00217D64">
        <w:rPr>
          <w:rFonts w:ascii="Calibri" w:hAnsi="Calibri" w:cs="Calibri"/>
          <w:sz w:val="24"/>
          <w:szCs w:val="24"/>
        </w:rPr>
        <w:t xml:space="preserve"> több tényező együttes hatásaként értékelhető, melyek közül a legnagyobb </w:t>
      </w:r>
      <w:r w:rsidR="00FC423D">
        <w:rPr>
          <w:rFonts w:ascii="Calibri" w:hAnsi="Calibri" w:cs="Calibri"/>
          <w:sz w:val="24"/>
          <w:szCs w:val="24"/>
        </w:rPr>
        <w:t>eredményváltozást</w:t>
      </w:r>
      <w:r w:rsidR="00217D64">
        <w:rPr>
          <w:rFonts w:ascii="Calibri" w:hAnsi="Calibri" w:cs="Calibri"/>
          <w:sz w:val="24"/>
          <w:szCs w:val="24"/>
        </w:rPr>
        <w:t xml:space="preserve"> </w:t>
      </w:r>
      <w:r w:rsidR="001F3EF8">
        <w:rPr>
          <w:rFonts w:ascii="Calibri" w:hAnsi="Calibri" w:cs="Calibri"/>
          <w:sz w:val="24"/>
          <w:szCs w:val="24"/>
        </w:rPr>
        <w:t xml:space="preserve">a következők </w:t>
      </w:r>
      <w:r w:rsidR="00FC423D">
        <w:rPr>
          <w:rFonts w:ascii="Calibri" w:hAnsi="Calibri" w:cs="Calibri"/>
          <w:sz w:val="24"/>
          <w:szCs w:val="24"/>
        </w:rPr>
        <w:t>okozták</w:t>
      </w:r>
      <w:r w:rsidR="00217D64">
        <w:rPr>
          <w:rFonts w:ascii="Calibri" w:hAnsi="Calibri" w:cs="Calibri"/>
          <w:sz w:val="24"/>
          <w:szCs w:val="24"/>
        </w:rPr>
        <w:t>:</w:t>
      </w:r>
    </w:p>
    <w:p w14:paraId="77ECEDD7" w14:textId="54963869" w:rsidR="00FC423D" w:rsidRDefault="001F3EF8" w:rsidP="00217D64">
      <w:pPr>
        <w:pStyle w:val="Listaszerbekezds"/>
        <w:numPr>
          <w:ilvl w:val="0"/>
          <w:numId w:val="40"/>
        </w:numPr>
        <w:spacing w:before="240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lastRenderedPageBreak/>
        <w:t xml:space="preserve">a repülőtér üzemeltetés és a repülőgép kiszolgálás </w:t>
      </w:r>
      <w:r w:rsidR="00217D64">
        <w:rPr>
          <w:rFonts w:ascii="Calibri" w:hAnsi="Calibri" w:cs="Calibri"/>
          <w:sz w:val="24"/>
          <w:szCs w:val="24"/>
        </w:rPr>
        <w:t>bevétel</w:t>
      </w:r>
      <w:r>
        <w:rPr>
          <w:rFonts w:ascii="Calibri" w:hAnsi="Calibri" w:cs="Calibri"/>
          <w:sz w:val="24"/>
          <w:szCs w:val="24"/>
        </w:rPr>
        <w:t>e</w:t>
      </w:r>
      <w:r w:rsidR="00ED5A08">
        <w:rPr>
          <w:rFonts w:ascii="Calibri" w:hAnsi="Calibri" w:cs="Calibri"/>
          <w:sz w:val="24"/>
          <w:szCs w:val="24"/>
        </w:rPr>
        <w:t>ine</w:t>
      </w:r>
      <w:r>
        <w:rPr>
          <w:rFonts w:ascii="Calibri" w:hAnsi="Calibri" w:cs="Calibri"/>
          <w:sz w:val="24"/>
          <w:szCs w:val="24"/>
        </w:rPr>
        <w:t xml:space="preserve">k </w:t>
      </w:r>
      <w:r w:rsidR="00E96FFC">
        <w:rPr>
          <w:rFonts w:ascii="Calibri" w:hAnsi="Calibri" w:cs="Calibri"/>
          <w:sz w:val="24"/>
          <w:szCs w:val="24"/>
        </w:rPr>
        <w:t>növekedését</w:t>
      </w:r>
      <w:r w:rsidR="00217D64">
        <w:rPr>
          <w:rFonts w:ascii="Calibri" w:hAnsi="Calibri" w:cs="Calibri"/>
          <w:sz w:val="24"/>
          <w:szCs w:val="24"/>
        </w:rPr>
        <w:t xml:space="preserve"> okoz</w:t>
      </w:r>
      <w:r w:rsidR="00ED5A08">
        <w:rPr>
          <w:rFonts w:ascii="Calibri" w:hAnsi="Calibri" w:cs="Calibri"/>
          <w:sz w:val="24"/>
          <w:szCs w:val="24"/>
        </w:rPr>
        <w:t>ta</w:t>
      </w:r>
      <w:r w:rsidR="00217D64">
        <w:rPr>
          <w:rFonts w:ascii="Calibri" w:hAnsi="Calibri" w:cs="Calibri"/>
          <w:sz w:val="24"/>
          <w:szCs w:val="24"/>
        </w:rPr>
        <w:t xml:space="preserve">, hogy </w:t>
      </w:r>
      <w:r w:rsidR="00BF4A6B" w:rsidRPr="00217D64">
        <w:rPr>
          <w:rFonts w:ascii="Calibri" w:hAnsi="Calibri" w:cs="Calibri"/>
          <w:sz w:val="24"/>
          <w:szCs w:val="24"/>
        </w:rPr>
        <w:t xml:space="preserve">a </w:t>
      </w:r>
      <w:r w:rsidR="00B46E5C" w:rsidRPr="00217D64">
        <w:rPr>
          <w:rFonts w:ascii="Calibri" w:hAnsi="Calibri" w:cs="Calibri"/>
          <w:sz w:val="24"/>
          <w:szCs w:val="24"/>
        </w:rPr>
        <w:t xml:space="preserve">légi </w:t>
      </w:r>
      <w:r w:rsidR="00E96FFC">
        <w:rPr>
          <w:rFonts w:ascii="Calibri" w:hAnsi="Calibri" w:cs="Calibri"/>
          <w:sz w:val="24"/>
          <w:szCs w:val="24"/>
        </w:rPr>
        <w:t xml:space="preserve">áruszállítás tevékenységből a </w:t>
      </w:r>
      <w:r>
        <w:rPr>
          <w:rFonts w:ascii="Calibri" w:hAnsi="Calibri" w:cs="Calibri"/>
          <w:sz w:val="24"/>
          <w:szCs w:val="24"/>
        </w:rPr>
        <w:t>Társaság</w:t>
      </w:r>
      <w:r w:rsidR="0044377B" w:rsidRPr="00217D64">
        <w:rPr>
          <w:rFonts w:ascii="Calibri" w:hAnsi="Calibri" w:cs="Calibri"/>
          <w:sz w:val="24"/>
          <w:szCs w:val="24"/>
        </w:rPr>
        <w:t xml:space="preserve"> </w:t>
      </w:r>
      <w:r w:rsidR="00E96FFC">
        <w:rPr>
          <w:rFonts w:ascii="Calibri" w:hAnsi="Calibri" w:cs="Calibri"/>
          <w:sz w:val="24"/>
          <w:szCs w:val="24"/>
        </w:rPr>
        <w:t>bevételei nőttek,</w:t>
      </w:r>
    </w:p>
    <w:p w14:paraId="52D2349F" w14:textId="7C25E1C3" w:rsidR="001557D2" w:rsidRDefault="00FC423D" w:rsidP="00217D64">
      <w:pPr>
        <w:pStyle w:val="Listaszerbekezds"/>
        <w:numPr>
          <w:ilvl w:val="0"/>
          <w:numId w:val="40"/>
        </w:numPr>
        <w:spacing w:before="240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a </w:t>
      </w:r>
      <w:r w:rsidR="00786DC1">
        <w:rPr>
          <w:rFonts w:ascii="Calibri" w:hAnsi="Calibri" w:cs="Calibri"/>
          <w:sz w:val="24"/>
          <w:szCs w:val="24"/>
        </w:rPr>
        <w:t>S</w:t>
      </w:r>
      <w:r>
        <w:rPr>
          <w:rFonts w:ascii="Calibri" w:hAnsi="Calibri" w:cs="Calibri"/>
          <w:sz w:val="24"/>
          <w:szCs w:val="24"/>
        </w:rPr>
        <w:t xml:space="preserve">chengeni övezet </w:t>
      </w:r>
      <w:r w:rsidR="00E96FFC">
        <w:rPr>
          <w:rFonts w:ascii="Calibri" w:hAnsi="Calibri" w:cs="Calibri"/>
          <w:sz w:val="24"/>
          <w:szCs w:val="24"/>
        </w:rPr>
        <w:t xml:space="preserve">2023. évi </w:t>
      </w:r>
      <w:r>
        <w:rPr>
          <w:rFonts w:ascii="Calibri" w:hAnsi="Calibri" w:cs="Calibri"/>
          <w:sz w:val="24"/>
          <w:szCs w:val="24"/>
        </w:rPr>
        <w:t>bőv</w:t>
      </w:r>
      <w:r w:rsidR="00786DC1">
        <w:rPr>
          <w:rFonts w:ascii="Calibri" w:hAnsi="Calibri" w:cs="Calibri"/>
          <w:sz w:val="24"/>
          <w:szCs w:val="24"/>
        </w:rPr>
        <w:t>íté</w:t>
      </w:r>
      <w:r>
        <w:rPr>
          <w:rFonts w:ascii="Calibri" w:hAnsi="Calibri" w:cs="Calibri"/>
          <w:sz w:val="24"/>
          <w:szCs w:val="24"/>
        </w:rPr>
        <w:t xml:space="preserve">se ugyan kedvezőtlenül hatott a Társaság légiforgalomból származó bevételeire, </w:t>
      </w:r>
      <w:r w:rsidR="00E96FFC">
        <w:rPr>
          <w:rFonts w:ascii="Calibri" w:hAnsi="Calibri" w:cs="Calibri"/>
          <w:sz w:val="24"/>
          <w:szCs w:val="24"/>
        </w:rPr>
        <w:t>mivel</w:t>
      </w:r>
      <w:r>
        <w:rPr>
          <w:rFonts w:ascii="Calibri" w:hAnsi="Calibri" w:cs="Calibri"/>
          <w:sz w:val="24"/>
          <w:szCs w:val="24"/>
        </w:rPr>
        <w:t xml:space="preserve"> az érintett ország</w:t>
      </w:r>
      <w:r w:rsidR="00786DC1">
        <w:rPr>
          <w:rFonts w:ascii="Calibri" w:hAnsi="Calibri" w:cs="Calibri"/>
          <w:sz w:val="24"/>
          <w:szCs w:val="24"/>
        </w:rPr>
        <w:t xml:space="preserve"> felé irányuló légiközlekedés</w:t>
      </w:r>
      <w:r w:rsidR="001557D2">
        <w:rPr>
          <w:rFonts w:ascii="Calibri" w:hAnsi="Calibri" w:cs="Calibri"/>
          <w:sz w:val="24"/>
          <w:szCs w:val="24"/>
        </w:rPr>
        <w:t xml:space="preserve"> során</w:t>
      </w:r>
      <w:r>
        <w:rPr>
          <w:rFonts w:ascii="Calibri" w:hAnsi="Calibri" w:cs="Calibri"/>
          <w:sz w:val="24"/>
          <w:szCs w:val="24"/>
        </w:rPr>
        <w:t xml:space="preserve"> a határátkelőhelyi feladatok</w:t>
      </w:r>
      <w:r w:rsidR="00786DC1">
        <w:rPr>
          <w:rFonts w:ascii="Calibri" w:hAnsi="Calibri" w:cs="Calibri"/>
          <w:sz w:val="24"/>
          <w:szCs w:val="24"/>
        </w:rPr>
        <w:t xml:space="preserve"> ellátásá</w:t>
      </w:r>
      <w:r>
        <w:rPr>
          <w:rFonts w:ascii="Calibri" w:hAnsi="Calibri" w:cs="Calibri"/>
          <w:sz w:val="24"/>
          <w:szCs w:val="24"/>
        </w:rPr>
        <w:t xml:space="preserve">ból származó </w:t>
      </w:r>
      <w:r w:rsidR="00786DC1">
        <w:rPr>
          <w:rFonts w:ascii="Calibri" w:hAnsi="Calibri" w:cs="Calibri"/>
          <w:sz w:val="24"/>
          <w:szCs w:val="24"/>
        </w:rPr>
        <w:t>bevételek</w:t>
      </w:r>
      <w:r w:rsidR="001557D2">
        <w:rPr>
          <w:rFonts w:ascii="Calibri" w:hAnsi="Calibri" w:cs="Calibri"/>
          <w:sz w:val="24"/>
          <w:szCs w:val="24"/>
        </w:rPr>
        <w:t xml:space="preserve"> elmaradtak.</w:t>
      </w:r>
    </w:p>
    <w:p w14:paraId="16C0B576" w14:textId="5FF409CD" w:rsidR="00BD2AA8" w:rsidRDefault="00786DC1" w:rsidP="00217D64">
      <w:pPr>
        <w:pStyle w:val="Listaszerbekezds"/>
        <w:numPr>
          <w:ilvl w:val="0"/>
          <w:numId w:val="40"/>
        </w:numPr>
        <w:spacing w:before="240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 </w:t>
      </w:r>
      <w:r w:rsidR="001557D2">
        <w:rPr>
          <w:rFonts w:ascii="Calibri" w:hAnsi="Calibri" w:cs="Calibri"/>
          <w:sz w:val="24"/>
          <w:szCs w:val="24"/>
        </w:rPr>
        <w:t>a Társaság a kiegészítő tevékenységek</w:t>
      </w:r>
      <w:r w:rsidR="00BD2AA8">
        <w:rPr>
          <w:rFonts w:ascii="Calibri" w:hAnsi="Calibri" w:cs="Calibri"/>
          <w:sz w:val="24"/>
          <w:szCs w:val="24"/>
        </w:rPr>
        <w:t>, elsősorban</w:t>
      </w:r>
      <w:r w:rsidR="001557D2">
        <w:rPr>
          <w:rFonts w:ascii="Calibri" w:hAnsi="Calibri" w:cs="Calibri"/>
          <w:sz w:val="24"/>
          <w:szCs w:val="24"/>
        </w:rPr>
        <w:t xml:space="preserve"> a bérelt területek, helyiségek hasznosítása és a</w:t>
      </w:r>
      <w:r w:rsidR="00BD2AA8">
        <w:rPr>
          <w:rFonts w:ascii="Calibri" w:hAnsi="Calibri" w:cs="Calibri"/>
          <w:sz w:val="24"/>
          <w:szCs w:val="24"/>
        </w:rPr>
        <w:t xml:space="preserve"> légi áruszállításhoz kapcsolódó kiegészítő szolgáltatás ellátásával </w:t>
      </w:r>
      <w:r w:rsidR="00E96FFC">
        <w:rPr>
          <w:rFonts w:ascii="Calibri" w:hAnsi="Calibri" w:cs="Calibri"/>
          <w:sz w:val="24"/>
          <w:szCs w:val="24"/>
        </w:rPr>
        <w:t>növelte árbevételét</w:t>
      </w:r>
      <w:r w:rsidR="00BD2AA8">
        <w:rPr>
          <w:rFonts w:ascii="Calibri" w:hAnsi="Calibri" w:cs="Calibri"/>
          <w:sz w:val="24"/>
          <w:szCs w:val="24"/>
        </w:rPr>
        <w:t>.</w:t>
      </w:r>
    </w:p>
    <w:p w14:paraId="0C047845" w14:textId="6BA55526" w:rsidR="004C6373" w:rsidRPr="004C6373" w:rsidRDefault="001C6F24" w:rsidP="002923F2">
      <w:pPr>
        <w:pStyle w:val="Listaszerbekezds"/>
        <w:numPr>
          <w:ilvl w:val="0"/>
          <w:numId w:val="40"/>
        </w:numPr>
        <w:spacing w:before="240"/>
        <w:jc w:val="both"/>
        <w:rPr>
          <w:rFonts w:ascii="Calibri" w:hAnsi="Calibri" w:cs="Calibri"/>
          <w:b/>
          <w:bCs/>
          <w:sz w:val="24"/>
          <w:szCs w:val="24"/>
        </w:rPr>
      </w:pPr>
      <w:r w:rsidRPr="004C6373">
        <w:rPr>
          <w:rFonts w:ascii="Calibri" w:hAnsi="Calibri" w:cs="Calibri"/>
          <w:sz w:val="24"/>
          <w:szCs w:val="24"/>
        </w:rPr>
        <w:t xml:space="preserve">a költségek növekedése </w:t>
      </w:r>
      <w:r w:rsidR="002153D0">
        <w:rPr>
          <w:rFonts w:ascii="Calibri" w:hAnsi="Calibri" w:cs="Calibri"/>
          <w:sz w:val="24"/>
          <w:szCs w:val="24"/>
        </w:rPr>
        <w:t xml:space="preserve">jelentősen </w:t>
      </w:r>
      <w:r w:rsidRPr="004C6373">
        <w:rPr>
          <w:rFonts w:ascii="Calibri" w:hAnsi="Calibri" w:cs="Calibri"/>
          <w:sz w:val="24"/>
          <w:szCs w:val="24"/>
        </w:rPr>
        <w:t xml:space="preserve">mérsékelte </w:t>
      </w:r>
      <w:r w:rsidR="004C6373" w:rsidRPr="004C6373">
        <w:rPr>
          <w:rFonts w:ascii="Calibri" w:hAnsi="Calibri" w:cs="Calibri"/>
          <w:sz w:val="24"/>
          <w:szCs w:val="24"/>
        </w:rPr>
        <w:t>az</w:t>
      </w:r>
      <w:r w:rsidRPr="004C6373">
        <w:rPr>
          <w:rFonts w:ascii="Calibri" w:hAnsi="Calibri" w:cs="Calibri"/>
          <w:sz w:val="24"/>
          <w:szCs w:val="24"/>
        </w:rPr>
        <w:t xml:space="preserve"> </w:t>
      </w:r>
      <w:r w:rsidR="002153D0">
        <w:rPr>
          <w:rFonts w:ascii="Calibri" w:hAnsi="Calibri" w:cs="Calibri"/>
          <w:sz w:val="24"/>
          <w:szCs w:val="24"/>
        </w:rPr>
        <w:t xml:space="preserve">üzemi </w:t>
      </w:r>
      <w:r w:rsidRPr="004C6373">
        <w:rPr>
          <w:rFonts w:ascii="Calibri" w:hAnsi="Calibri" w:cs="Calibri"/>
          <w:sz w:val="24"/>
          <w:szCs w:val="24"/>
        </w:rPr>
        <w:t>eredményt</w:t>
      </w:r>
      <w:r w:rsidR="002153D0">
        <w:rPr>
          <w:rFonts w:ascii="Calibri" w:hAnsi="Calibri" w:cs="Calibri"/>
          <w:sz w:val="24"/>
          <w:szCs w:val="24"/>
        </w:rPr>
        <w:t>.</w:t>
      </w:r>
    </w:p>
    <w:p w14:paraId="22D0EB43" w14:textId="67042F44" w:rsidR="004C6373" w:rsidRDefault="00774B42" w:rsidP="004C6373">
      <w:pPr>
        <w:spacing w:before="240"/>
        <w:jc w:val="both"/>
        <w:rPr>
          <w:rFonts w:ascii="Calibri" w:hAnsi="Calibri" w:cs="Calibri"/>
          <w:sz w:val="24"/>
          <w:szCs w:val="24"/>
        </w:rPr>
      </w:pPr>
      <w:r w:rsidRPr="00774B42">
        <w:rPr>
          <w:rFonts w:ascii="Calibri" w:hAnsi="Calibri" w:cs="Calibri"/>
          <w:sz w:val="24"/>
          <w:szCs w:val="24"/>
        </w:rPr>
        <w:t xml:space="preserve">A </w:t>
      </w:r>
      <w:r w:rsidRPr="00774B42">
        <w:rPr>
          <w:rFonts w:ascii="Calibri" w:hAnsi="Calibri" w:cs="Calibri"/>
          <w:b/>
          <w:bCs/>
          <w:sz w:val="24"/>
          <w:szCs w:val="24"/>
        </w:rPr>
        <w:t xml:space="preserve">pénzügyi </w:t>
      </w:r>
      <w:r w:rsidR="002153D0">
        <w:rPr>
          <w:rFonts w:ascii="Calibri" w:hAnsi="Calibri" w:cs="Calibri"/>
          <w:b/>
          <w:bCs/>
          <w:sz w:val="24"/>
          <w:szCs w:val="24"/>
        </w:rPr>
        <w:t>műveletek</w:t>
      </w:r>
      <w:r w:rsidRPr="00774B42">
        <w:rPr>
          <w:rFonts w:ascii="Calibri" w:hAnsi="Calibri" w:cs="Calibri"/>
          <w:b/>
          <w:bCs/>
          <w:sz w:val="24"/>
          <w:szCs w:val="24"/>
        </w:rPr>
        <w:t xml:space="preserve"> eredménye</w:t>
      </w:r>
      <w:r>
        <w:rPr>
          <w:rFonts w:ascii="Calibri" w:hAnsi="Calibri" w:cs="Calibri"/>
          <w:sz w:val="24"/>
          <w:szCs w:val="24"/>
        </w:rPr>
        <w:t xml:space="preserve"> a korábbi évhez képest </w:t>
      </w:r>
      <w:r w:rsidR="002153D0">
        <w:rPr>
          <w:rFonts w:ascii="Calibri" w:hAnsi="Calibri" w:cs="Calibri"/>
          <w:sz w:val="24"/>
          <w:szCs w:val="24"/>
        </w:rPr>
        <w:t>jelentős csökkenést</w:t>
      </w:r>
      <w:r>
        <w:rPr>
          <w:rFonts w:ascii="Calibri" w:hAnsi="Calibri" w:cs="Calibri"/>
          <w:sz w:val="24"/>
          <w:szCs w:val="24"/>
        </w:rPr>
        <w:t xml:space="preserve"> mutat, értéke </w:t>
      </w:r>
      <w:r w:rsidR="002153D0">
        <w:rPr>
          <w:rFonts w:ascii="Calibri" w:hAnsi="Calibri" w:cs="Calibri"/>
          <w:sz w:val="24"/>
          <w:szCs w:val="24"/>
        </w:rPr>
        <w:t>13,7</w:t>
      </w:r>
      <w:r>
        <w:rPr>
          <w:rFonts w:ascii="Calibri" w:hAnsi="Calibri" w:cs="Calibri"/>
          <w:sz w:val="24"/>
          <w:szCs w:val="24"/>
        </w:rPr>
        <w:t xml:space="preserve"> millió Ft. </w:t>
      </w:r>
    </w:p>
    <w:p w14:paraId="1FB124CB" w14:textId="0DAB8DA9" w:rsidR="0068176C" w:rsidRDefault="00774B42" w:rsidP="004C6373">
      <w:pPr>
        <w:spacing w:before="240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Pénzügyi eredmény </w:t>
      </w:r>
      <w:r w:rsidR="002153D0">
        <w:rPr>
          <w:rFonts w:ascii="Calibri" w:hAnsi="Calibri" w:cs="Calibri"/>
          <w:sz w:val="24"/>
          <w:szCs w:val="24"/>
        </w:rPr>
        <w:t>a Társaság esetében elsősorban a</w:t>
      </w:r>
      <w:r w:rsidR="009007DB">
        <w:rPr>
          <w:rFonts w:ascii="Calibri" w:hAnsi="Calibri" w:cs="Calibri"/>
          <w:sz w:val="24"/>
          <w:szCs w:val="24"/>
        </w:rPr>
        <w:t xml:space="preserve"> látra szóló és lekötött betétekhez tartozóan realizált </w:t>
      </w:r>
      <w:r w:rsidR="002153D0">
        <w:rPr>
          <w:rFonts w:ascii="Calibri" w:hAnsi="Calibri" w:cs="Calibri"/>
          <w:sz w:val="24"/>
          <w:szCs w:val="24"/>
        </w:rPr>
        <w:t xml:space="preserve">kamatbevétel, annak előző évhez viszonyított csökkenése a </w:t>
      </w:r>
      <w:r w:rsidR="009007DB">
        <w:rPr>
          <w:rFonts w:ascii="Calibri" w:hAnsi="Calibri" w:cs="Calibri"/>
          <w:sz w:val="24"/>
          <w:szCs w:val="24"/>
        </w:rPr>
        <w:t xml:space="preserve">tárgyévi működési támogatás </w:t>
      </w:r>
      <w:r w:rsidR="002153D0">
        <w:rPr>
          <w:rFonts w:ascii="Calibri" w:hAnsi="Calibri" w:cs="Calibri"/>
          <w:sz w:val="24"/>
          <w:szCs w:val="24"/>
        </w:rPr>
        <w:t>előző évhez képest való későbbi</w:t>
      </w:r>
      <w:r w:rsidR="009007DB">
        <w:rPr>
          <w:rFonts w:ascii="Calibri" w:hAnsi="Calibri" w:cs="Calibri"/>
          <w:sz w:val="24"/>
          <w:szCs w:val="24"/>
        </w:rPr>
        <w:t xml:space="preserve"> rendelkezésre állásából keletkezett. </w:t>
      </w:r>
    </w:p>
    <w:p w14:paraId="1538FFEF" w14:textId="5D8DA2E4" w:rsidR="00A54908" w:rsidRDefault="00273043" w:rsidP="004C6373">
      <w:pPr>
        <w:spacing w:before="240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Az </w:t>
      </w:r>
      <w:r w:rsidRPr="00A54908">
        <w:rPr>
          <w:rFonts w:ascii="Calibri" w:hAnsi="Calibri" w:cs="Calibri"/>
          <w:b/>
          <w:bCs/>
          <w:sz w:val="24"/>
          <w:szCs w:val="24"/>
        </w:rPr>
        <w:t xml:space="preserve">adózás előtti eredmény </w:t>
      </w:r>
      <w:r>
        <w:rPr>
          <w:rFonts w:ascii="Calibri" w:hAnsi="Calibri" w:cs="Calibri"/>
          <w:sz w:val="24"/>
          <w:szCs w:val="24"/>
        </w:rPr>
        <w:t>összege 202</w:t>
      </w:r>
      <w:r w:rsidR="002153D0">
        <w:rPr>
          <w:rFonts w:ascii="Calibri" w:hAnsi="Calibri" w:cs="Calibri"/>
          <w:sz w:val="24"/>
          <w:szCs w:val="24"/>
        </w:rPr>
        <w:t>4</w:t>
      </w:r>
      <w:r>
        <w:rPr>
          <w:rFonts w:ascii="Calibri" w:hAnsi="Calibri" w:cs="Calibri"/>
          <w:sz w:val="24"/>
          <w:szCs w:val="24"/>
        </w:rPr>
        <w:t xml:space="preserve">. évben </w:t>
      </w:r>
      <w:r w:rsidR="002153D0">
        <w:rPr>
          <w:rFonts w:ascii="Calibri" w:hAnsi="Calibri" w:cs="Calibri"/>
          <w:sz w:val="24"/>
          <w:szCs w:val="24"/>
        </w:rPr>
        <w:t>20,7</w:t>
      </w:r>
      <w:r>
        <w:rPr>
          <w:rFonts w:ascii="Calibri" w:hAnsi="Calibri" w:cs="Calibri"/>
          <w:sz w:val="24"/>
          <w:szCs w:val="24"/>
        </w:rPr>
        <w:t xml:space="preserve"> millió Ft. </w:t>
      </w:r>
    </w:p>
    <w:p w14:paraId="16DA51E8" w14:textId="320E271D" w:rsidR="00273043" w:rsidRPr="00774B42" w:rsidRDefault="00273043" w:rsidP="004C6373">
      <w:pPr>
        <w:spacing w:before="240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A Társaság kisvállalati adózás</w:t>
      </w:r>
      <w:r w:rsidR="00201F56">
        <w:rPr>
          <w:rFonts w:ascii="Calibri" w:hAnsi="Calibri" w:cs="Calibri"/>
          <w:sz w:val="24"/>
          <w:szCs w:val="24"/>
        </w:rPr>
        <w:t xml:space="preserve"> szabályai szerint</w:t>
      </w:r>
      <w:r>
        <w:rPr>
          <w:rFonts w:ascii="Calibri" w:hAnsi="Calibri" w:cs="Calibri"/>
          <w:sz w:val="24"/>
          <w:szCs w:val="24"/>
        </w:rPr>
        <w:t xml:space="preserve"> </w:t>
      </w:r>
      <w:r w:rsidR="00F44174">
        <w:rPr>
          <w:rFonts w:ascii="Calibri" w:hAnsi="Calibri" w:cs="Calibri"/>
          <w:sz w:val="24"/>
          <w:szCs w:val="24"/>
        </w:rPr>
        <w:t>adózik</w:t>
      </w:r>
      <w:r w:rsidR="00675572">
        <w:rPr>
          <w:rFonts w:ascii="Calibri" w:hAnsi="Calibri" w:cs="Calibri"/>
          <w:sz w:val="24"/>
          <w:szCs w:val="24"/>
        </w:rPr>
        <w:t xml:space="preserve"> (kiváltva ezzel a társasági adót és a szociális hozzájárulási adót</w:t>
      </w:r>
      <w:r w:rsidR="00A54908">
        <w:rPr>
          <w:rFonts w:ascii="Calibri" w:hAnsi="Calibri" w:cs="Calibri"/>
          <w:sz w:val="24"/>
          <w:szCs w:val="24"/>
        </w:rPr>
        <w:t>) és</w:t>
      </w:r>
      <w:r w:rsidR="00675572">
        <w:rPr>
          <w:rFonts w:ascii="Calibri" w:hAnsi="Calibri" w:cs="Calibri"/>
          <w:sz w:val="24"/>
          <w:szCs w:val="24"/>
        </w:rPr>
        <w:t xml:space="preserve"> </w:t>
      </w:r>
      <w:r w:rsidR="00F44174">
        <w:rPr>
          <w:rFonts w:ascii="Calibri" w:hAnsi="Calibri" w:cs="Calibri"/>
          <w:sz w:val="24"/>
          <w:szCs w:val="24"/>
        </w:rPr>
        <w:t>ennek megfelelően az adó mértéke független a Társaság árbevételétől és nyereségétől. 202</w:t>
      </w:r>
      <w:r w:rsidR="00892B93">
        <w:rPr>
          <w:rFonts w:ascii="Calibri" w:hAnsi="Calibri" w:cs="Calibri"/>
          <w:sz w:val="24"/>
          <w:szCs w:val="24"/>
        </w:rPr>
        <w:t>4</w:t>
      </w:r>
      <w:r w:rsidR="00F44174">
        <w:rPr>
          <w:rFonts w:ascii="Calibri" w:hAnsi="Calibri" w:cs="Calibri"/>
          <w:sz w:val="24"/>
          <w:szCs w:val="24"/>
        </w:rPr>
        <w:t>. évben a</w:t>
      </w:r>
      <w:r w:rsidR="00A54908">
        <w:rPr>
          <w:rFonts w:ascii="Calibri" w:hAnsi="Calibri" w:cs="Calibri"/>
          <w:sz w:val="24"/>
          <w:szCs w:val="24"/>
        </w:rPr>
        <w:t xml:space="preserve"> személyi jellegű kifizetések által meghatározott adó alapját </w:t>
      </w:r>
      <w:r w:rsidR="00892B93">
        <w:rPr>
          <w:rFonts w:ascii="Calibri" w:hAnsi="Calibri" w:cs="Calibri"/>
          <w:sz w:val="24"/>
          <w:szCs w:val="24"/>
        </w:rPr>
        <w:t xml:space="preserve">jelentős </w:t>
      </w:r>
      <w:r w:rsidR="00201F56">
        <w:rPr>
          <w:rFonts w:ascii="Calibri" w:hAnsi="Calibri" w:cs="Calibri"/>
          <w:sz w:val="24"/>
          <w:szCs w:val="24"/>
        </w:rPr>
        <w:t xml:space="preserve">mértékben </w:t>
      </w:r>
      <w:r w:rsidR="00A54908">
        <w:rPr>
          <w:rFonts w:ascii="Calibri" w:hAnsi="Calibri" w:cs="Calibri"/>
          <w:sz w:val="24"/>
          <w:szCs w:val="24"/>
        </w:rPr>
        <w:t>csökkenti a korábbi évek figyelembevehető, tőkebevonásból származó összeg</w:t>
      </w:r>
      <w:r w:rsidR="00D8160F">
        <w:rPr>
          <w:rFonts w:ascii="Calibri" w:hAnsi="Calibri" w:cs="Calibri"/>
          <w:sz w:val="24"/>
          <w:szCs w:val="24"/>
        </w:rPr>
        <w:t>,</w:t>
      </w:r>
      <w:r w:rsidR="00201F56">
        <w:rPr>
          <w:rFonts w:ascii="Calibri" w:hAnsi="Calibri" w:cs="Calibri"/>
          <w:sz w:val="24"/>
          <w:szCs w:val="24"/>
        </w:rPr>
        <w:t xml:space="preserve"> így</w:t>
      </w:r>
      <w:r w:rsidR="00D8160F">
        <w:rPr>
          <w:rFonts w:ascii="Calibri" w:hAnsi="Calibri" w:cs="Calibri"/>
          <w:sz w:val="24"/>
          <w:szCs w:val="24"/>
        </w:rPr>
        <w:t xml:space="preserve"> az </w:t>
      </w:r>
      <w:r w:rsidR="00D8160F" w:rsidRPr="00201F56">
        <w:rPr>
          <w:rFonts w:ascii="Calibri" w:hAnsi="Calibri" w:cs="Calibri"/>
          <w:b/>
          <w:bCs/>
          <w:sz w:val="24"/>
          <w:szCs w:val="24"/>
        </w:rPr>
        <w:t xml:space="preserve">adófizetési kötelezettség </w:t>
      </w:r>
      <w:r w:rsidR="00892B93">
        <w:rPr>
          <w:rFonts w:ascii="Calibri" w:hAnsi="Calibri" w:cs="Calibri"/>
          <w:b/>
          <w:bCs/>
          <w:sz w:val="24"/>
          <w:szCs w:val="24"/>
        </w:rPr>
        <w:t>5,7 millió</w:t>
      </w:r>
      <w:r w:rsidR="00D8160F" w:rsidRPr="00201F56">
        <w:rPr>
          <w:rFonts w:ascii="Calibri" w:hAnsi="Calibri" w:cs="Calibri"/>
          <w:b/>
          <w:bCs/>
          <w:sz w:val="24"/>
          <w:szCs w:val="24"/>
        </w:rPr>
        <w:t xml:space="preserve"> Ft</w:t>
      </w:r>
      <w:r w:rsidR="00D8160F">
        <w:rPr>
          <w:rFonts w:ascii="Calibri" w:hAnsi="Calibri" w:cs="Calibri"/>
          <w:sz w:val="24"/>
          <w:szCs w:val="24"/>
        </w:rPr>
        <w:t xml:space="preserve"> </w:t>
      </w:r>
      <w:r w:rsidR="00D8160F" w:rsidRPr="00201F56">
        <w:rPr>
          <w:rFonts w:ascii="Calibri" w:hAnsi="Calibri" w:cs="Calibri"/>
          <w:i/>
          <w:iCs/>
          <w:sz w:val="24"/>
          <w:szCs w:val="24"/>
        </w:rPr>
        <w:t>(tájékoztató információ: az adóalap csökkentő tétel</w:t>
      </w:r>
      <w:r w:rsidR="00201F56">
        <w:rPr>
          <w:rFonts w:ascii="Calibri" w:hAnsi="Calibri" w:cs="Calibri"/>
          <w:i/>
          <w:iCs/>
          <w:sz w:val="24"/>
          <w:szCs w:val="24"/>
        </w:rPr>
        <w:t xml:space="preserve"> érvényesítésével</w:t>
      </w:r>
      <w:r w:rsidR="00D8160F" w:rsidRPr="00201F56">
        <w:rPr>
          <w:rFonts w:ascii="Calibri" w:hAnsi="Calibri" w:cs="Calibri"/>
          <w:i/>
          <w:iCs/>
          <w:sz w:val="24"/>
          <w:szCs w:val="24"/>
        </w:rPr>
        <w:t xml:space="preserve"> megtakarított adó összege </w:t>
      </w:r>
      <w:r w:rsidR="00D8160F" w:rsidRPr="00501B2C">
        <w:rPr>
          <w:rFonts w:ascii="Calibri" w:hAnsi="Calibri" w:cs="Calibri"/>
          <w:i/>
          <w:iCs/>
          <w:sz w:val="24"/>
          <w:szCs w:val="24"/>
        </w:rPr>
        <w:t xml:space="preserve">mintegy </w:t>
      </w:r>
      <w:r w:rsidR="005A0F87">
        <w:rPr>
          <w:rFonts w:ascii="Calibri" w:hAnsi="Calibri" w:cs="Calibri"/>
          <w:i/>
          <w:iCs/>
          <w:sz w:val="24"/>
          <w:szCs w:val="24"/>
        </w:rPr>
        <w:t xml:space="preserve">25,9 </w:t>
      </w:r>
      <w:r w:rsidR="00D8160F" w:rsidRPr="00501B2C">
        <w:rPr>
          <w:rFonts w:ascii="Calibri" w:hAnsi="Calibri" w:cs="Calibri"/>
          <w:i/>
          <w:iCs/>
          <w:sz w:val="24"/>
          <w:szCs w:val="24"/>
        </w:rPr>
        <w:t xml:space="preserve"> millió</w:t>
      </w:r>
      <w:r w:rsidR="00D8160F" w:rsidRPr="00201F56">
        <w:rPr>
          <w:rFonts w:ascii="Calibri" w:hAnsi="Calibri" w:cs="Calibri"/>
          <w:i/>
          <w:iCs/>
          <w:sz w:val="24"/>
          <w:szCs w:val="24"/>
        </w:rPr>
        <w:t xml:space="preserve"> Ft)</w:t>
      </w:r>
      <w:r w:rsidR="00D8160F">
        <w:rPr>
          <w:rFonts w:ascii="Calibri" w:hAnsi="Calibri" w:cs="Calibri"/>
          <w:sz w:val="24"/>
          <w:szCs w:val="24"/>
        </w:rPr>
        <w:t>.</w:t>
      </w:r>
    </w:p>
    <w:p w14:paraId="23EDEAF6" w14:textId="695F91CD" w:rsidR="004C6373" w:rsidRDefault="00201F56" w:rsidP="00FA4A0F">
      <w:pPr>
        <w:spacing w:before="240"/>
        <w:jc w:val="both"/>
        <w:rPr>
          <w:rFonts w:ascii="Calibri" w:hAnsi="Calibri" w:cs="Calibri"/>
          <w:b/>
          <w:bCs/>
          <w:sz w:val="24"/>
          <w:szCs w:val="24"/>
        </w:rPr>
      </w:pPr>
      <w:r>
        <w:rPr>
          <w:rFonts w:ascii="Calibri" w:hAnsi="Calibri" w:cs="Calibri"/>
          <w:b/>
          <w:bCs/>
          <w:sz w:val="24"/>
          <w:szCs w:val="24"/>
        </w:rPr>
        <w:t xml:space="preserve">A fentiek által meghatározott adózott eredmény </w:t>
      </w:r>
      <w:r w:rsidR="00892B93">
        <w:rPr>
          <w:rFonts w:ascii="Calibri" w:hAnsi="Calibri" w:cs="Calibri"/>
          <w:b/>
          <w:bCs/>
          <w:sz w:val="24"/>
          <w:szCs w:val="24"/>
        </w:rPr>
        <w:t>15,0</w:t>
      </w:r>
      <w:r>
        <w:rPr>
          <w:rFonts w:ascii="Calibri" w:hAnsi="Calibri" w:cs="Calibri"/>
          <w:b/>
          <w:bCs/>
          <w:sz w:val="24"/>
          <w:szCs w:val="24"/>
        </w:rPr>
        <w:t xml:space="preserve"> millió Ft.</w:t>
      </w:r>
    </w:p>
    <w:p w14:paraId="0641DF92" w14:textId="29802151" w:rsidR="001250F1" w:rsidRDefault="001E12D2" w:rsidP="00FA4A0F">
      <w:pPr>
        <w:spacing w:before="240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A Társaság által elért adózott e</w:t>
      </w:r>
      <w:r w:rsidR="00270BB6">
        <w:rPr>
          <w:rFonts w:ascii="Calibri" w:hAnsi="Calibri" w:cs="Calibri"/>
          <w:sz w:val="24"/>
          <w:szCs w:val="24"/>
        </w:rPr>
        <w:t>redmén</w:t>
      </w:r>
      <w:r w:rsidR="001250F1">
        <w:rPr>
          <w:rFonts w:ascii="Calibri" w:hAnsi="Calibri" w:cs="Calibri"/>
          <w:sz w:val="24"/>
          <w:szCs w:val="24"/>
        </w:rPr>
        <w:t>yt óvatosan kell értékelni, hisz az nem</w:t>
      </w:r>
      <w:r w:rsidR="00892B93">
        <w:rPr>
          <w:rFonts w:ascii="Calibri" w:hAnsi="Calibri" w:cs="Calibri"/>
          <w:sz w:val="24"/>
          <w:szCs w:val="24"/>
        </w:rPr>
        <w:t xml:space="preserve"> elsősorban</w:t>
      </w:r>
      <w:r w:rsidR="001250F1">
        <w:rPr>
          <w:rFonts w:ascii="Calibri" w:hAnsi="Calibri" w:cs="Calibri"/>
          <w:sz w:val="24"/>
          <w:szCs w:val="24"/>
        </w:rPr>
        <w:t xml:space="preserve"> üzemi tevékenység eredménye, hanem </w:t>
      </w:r>
      <w:r w:rsidR="00892B93">
        <w:rPr>
          <w:rFonts w:ascii="Calibri" w:hAnsi="Calibri" w:cs="Calibri"/>
          <w:sz w:val="24"/>
          <w:szCs w:val="24"/>
        </w:rPr>
        <w:t>a</w:t>
      </w:r>
      <w:r w:rsidR="001250F1">
        <w:rPr>
          <w:rFonts w:ascii="Calibri" w:hAnsi="Calibri" w:cs="Calibri"/>
          <w:sz w:val="24"/>
          <w:szCs w:val="24"/>
        </w:rPr>
        <w:t xml:space="preserve"> </w:t>
      </w:r>
      <w:r w:rsidR="00892B93">
        <w:rPr>
          <w:rFonts w:ascii="Calibri" w:hAnsi="Calibri" w:cs="Calibri"/>
          <w:sz w:val="24"/>
          <w:szCs w:val="24"/>
        </w:rPr>
        <w:t>működési és beruházási</w:t>
      </w:r>
      <w:r w:rsidR="001250F1">
        <w:rPr>
          <w:rFonts w:ascii="Calibri" w:hAnsi="Calibri" w:cs="Calibri"/>
          <w:sz w:val="24"/>
          <w:szCs w:val="24"/>
        </w:rPr>
        <w:t xml:space="preserve"> támogatási összeg bankszámlán tartásából ered, továbbá az adóalap csökkentő tétel ugyancsak kedvezően módosította a Társaság </w:t>
      </w:r>
      <w:r>
        <w:rPr>
          <w:rFonts w:ascii="Calibri" w:hAnsi="Calibri" w:cs="Calibri"/>
          <w:sz w:val="24"/>
          <w:szCs w:val="24"/>
        </w:rPr>
        <w:t xml:space="preserve">által elért és számvitelileg kimutatott </w:t>
      </w:r>
      <w:r w:rsidR="001250F1">
        <w:rPr>
          <w:rFonts w:ascii="Calibri" w:hAnsi="Calibri" w:cs="Calibri"/>
          <w:sz w:val="24"/>
          <w:szCs w:val="24"/>
        </w:rPr>
        <w:t>eredményt.</w:t>
      </w:r>
    </w:p>
    <w:p w14:paraId="328BEC14" w14:textId="2091CD90" w:rsidR="000B3A42" w:rsidRDefault="00BF7DC5" w:rsidP="00FA4A0F">
      <w:pPr>
        <w:spacing w:before="240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A</w:t>
      </w:r>
      <w:r w:rsidR="00A33C06">
        <w:rPr>
          <w:rFonts w:ascii="Calibri" w:hAnsi="Calibri" w:cs="Calibri"/>
          <w:sz w:val="24"/>
          <w:szCs w:val="24"/>
        </w:rPr>
        <w:t xml:space="preserve">z </w:t>
      </w:r>
      <w:r w:rsidR="00FE5629">
        <w:rPr>
          <w:rFonts w:ascii="Calibri" w:hAnsi="Calibri" w:cs="Calibri"/>
          <w:sz w:val="24"/>
          <w:szCs w:val="24"/>
        </w:rPr>
        <w:t>adózott</w:t>
      </w:r>
      <w:r w:rsidR="00A33C06">
        <w:rPr>
          <w:rFonts w:ascii="Calibri" w:hAnsi="Calibri" w:cs="Calibri"/>
          <w:sz w:val="24"/>
          <w:szCs w:val="24"/>
        </w:rPr>
        <w:t xml:space="preserve"> eredmény </w:t>
      </w:r>
      <w:r w:rsidR="001E12D2">
        <w:rPr>
          <w:rFonts w:ascii="Calibri" w:hAnsi="Calibri" w:cs="Calibri"/>
          <w:sz w:val="24"/>
          <w:szCs w:val="24"/>
        </w:rPr>
        <w:t xml:space="preserve">kedvező alakulása </w:t>
      </w:r>
      <w:r w:rsidR="00BC2670">
        <w:rPr>
          <w:rFonts w:ascii="Calibri" w:hAnsi="Calibri" w:cs="Calibri"/>
          <w:sz w:val="24"/>
          <w:szCs w:val="24"/>
        </w:rPr>
        <w:t>elsősorban az tárgyév utolsó negyedévben meginduló légi áruforgalomhoz kapcsolódó</w:t>
      </w:r>
      <w:r w:rsidR="00A82E9F">
        <w:rPr>
          <w:rFonts w:ascii="Calibri" w:hAnsi="Calibri" w:cs="Calibri"/>
          <w:sz w:val="24"/>
          <w:szCs w:val="24"/>
        </w:rPr>
        <w:t xml:space="preserve"> </w:t>
      </w:r>
      <w:r w:rsidR="00A33C06">
        <w:rPr>
          <w:rFonts w:ascii="Calibri" w:hAnsi="Calibri" w:cs="Calibri"/>
          <w:sz w:val="24"/>
          <w:szCs w:val="24"/>
        </w:rPr>
        <w:t>bevételeknek</w:t>
      </w:r>
      <w:r w:rsidR="001E12D2">
        <w:rPr>
          <w:rFonts w:ascii="Calibri" w:hAnsi="Calibri" w:cs="Calibri"/>
          <w:sz w:val="24"/>
          <w:szCs w:val="24"/>
        </w:rPr>
        <w:t xml:space="preserve"> is</w:t>
      </w:r>
      <w:r w:rsidR="00A33C06">
        <w:rPr>
          <w:rFonts w:ascii="Calibri" w:hAnsi="Calibri" w:cs="Calibri"/>
          <w:sz w:val="24"/>
          <w:szCs w:val="24"/>
        </w:rPr>
        <w:t xml:space="preserve"> köszönhető, melyek</w:t>
      </w:r>
      <w:r w:rsidR="00A82E9F">
        <w:rPr>
          <w:rFonts w:ascii="Calibri" w:hAnsi="Calibri" w:cs="Calibri"/>
          <w:sz w:val="24"/>
          <w:szCs w:val="24"/>
        </w:rPr>
        <w:t xml:space="preserve"> megvalósulása a </w:t>
      </w:r>
      <w:r w:rsidR="0055065C">
        <w:rPr>
          <w:rFonts w:ascii="Calibri" w:hAnsi="Calibri" w:cs="Calibri"/>
          <w:sz w:val="24"/>
          <w:szCs w:val="24"/>
        </w:rPr>
        <w:t>tervezés során és az év első felében nem volt előrelátható</w:t>
      </w:r>
      <w:r w:rsidR="00A82E9F">
        <w:rPr>
          <w:rFonts w:ascii="Calibri" w:hAnsi="Calibri" w:cs="Calibri"/>
          <w:sz w:val="24"/>
          <w:szCs w:val="24"/>
        </w:rPr>
        <w:t xml:space="preserve">, </w:t>
      </w:r>
      <w:r w:rsidR="000B3A42">
        <w:rPr>
          <w:rFonts w:ascii="Calibri" w:hAnsi="Calibri" w:cs="Calibri"/>
          <w:sz w:val="24"/>
          <w:szCs w:val="24"/>
        </w:rPr>
        <w:t xml:space="preserve">ezáltal </w:t>
      </w:r>
      <w:r w:rsidR="00A82E9F">
        <w:rPr>
          <w:rFonts w:ascii="Calibri" w:hAnsi="Calibri" w:cs="Calibri"/>
          <w:sz w:val="24"/>
          <w:szCs w:val="24"/>
        </w:rPr>
        <w:t>az által</w:t>
      </w:r>
      <w:r w:rsidR="00E72881">
        <w:rPr>
          <w:rFonts w:ascii="Calibri" w:hAnsi="Calibri" w:cs="Calibri"/>
          <w:sz w:val="24"/>
          <w:szCs w:val="24"/>
        </w:rPr>
        <w:t>a</w:t>
      </w:r>
      <w:r w:rsidR="00A82E9F">
        <w:rPr>
          <w:rFonts w:ascii="Calibri" w:hAnsi="Calibri" w:cs="Calibri"/>
          <w:sz w:val="24"/>
          <w:szCs w:val="24"/>
        </w:rPr>
        <w:t xml:space="preserve"> realizált bevétellel 202</w:t>
      </w:r>
      <w:r w:rsidR="00E72881">
        <w:rPr>
          <w:rFonts w:ascii="Calibri" w:hAnsi="Calibri" w:cs="Calibri"/>
          <w:sz w:val="24"/>
          <w:szCs w:val="24"/>
        </w:rPr>
        <w:t>4</w:t>
      </w:r>
      <w:r w:rsidR="00A82E9F">
        <w:rPr>
          <w:rFonts w:ascii="Calibri" w:hAnsi="Calibri" w:cs="Calibri"/>
          <w:sz w:val="24"/>
          <w:szCs w:val="24"/>
        </w:rPr>
        <w:t>. adózási évre vonatkozóan a Társaság a felelős</w:t>
      </w:r>
      <w:r w:rsidR="00FE5629">
        <w:rPr>
          <w:rFonts w:ascii="Calibri" w:hAnsi="Calibri" w:cs="Calibri"/>
          <w:sz w:val="24"/>
          <w:szCs w:val="24"/>
        </w:rPr>
        <w:t xml:space="preserve"> és óvatos</w:t>
      </w:r>
      <w:r w:rsidR="00A82E9F">
        <w:rPr>
          <w:rFonts w:ascii="Calibri" w:hAnsi="Calibri" w:cs="Calibri"/>
          <w:sz w:val="24"/>
          <w:szCs w:val="24"/>
        </w:rPr>
        <w:t xml:space="preserve"> gazdálkodás szem előtt tartása </w:t>
      </w:r>
      <w:r w:rsidR="00FE5629">
        <w:rPr>
          <w:rFonts w:ascii="Calibri" w:hAnsi="Calibri" w:cs="Calibri"/>
          <w:sz w:val="24"/>
          <w:szCs w:val="24"/>
        </w:rPr>
        <w:t>miatt nem tervezett</w:t>
      </w:r>
      <w:r w:rsidR="00E72881">
        <w:rPr>
          <w:rFonts w:ascii="Calibri" w:hAnsi="Calibri" w:cs="Calibri"/>
          <w:sz w:val="24"/>
          <w:szCs w:val="24"/>
        </w:rPr>
        <w:t>.</w:t>
      </w:r>
      <w:r w:rsidR="00FE5629">
        <w:rPr>
          <w:rFonts w:ascii="Calibri" w:hAnsi="Calibri" w:cs="Calibri"/>
          <w:sz w:val="24"/>
          <w:szCs w:val="24"/>
        </w:rPr>
        <w:t xml:space="preserve"> </w:t>
      </w:r>
    </w:p>
    <w:p w14:paraId="05869B42" w14:textId="17FEE58E" w:rsidR="00300F5B" w:rsidRPr="00C02F24" w:rsidRDefault="00300F5B" w:rsidP="00297A95">
      <w:pPr>
        <w:rPr>
          <w:rFonts w:ascii="Calibri" w:hAnsi="Calibri" w:cs="Calibri"/>
          <w:sz w:val="24"/>
          <w:szCs w:val="24"/>
        </w:rPr>
      </w:pPr>
    </w:p>
    <w:p w14:paraId="28B9435E" w14:textId="665A2B43" w:rsidR="00300F5B" w:rsidRPr="00C02F24" w:rsidRDefault="00300F5B" w:rsidP="00297A95">
      <w:pPr>
        <w:rPr>
          <w:rFonts w:ascii="Calibri" w:hAnsi="Calibri" w:cs="Calibri"/>
          <w:bCs/>
        </w:rPr>
      </w:pPr>
    </w:p>
    <w:p w14:paraId="448295DF" w14:textId="77777777" w:rsidR="00376190" w:rsidRDefault="00376190" w:rsidP="00B712E9">
      <w:pPr>
        <w:pStyle w:val="Cmsor1"/>
        <w:numPr>
          <w:ilvl w:val="0"/>
          <w:numId w:val="35"/>
        </w:numPr>
        <w:spacing w:before="240" w:after="240"/>
        <w:ind w:left="426" w:hanging="426"/>
        <w:rPr>
          <w:rFonts w:ascii="Calibri" w:hAnsi="Calibri" w:cs="Calibri"/>
          <w:b/>
          <w:caps/>
          <w:sz w:val="26"/>
          <w:szCs w:val="26"/>
        </w:rPr>
        <w:sectPr w:rsidR="00376190" w:rsidSect="006213AF">
          <w:pgSz w:w="11906" w:h="16838"/>
          <w:pgMar w:top="1701" w:right="1134" w:bottom="851" w:left="1134" w:header="709" w:footer="510" w:gutter="0"/>
          <w:cols w:space="708"/>
          <w:docGrid w:linePitch="360"/>
        </w:sectPr>
      </w:pPr>
    </w:p>
    <w:p w14:paraId="2300A0D6" w14:textId="21F783F1" w:rsidR="00723836" w:rsidRPr="00B712E9" w:rsidRDefault="00723836" w:rsidP="00B712E9">
      <w:pPr>
        <w:pStyle w:val="Cmsor1"/>
        <w:numPr>
          <w:ilvl w:val="0"/>
          <w:numId w:val="35"/>
        </w:numPr>
        <w:spacing w:before="240" w:after="240"/>
        <w:ind w:left="426" w:hanging="426"/>
        <w:rPr>
          <w:rFonts w:ascii="Calibri" w:hAnsi="Calibri" w:cs="Calibri"/>
          <w:b/>
          <w:caps/>
          <w:sz w:val="26"/>
          <w:szCs w:val="26"/>
        </w:rPr>
      </w:pPr>
      <w:bookmarkStart w:id="10" w:name="_Toc196485751"/>
      <w:r w:rsidRPr="00B712E9">
        <w:rPr>
          <w:rFonts w:ascii="Calibri" w:hAnsi="Calibri" w:cs="Calibri"/>
          <w:b/>
          <w:caps/>
          <w:sz w:val="26"/>
          <w:szCs w:val="26"/>
        </w:rPr>
        <w:lastRenderedPageBreak/>
        <w:t>Hévíz -Balaton Airport Kft. 202</w:t>
      </w:r>
      <w:r w:rsidR="00672553">
        <w:rPr>
          <w:rFonts w:ascii="Calibri" w:hAnsi="Calibri" w:cs="Calibri"/>
          <w:b/>
          <w:caps/>
          <w:sz w:val="26"/>
          <w:szCs w:val="26"/>
        </w:rPr>
        <w:t>4</w:t>
      </w:r>
      <w:r w:rsidR="00C02F24" w:rsidRPr="00B712E9">
        <w:rPr>
          <w:rFonts w:ascii="Calibri" w:hAnsi="Calibri" w:cs="Calibri"/>
          <w:b/>
          <w:caps/>
          <w:sz w:val="26"/>
          <w:szCs w:val="26"/>
        </w:rPr>
        <w:t>.</w:t>
      </w:r>
      <w:r w:rsidRPr="00B712E9">
        <w:rPr>
          <w:rFonts w:ascii="Calibri" w:hAnsi="Calibri" w:cs="Calibri"/>
          <w:b/>
          <w:caps/>
          <w:sz w:val="26"/>
          <w:szCs w:val="26"/>
        </w:rPr>
        <w:t xml:space="preserve"> évet érintő támogatásai</w:t>
      </w:r>
      <w:bookmarkEnd w:id="10"/>
    </w:p>
    <w:tbl>
      <w:tblPr>
        <w:tblW w:w="151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20"/>
        <w:gridCol w:w="1620"/>
        <w:gridCol w:w="2240"/>
        <w:gridCol w:w="2700"/>
        <w:gridCol w:w="2000"/>
        <w:gridCol w:w="3020"/>
      </w:tblGrid>
      <w:tr w:rsidR="00E72881" w:rsidRPr="00E72881" w14:paraId="0696BD8C" w14:textId="77777777" w:rsidTr="00E72881">
        <w:trPr>
          <w:trHeight w:val="900"/>
        </w:trPr>
        <w:tc>
          <w:tcPr>
            <w:tcW w:w="3520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000000" w:fill="DCE6F1"/>
            <w:vAlign w:val="center"/>
            <w:hideMark/>
          </w:tcPr>
          <w:p w14:paraId="4A5BB693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72881">
              <w:rPr>
                <w:rFonts w:ascii="Calibri" w:eastAsia="Times New Roman" w:hAnsi="Calibri" w:cs="Calibri"/>
                <w:b/>
                <w:bCs/>
                <w:color w:val="000000"/>
              </w:rPr>
              <w:t>Támogatást nyújtó megnevezése</w:t>
            </w:r>
          </w:p>
        </w:tc>
        <w:tc>
          <w:tcPr>
            <w:tcW w:w="1620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DCE6F1"/>
            <w:vAlign w:val="center"/>
            <w:hideMark/>
          </w:tcPr>
          <w:p w14:paraId="3B780589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72881">
              <w:rPr>
                <w:rFonts w:ascii="Calibri" w:eastAsia="Times New Roman" w:hAnsi="Calibri" w:cs="Calibri"/>
                <w:b/>
                <w:bCs/>
                <w:color w:val="000000"/>
              </w:rPr>
              <w:t>támogatás típusa</w:t>
            </w:r>
          </w:p>
        </w:tc>
        <w:tc>
          <w:tcPr>
            <w:tcW w:w="2240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DCE6F1"/>
            <w:vAlign w:val="center"/>
            <w:hideMark/>
          </w:tcPr>
          <w:p w14:paraId="06793456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72881">
              <w:rPr>
                <w:rFonts w:ascii="Calibri" w:eastAsia="Times New Roman" w:hAnsi="Calibri" w:cs="Calibri"/>
                <w:b/>
                <w:bCs/>
                <w:color w:val="000000"/>
              </w:rPr>
              <w:t>Támogatás összege</w:t>
            </w:r>
          </w:p>
        </w:tc>
        <w:tc>
          <w:tcPr>
            <w:tcW w:w="2700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DCE6F1"/>
            <w:vAlign w:val="center"/>
            <w:hideMark/>
          </w:tcPr>
          <w:p w14:paraId="72D9795E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72881">
              <w:rPr>
                <w:rFonts w:ascii="Calibri" w:eastAsia="Times New Roman" w:hAnsi="Calibri" w:cs="Calibri"/>
                <w:b/>
                <w:bCs/>
                <w:color w:val="000000"/>
              </w:rPr>
              <w:t>Támogatói okirat iktatószáma</w:t>
            </w:r>
          </w:p>
        </w:tc>
        <w:tc>
          <w:tcPr>
            <w:tcW w:w="2000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DCE6F1"/>
            <w:vAlign w:val="center"/>
            <w:hideMark/>
          </w:tcPr>
          <w:p w14:paraId="1C11F8D9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72881">
              <w:rPr>
                <w:rFonts w:ascii="Calibri" w:eastAsia="Times New Roman" w:hAnsi="Calibri" w:cs="Calibri"/>
                <w:b/>
                <w:bCs/>
                <w:color w:val="000000"/>
              </w:rPr>
              <w:t>Támogatói okirat kelte</w:t>
            </w:r>
          </w:p>
        </w:tc>
        <w:tc>
          <w:tcPr>
            <w:tcW w:w="3020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DCE6F1"/>
            <w:vAlign w:val="center"/>
            <w:hideMark/>
          </w:tcPr>
          <w:p w14:paraId="78844D4F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72881">
              <w:rPr>
                <w:rFonts w:ascii="Calibri" w:eastAsia="Times New Roman" w:hAnsi="Calibri" w:cs="Calibri"/>
                <w:b/>
                <w:bCs/>
                <w:color w:val="000000"/>
              </w:rPr>
              <w:t>Támogatott tevékenység időtartam</w:t>
            </w:r>
          </w:p>
        </w:tc>
      </w:tr>
      <w:tr w:rsidR="00E72881" w:rsidRPr="00E72881" w14:paraId="046CD6C9" w14:textId="77777777" w:rsidTr="00E72881">
        <w:trPr>
          <w:trHeight w:val="708"/>
        </w:trPr>
        <w:tc>
          <w:tcPr>
            <w:tcW w:w="3520" w:type="dxa"/>
            <w:tcBorders>
              <w:top w:val="nil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vAlign w:val="center"/>
            <w:hideMark/>
          </w:tcPr>
          <w:p w14:paraId="5FF2626C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Magyar Turisztikai Ügynökség Zrt.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auto"/>
            <w:vAlign w:val="center"/>
            <w:hideMark/>
          </w:tcPr>
          <w:p w14:paraId="70B6BCC5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beruházási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auto"/>
            <w:vAlign w:val="center"/>
            <w:hideMark/>
          </w:tcPr>
          <w:p w14:paraId="2D74D538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72881">
              <w:rPr>
                <w:rFonts w:ascii="Calibri" w:eastAsia="Times New Roman" w:hAnsi="Calibri" w:cs="Calibri"/>
                <w:b/>
                <w:bCs/>
                <w:color w:val="000000"/>
              </w:rPr>
              <w:t>200 000 000 Ft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auto"/>
            <w:vAlign w:val="center"/>
            <w:hideMark/>
          </w:tcPr>
          <w:p w14:paraId="76247E5C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JB/22/000100-2/2022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auto"/>
            <w:vAlign w:val="center"/>
            <w:hideMark/>
          </w:tcPr>
          <w:p w14:paraId="71109863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2022.06.27</w:t>
            </w:r>
          </w:p>
        </w:tc>
        <w:tc>
          <w:tcPr>
            <w:tcW w:w="302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auto"/>
            <w:vAlign w:val="center"/>
            <w:hideMark/>
          </w:tcPr>
          <w:p w14:paraId="24B30FAB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2022.01.01. - 2023.06.30.</w:t>
            </w:r>
          </w:p>
        </w:tc>
      </w:tr>
      <w:tr w:rsidR="00E72881" w:rsidRPr="00E72881" w14:paraId="6ADF9658" w14:textId="77777777" w:rsidTr="00E72881">
        <w:trPr>
          <w:trHeight w:val="708"/>
        </w:trPr>
        <w:tc>
          <w:tcPr>
            <w:tcW w:w="3520" w:type="dxa"/>
            <w:tcBorders>
              <w:top w:val="nil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000000" w:fill="D9D9D9"/>
            <w:vAlign w:val="center"/>
            <w:hideMark/>
          </w:tcPr>
          <w:p w14:paraId="5E789151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Magyar Turisztikai Ügynökség Zrt.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D9D9D9"/>
            <w:vAlign w:val="center"/>
            <w:hideMark/>
          </w:tcPr>
          <w:p w14:paraId="526BC863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működési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D9D9D9"/>
            <w:vAlign w:val="center"/>
            <w:hideMark/>
          </w:tcPr>
          <w:p w14:paraId="0BF35064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72881">
              <w:rPr>
                <w:rFonts w:ascii="Calibri" w:eastAsia="Times New Roman" w:hAnsi="Calibri" w:cs="Calibri"/>
                <w:b/>
                <w:bCs/>
                <w:color w:val="000000"/>
              </w:rPr>
              <w:t>498 500 000 Ft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D9D9D9"/>
            <w:vAlign w:val="center"/>
            <w:hideMark/>
          </w:tcPr>
          <w:p w14:paraId="105FB850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KO/23/000044-2/2023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D9D9D9"/>
            <w:vAlign w:val="center"/>
            <w:hideMark/>
          </w:tcPr>
          <w:p w14:paraId="432EA071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2023.08.15</w:t>
            </w:r>
          </w:p>
        </w:tc>
        <w:tc>
          <w:tcPr>
            <w:tcW w:w="302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D9D9D9"/>
            <w:noWrap/>
            <w:vAlign w:val="center"/>
            <w:hideMark/>
          </w:tcPr>
          <w:p w14:paraId="6ECDDE8C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2023.01.01. - 2023.12.31</w:t>
            </w:r>
          </w:p>
        </w:tc>
      </w:tr>
      <w:tr w:rsidR="00E72881" w:rsidRPr="00E72881" w14:paraId="13A0FEA0" w14:textId="77777777" w:rsidTr="00E72881">
        <w:trPr>
          <w:trHeight w:val="708"/>
        </w:trPr>
        <w:tc>
          <w:tcPr>
            <w:tcW w:w="3520" w:type="dxa"/>
            <w:tcBorders>
              <w:top w:val="nil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vAlign w:val="center"/>
            <w:hideMark/>
          </w:tcPr>
          <w:p w14:paraId="1E97A6FB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Kisfaludy2030 Turisztikai Fejlesztő Nonprofit Zrt.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auto"/>
            <w:vAlign w:val="center"/>
            <w:hideMark/>
          </w:tcPr>
          <w:p w14:paraId="3AEDAC26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beruházási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auto"/>
            <w:vAlign w:val="center"/>
            <w:hideMark/>
          </w:tcPr>
          <w:p w14:paraId="4AF1F3CA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72881">
              <w:rPr>
                <w:rFonts w:ascii="Calibri" w:eastAsia="Times New Roman" w:hAnsi="Calibri" w:cs="Calibri"/>
                <w:b/>
                <w:bCs/>
                <w:color w:val="000000"/>
              </w:rPr>
              <w:t>3 000 000 000 Ft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auto"/>
            <w:vAlign w:val="center"/>
            <w:hideMark/>
          </w:tcPr>
          <w:p w14:paraId="3F2258E3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ET-2023-02-030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auto"/>
            <w:vAlign w:val="center"/>
            <w:hideMark/>
          </w:tcPr>
          <w:p w14:paraId="23B8C167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2023.08.28</w:t>
            </w:r>
          </w:p>
        </w:tc>
        <w:tc>
          <w:tcPr>
            <w:tcW w:w="302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auto"/>
            <w:vAlign w:val="center"/>
            <w:hideMark/>
          </w:tcPr>
          <w:p w14:paraId="01E04418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2023.08.11. - 2025.12.31.</w:t>
            </w:r>
          </w:p>
        </w:tc>
      </w:tr>
      <w:tr w:rsidR="00E72881" w:rsidRPr="00E72881" w14:paraId="6A8DAC66" w14:textId="77777777" w:rsidTr="00E72881">
        <w:trPr>
          <w:trHeight w:val="708"/>
        </w:trPr>
        <w:tc>
          <w:tcPr>
            <w:tcW w:w="3520" w:type="dxa"/>
            <w:tcBorders>
              <w:top w:val="nil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000000" w:fill="D9D9D9"/>
            <w:vAlign w:val="center"/>
            <w:hideMark/>
          </w:tcPr>
          <w:p w14:paraId="2254F28E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Magyar Turisztikai Ügynökség Zrt.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D9D9D9"/>
            <w:vAlign w:val="center"/>
            <w:hideMark/>
          </w:tcPr>
          <w:p w14:paraId="2FEA056F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működési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D9D9D9"/>
            <w:vAlign w:val="center"/>
            <w:hideMark/>
          </w:tcPr>
          <w:p w14:paraId="3FDF309E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72881">
              <w:rPr>
                <w:rFonts w:ascii="Calibri" w:eastAsia="Times New Roman" w:hAnsi="Calibri" w:cs="Calibri"/>
                <w:b/>
                <w:bCs/>
                <w:color w:val="000000"/>
              </w:rPr>
              <w:t>500 000 000 Ft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D9D9D9"/>
            <w:vAlign w:val="center"/>
            <w:hideMark/>
          </w:tcPr>
          <w:p w14:paraId="7058E733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KO/39/2024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D9D9D9"/>
            <w:vAlign w:val="center"/>
            <w:hideMark/>
          </w:tcPr>
          <w:p w14:paraId="1DAA8C83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2024.10.04</w:t>
            </w:r>
          </w:p>
        </w:tc>
        <w:tc>
          <w:tcPr>
            <w:tcW w:w="302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D9D9D9"/>
            <w:noWrap/>
            <w:vAlign w:val="center"/>
            <w:hideMark/>
          </w:tcPr>
          <w:p w14:paraId="32DD302B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2024.01.10. - 2024.12.31</w:t>
            </w:r>
          </w:p>
        </w:tc>
      </w:tr>
      <w:tr w:rsidR="00E72881" w:rsidRPr="00E72881" w14:paraId="061B328C" w14:textId="77777777" w:rsidTr="00E72881">
        <w:trPr>
          <w:trHeight w:val="708"/>
        </w:trPr>
        <w:tc>
          <w:tcPr>
            <w:tcW w:w="3520" w:type="dxa"/>
            <w:tcBorders>
              <w:top w:val="nil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000000" w:fill="FFFFFF"/>
            <w:vAlign w:val="center"/>
            <w:hideMark/>
          </w:tcPr>
          <w:p w14:paraId="581BA988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Magyar Turisztikai Ügynökség Zrt.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FFFFFF"/>
            <w:vAlign w:val="center"/>
            <w:hideMark/>
          </w:tcPr>
          <w:p w14:paraId="3843B680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működési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FFFFFF"/>
            <w:vAlign w:val="center"/>
            <w:hideMark/>
          </w:tcPr>
          <w:p w14:paraId="18BD1C27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72881">
              <w:rPr>
                <w:rFonts w:ascii="Calibri" w:eastAsia="Times New Roman" w:hAnsi="Calibri" w:cs="Calibri"/>
                <w:b/>
                <w:bCs/>
                <w:color w:val="000000"/>
              </w:rPr>
              <w:t>312 695 505 Ft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FFFFFF"/>
            <w:vAlign w:val="center"/>
            <w:hideMark/>
          </w:tcPr>
          <w:p w14:paraId="29EDBADE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KO/41/2024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FFFFFF"/>
            <w:vAlign w:val="center"/>
            <w:hideMark/>
          </w:tcPr>
          <w:p w14:paraId="2026A10E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2024.11.27</w:t>
            </w:r>
          </w:p>
        </w:tc>
        <w:tc>
          <w:tcPr>
            <w:tcW w:w="302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FFFFFF"/>
            <w:noWrap/>
            <w:vAlign w:val="center"/>
            <w:hideMark/>
          </w:tcPr>
          <w:p w14:paraId="04FD57BA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2024.01.01. - 2024.12.31</w:t>
            </w:r>
          </w:p>
        </w:tc>
      </w:tr>
      <w:tr w:rsidR="00E72881" w:rsidRPr="00E72881" w14:paraId="3553A522" w14:textId="77777777" w:rsidTr="00E72881">
        <w:trPr>
          <w:trHeight w:val="819"/>
        </w:trPr>
        <w:tc>
          <w:tcPr>
            <w:tcW w:w="3520" w:type="dxa"/>
            <w:tcBorders>
              <w:top w:val="nil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000000" w:fill="D9D9D9"/>
            <w:vAlign w:val="center"/>
            <w:hideMark/>
          </w:tcPr>
          <w:p w14:paraId="5C6ECC45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Nemzeti Hulladékgazdálkodási Koordináló és Vagyonkezelő Zártkörűen Működő Rt.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D9D9D9"/>
            <w:vAlign w:val="center"/>
            <w:hideMark/>
          </w:tcPr>
          <w:p w14:paraId="219F61BD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működési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D9D9D9"/>
            <w:vAlign w:val="center"/>
            <w:hideMark/>
          </w:tcPr>
          <w:p w14:paraId="7A754DFF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72881">
              <w:rPr>
                <w:rFonts w:ascii="Calibri" w:eastAsia="Times New Roman" w:hAnsi="Calibri" w:cs="Calibri"/>
                <w:b/>
                <w:bCs/>
                <w:color w:val="000000"/>
              </w:rPr>
              <w:t>15 332 500 Ft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D9D9D9"/>
            <w:vAlign w:val="center"/>
            <w:hideMark/>
          </w:tcPr>
          <w:p w14:paraId="013E34A3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ILJ/415-1/2024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D9D9D9"/>
            <w:vAlign w:val="center"/>
            <w:hideMark/>
          </w:tcPr>
          <w:p w14:paraId="4A761493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2025.08.28</w:t>
            </w:r>
          </w:p>
        </w:tc>
        <w:tc>
          <w:tcPr>
            <w:tcW w:w="3020" w:type="dxa"/>
            <w:tcBorders>
              <w:top w:val="nil"/>
              <w:left w:val="nil"/>
              <w:bottom w:val="single" w:sz="4" w:space="0" w:color="BFBFBF"/>
              <w:right w:val="single" w:sz="4" w:space="0" w:color="BFBFBF"/>
            </w:tcBorders>
            <w:shd w:val="clear" w:color="000000" w:fill="D9D9D9"/>
            <w:noWrap/>
            <w:vAlign w:val="center"/>
            <w:hideMark/>
          </w:tcPr>
          <w:p w14:paraId="2F00308F" w14:textId="77777777" w:rsidR="00E72881" w:rsidRPr="00E72881" w:rsidRDefault="00E72881" w:rsidP="00E728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72881">
              <w:rPr>
                <w:rFonts w:ascii="Calibri" w:eastAsia="Times New Roman" w:hAnsi="Calibri" w:cs="Calibri"/>
                <w:color w:val="000000"/>
              </w:rPr>
              <w:t>2024.08.28. - 2025.07.15.</w:t>
            </w:r>
          </w:p>
        </w:tc>
      </w:tr>
    </w:tbl>
    <w:p w14:paraId="47FCBB65" w14:textId="42C951A5" w:rsidR="004A5861" w:rsidRPr="00B712E9" w:rsidRDefault="00CB79F5" w:rsidP="00B712E9">
      <w:pPr>
        <w:pStyle w:val="Cmsor1"/>
        <w:numPr>
          <w:ilvl w:val="0"/>
          <w:numId w:val="35"/>
        </w:numPr>
        <w:spacing w:before="240" w:after="240"/>
        <w:ind w:left="426" w:hanging="426"/>
        <w:rPr>
          <w:rFonts w:ascii="Calibri" w:hAnsi="Calibri" w:cs="Calibri"/>
          <w:b/>
          <w:caps/>
          <w:sz w:val="26"/>
          <w:szCs w:val="26"/>
        </w:rPr>
      </w:pPr>
      <w:bookmarkStart w:id="11" w:name="_Toc196485752"/>
      <w:r w:rsidRPr="00B712E9">
        <w:rPr>
          <w:rFonts w:ascii="Calibri" w:hAnsi="Calibri" w:cs="Calibri"/>
          <w:b/>
          <w:caps/>
          <w:sz w:val="26"/>
          <w:szCs w:val="26"/>
        </w:rPr>
        <w:t>Mellékletek</w:t>
      </w:r>
      <w:bookmarkEnd w:id="11"/>
    </w:p>
    <w:p w14:paraId="17E52410" w14:textId="330524CE" w:rsidR="00CB79F5" w:rsidRPr="00C02F24" w:rsidRDefault="00DB37DB" w:rsidP="00376190">
      <w:pPr>
        <w:pStyle w:val="Listaszerbekezds"/>
        <w:numPr>
          <w:ilvl w:val="0"/>
          <w:numId w:val="33"/>
        </w:numPr>
        <w:spacing w:after="0"/>
        <w:ind w:left="714" w:hanging="357"/>
        <w:contextualSpacing w:val="0"/>
        <w:rPr>
          <w:rFonts w:ascii="Calibri" w:hAnsi="Calibri" w:cs="Calibri"/>
          <w:bCs/>
          <w:sz w:val="23"/>
          <w:szCs w:val="23"/>
        </w:rPr>
      </w:pPr>
      <w:r w:rsidRPr="00C02F24">
        <w:rPr>
          <w:rFonts w:ascii="Calibri" w:hAnsi="Calibri" w:cs="Calibri"/>
          <w:bCs/>
          <w:sz w:val="23"/>
          <w:szCs w:val="23"/>
        </w:rPr>
        <w:t>Hévíz-Balaton Airport Kft. Eredménykimutatás 202</w:t>
      </w:r>
      <w:r w:rsidR="00E72881">
        <w:rPr>
          <w:rFonts w:ascii="Calibri" w:hAnsi="Calibri" w:cs="Calibri"/>
          <w:bCs/>
          <w:sz w:val="23"/>
          <w:szCs w:val="23"/>
        </w:rPr>
        <w:t>4</w:t>
      </w:r>
      <w:r w:rsidR="00C02F24" w:rsidRPr="00C02F24">
        <w:rPr>
          <w:rFonts w:ascii="Calibri" w:hAnsi="Calibri" w:cs="Calibri"/>
          <w:bCs/>
          <w:sz w:val="23"/>
          <w:szCs w:val="23"/>
        </w:rPr>
        <w:t>.</w:t>
      </w:r>
      <w:r w:rsidR="005968C2" w:rsidRPr="00C02F24">
        <w:rPr>
          <w:rFonts w:ascii="Calibri" w:hAnsi="Calibri" w:cs="Calibri"/>
          <w:bCs/>
          <w:sz w:val="23"/>
          <w:szCs w:val="23"/>
        </w:rPr>
        <w:t xml:space="preserve"> évről</w:t>
      </w:r>
    </w:p>
    <w:p w14:paraId="487C8348" w14:textId="2D6EC099" w:rsidR="00DB37DB" w:rsidRPr="00C02F24" w:rsidRDefault="00DB37DB" w:rsidP="00376190">
      <w:pPr>
        <w:pStyle w:val="Listaszerbekezds"/>
        <w:numPr>
          <w:ilvl w:val="0"/>
          <w:numId w:val="33"/>
        </w:numPr>
        <w:spacing w:after="0"/>
        <w:ind w:left="714" w:hanging="357"/>
        <w:contextualSpacing w:val="0"/>
        <w:rPr>
          <w:rFonts w:ascii="Calibri" w:hAnsi="Calibri" w:cs="Calibri"/>
          <w:bCs/>
          <w:sz w:val="23"/>
          <w:szCs w:val="23"/>
        </w:rPr>
      </w:pPr>
      <w:r w:rsidRPr="00C02F24">
        <w:rPr>
          <w:rFonts w:ascii="Calibri" w:hAnsi="Calibri" w:cs="Calibri"/>
          <w:bCs/>
          <w:sz w:val="23"/>
          <w:szCs w:val="23"/>
        </w:rPr>
        <w:t>Hévíz-Balaton Airport Kft. Mérleg 202</w:t>
      </w:r>
      <w:r w:rsidR="00E72881">
        <w:rPr>
          <w:rFonts w:ascii="Calibri" w:hAnsi="Calibri" w:cs="Calibri"/>
          <w:bCs/>
          <w:sz w:val="23"/>
          <w:szCs w:val="23"/>
        </w:rPr>
        <w:t>4</w:t>
      </w:r>
      <w:r w:rsidR="00C02F24" w:rsidRPr="00C02F24">
        <w:rPr>
          <w:rFonts w:ascii="Calibri" w:hAnsi="Calibri" w:cs="Calibri"/>
          <w:bCs/>
          <w:sz w:val="23"/>
          <w:szCs w:val="23"/>
        </w:rPr>
        <w:t>.</w:t>
      </w:r>
      <w:r w:rsidR="005968C2" w:rsidRPr="00C02F24">
        <w:rPr>
          <w:rFonts w:ascii="Calibri" w:hAnsi="Calibri" w:cs="Calibri"/>
          <w:bCs/>
          <w:sz w:val="23"/>
          <w:szCs w:val="23"/>
        </w:rPr>
        <w:t xml:space="preserve"> év</w:t>
      </w:r>
    </w:p>
    <w:p w14:paraId="4A6C8717" w14:textId="7691A972" w:rsidR="00DB37DB" w:rsidRPr="00C02F24" w:rsidRDefault="00DB37DB" w:rsidP="00376190">
      <w:pPr>
        <w:pStyle w:val="Listaszerbekezds"/>
        <w:numPr>
          <w:ilvl w:val="0"/>
          <w:numId w:val="33"/>
        </w:numPr>
        <w:spacing w:after="0"/>
        <w:ind w:left="714" w:hanging="357"/>
        <w:contextualSpacing w:val="0"/>
        <w:rPr>
          <w:rFonts w:ascii="Calibri" w:hAnsi="Calibri" w:cs="Calibri"/>
          <w:bCs/>
          <w:sz w:val="23"/>
          <w:szCs w:val="23"/>
        </w:rPr>
      </w:pPr>
      <w:r w:rsidRPr="00C02F24">
        <w:rPr>
          <w:rFonts w:ascii="Calibri" w:hAnsi="Calibri" w:cs="Calibri"/>
          <w:bCs/>
          <w:sz w:val="23"/>
          <w:szCs w:val="23"/>
        </w:rPr>
        <w:t xml:space="preserve">Hévíz-Balaton Airport Kft. </w:t>
      </w:r>
      <w:r w:rsidR="005968C2" w:rsidRPr="00C02F24">
        <w:rPr>
          <w:rFonts w:ascii="Calibri" w:hAnsi="Calibri" w:cs="Calibri"/>
          <w:bCs/>
          <w:sz w:val="23"/>
          <w:szCs w:val="23"/>
        </w:rPr>
        <w:t>Záró főkönyvi kivonat 202</w:t>
      </w:r>
      <w:r w:rsidR="00E72881">
        <w:rPr>
          <w:rFonts w:ascii="Calibri" w:hAnsi="Calibri" w:cs="Calibri"/>
          <w:bCs/>
          <w:sz w:val="23"/>
          <w:szCs w:val="23"/>
        </w:rPr>
        <w:t>4</w:t>
      </w:r>
      <w:r w:rsidR="00C02F24" w:rsidRPr="00C02F24">
        <w:rPr>
          <w:rFonts w:ascii="Calibri" w:hAnsi="Calibri" w:cs="Calibri"/>
          <w:bCs/>
          <w:sz w:val="23"/>
          <w:szCs w:val="23"/>
        </w:rPr>
        <w:t>.</w:t>
      </w:r>
      <w:r w:rsidR="005968C2" w:rsidRPr="00C02F24">
        <w:rPr>
          <w:rFonts w:ascii="Calibri" w:hAnsi="Calibri" w:cs="Calibri"/>
          <w:bCs/>
          <w:sz w:val="23"/>
          <w:szCs w:val="23"/>
        </w:rPr>
        <w:t xml:space="preserve"> évről</w:t>
      </w:r>
    </w:p>
    <w:p w14:paraId="6BD9CFC7" w14:textId="25053490" w:rsidR="00DB37DB" w:rsidRPr="00C02F24" w:rsidRDefault="00DB37DB" w:rsidP="00376190">
      <w:pPr>
        <w:pStyle w:val="Listaszerbekezds"/>
        <w:numPr>
          <w:ilvl w:val="0"/>
          <w:numId w:val="33"/>
        </w:numPr>
        <w:spacing w:after="0"/>
        <w:ind w:left="714" w:hanging="357"/>
        <w:contextualSpacing w:val="0"/>
        <w:rPr>
          <w:rFonts w:ascii="Calibri" w:hAnsi="Calibri" w:cs="Calibri"/>
          <w:bCs/>
          <w:sz w:val="23"/>
          <w:szCs w:val="23"/>
        </w:rPr>
      </w:pPr>
      <w:r w:rsidRPr="00C02F24">
        <w:rPr>
          <w:rFonts w:ascii="Calibri" w:hAnsi="Calibri" w:cs="Calibri"/>
          <w:bCs/>
          <w:sz w:val="23"/>
          <w:szCs w:val="23"/>
        </w:rPr>
        <w:t xml:space="preserve">Hévíz-Balaton Airport Kft. Kiegészítő melléklet </w:t>
      </w:r>
      <w:r w:rsidR="005968C2" w:rsidRPr="00C02F24">
        <w:rPr>
          <w:rFonts w:ascii="Calibri" w:hAnsi="Calibri" w:cs="Calibri"/>
          <w:bCs/>
          <w:sz w:val="23"/>
          <w:szCs w:val="23"/>
        </w:rPr>
        <w:t>202</w:t>
      </w:r>
      <w:r w:rsidR="00E72881">
        <w:rPr>
          <w:rFonts w:ascii="Calibri" w:hAnsi="Calibri" w:cs="Calibri"/>
          <w:bCs/>
          <w:sz w:val="23"/>
          <w:szCs w:val="23"/>
        </w:rPr>
        <w:t>4</w:t>
      </w:r>
      <w:r w:rsidR="005968C2" w:rsidRPr="00C02F24">
        <w:rPr>
          <w:rFonts w:ascii="Calibri" w:hAnsi="Calibri" w:cs="Calibri"/>
          <w:bCs/>
          <w:sz w:val="23"/>
          <w:szCs w:val="23"/>
        </w:rPr>
        <w:t>. évi beszámolóhoz</w:t>
      </w:r>
    </w:p>
    <w:p w14:paraId="28B348F6" w14:textId="77777777" w:rsidR="00376190" w:rsidRPr="00B01F73" w:rsidRDefault="00DB37DB" w:rsidP="00376190">
      <w:pPr>
        <w:pStyle w:val="Listaszerbekezds"/>
        <w:numPr>
          <w:ilvl w:val="0"/>
          <w:numId w:val="33"/>
        </w:numPr>
        <w:spacing w:after="0"/>
        <w:ind w:left="714" w:hanging="357"/>
        <w:contextualSpacing w:val="0"/>
        <w:rPr>
          <w:rFonts w:ascii="Calibri" w:hAnsi="Calibri" w:cs="Calibri"/>
          <w:bCs/>
          <w:color w:val="000000" w:themeColor="text1"/>
          <w:sz w:val="23"/>
          <w:szCs w:val="23"/>
        </w:rPr>
      </w:pPr>
      <w:r w:rsidRPr="00B01F73">
        <w:rPr>
          <w:rFonts w:ascii="Calibri" w:hAnsi="Calibri" w:cs="Calibri"/>
          <w:bCs/>
          <w:color w:val="000000" w:themeColor="text1"/>
          <w:sz w:val="23"/>
          <w:szCs w:val="23"/>
        </w:rPr>
        <w:t xml:space="preserve">Hévíz-Balaton Airport Kft. Könyvvizsgálói jelentés </w:t>
      </w:r>
      <w:r w:rsidR="005968C2" w:rsidRPr="00B01F73">
        <w:rPr>
          <w:rFonts w:ascii="Calibri" w:hAnsi="Calibri" w:cs="Calibri"/>
          <w:bCs/>
          <w:color w:val="000000" w:themeColor="text1"/>
          <w:sz w:val="23"/>
          <w:szCs w:val="23"/>
        </w:rPr>
        <w:t>202</w:t>
      </w:r>
      <w:r w:rsidR="00E72881" w:rsidRPr="00B01F73">
        <w:rPr>
          <w:rFonts w:ascii="Calibri" w:hAnsi="Calibri" w:cs="Calibri"/>
          <w:bCs/>
          <w:color w:val="000000" w:themeColor="text1"/>
          <w:sz w:val="23"/>
          <w:szCs w:val="23"/>
        </w:rPr>
        <w:t>4</w:t>
      </w:r>
      <w:r w:rsidR="005968C2" w:rsidRPr="00B01F73">
        <w:rPr>
          <w:rFonts w:ascii="Calibri" w:hAnsi="Calibri" w:cs="Calibri"/>
          <w:bCs/>
          <w:color w:val="000000" w:themeColor="text1"/>
          <w:sz w:val="23"/>
          <w:szCs w:val="23"/>
        </w:rPr>
        <w:t>. évről</w:t>
      </w:r>
    </w:p>
    <w:p w14:paraId="1E1DA8A1" w14:textId="77777777" w:rsidR="00376190" w:rsidRDefault="00376190" w:rsidP="00376190">
      <w:pPr>
        <w:spacing w:after="0"/>
        <w:rPr>
          <w:rFonts w:ascii="Calibri" w:hAnsi="Calibri" w:cs="Calibri"/>
          <w:bCs/>
          <w:strike/>
          <w:color w:val="000000" w:themeColor="text1"/>
          <w:sz w:val="23"/>
          <w:szCs w:val="23"/>
        </w:rPr>
      </w:pPr>
    </w:p>
    <w:p w14:paraId="1E19B900" w14:textId="517B0775" w:rsidR="00376190" w:rsidRPr="00C02F24" w:rsidRDefault="00376190" w:rsidP="00376190">
      <w:pPr>
        <w:rPr>
          <w:rFonts w:ascii="Calibri" w:hAnsi="Calibri" w:cs="Calibri"/>
          <w:sz w:val="23"/>
          <w:szCs w:val="23"/>
        </w:rPr>
      </w:pPr>
      <w:r w:rsidRPr="00C02F24">
        <w:rPr>
          <w:rFonts w:ascii="Calibri" w:hAnsi="Calibri" w:cs="Calibri"/>
          <w:sz w:val="23"/>
          <w:szCs w:val="23"/>
        </w:rPr>
        <w:t xml:space="preserve">Sármellék, </w:t>
      </w:r>
      <w:r>
        <w:rPr>
          <w:rFonts w:ascii="Calibri" w:hAnsi="Calibri" w:cs="Calibri"/>
          <w:sz w:val="23"/>
          <w:szCs w:val="23"/>
        </w:rPr>
        <w:t>2025.04.24.</w:t>
      </w:r>
      <w:r>
        <w:rPr>
          <w:rFonts w:ascii="Calibri" w:hAnsi="Calibri" w:cs="Calibri"/>
          <w:sz w:val="23"/>
          <w:szCs w:val="23"/>
        </w:rPr>
        <w:tab/>
      </w:r>
      <w:r>
        <w:rPr>
          <w:rFonts w:ascii="Calibri" w:hAnsi="Calibri" w:cs="Calibri"/>
          <w:sz w:val="23"/>
          <w:szCs w:val="23"/>
        </w:rPr>
        <w:tab/>
      </w:r>
      <w:r>
        <w:rPr>
          <w:rFonts w:ascii="Calibri" w:hAnsi="Calibri" w:cs="Calibri"/>
          <w:sz w:val="23"/>
          <w:szCs w:val="23"/>
        </w:rPr>
        <w:tab/>
      </w:r>
      <w:r>
        <w:rPr>
          <w:rFonts w:ascii="Calibri" w:hAnsi="Calibri" w:cs="Calibri"/>
          <w:sz w:val="23"/>
          <w:szCs w:val="23"/>
        </w:rPr>
        <w:tab/>
      </w:r>
      <w:r>
        <w:rPr>
          <w:rFonts w:ascii="Calibri" w:hAnsi="Calibri" w:cs="Calibri"/>
          <w:sz w:val="23"/>
          <w:szCs w:val="23"/>
        </w:rPr>
        <w:tab/>
      </w:r>
      <w:r>
        <w:rPr>
          <w:rFonts w:ascii="Calibri" w:hAnsi="Calibri" w:cs="Calibri"/>
          <w:sz w:val="23"/>
          <w:szCs w:val="23"/>
        </w:rPr>
        <w:tab/>
      </w:r>
      <w:r>
        <w:rPr>
          <w:rFonts w:ascii="Calibri" w:hAnsi="Calibri" w:cs="Calibri"/>
          <w:sz w:val="23"/>
          <w:szCs w:val="23"/>
        </w:rPr>
        <w:tab/>
      </w:r>
      <w:r>
        <w:rPr>
          <w:rFonts w:ascii="Calibri" w:hAnsi="Calibri" w:cs="Calibri"/>
          <w:sz w:val="23"/>
          <w:szCs w:val="23"/>
        </w:rPr>
        <w:tab/>
      </w:r>
      <w:r>
        <w:rPr>
          <w:rFonts w:ascii="Calibri" w:hAnsi="Calibri" w:cs="Calibri"/>
          <w:sz w:val="23"/>
          <w:szCs w:val="23"/>
        </w:rPr>
        <w:tab/>
      </w:r>
      <w:r>
        <w:rPr>
          <w:rFonts w:ascii="Calibri" w:hAnsi="Calibri" w:cs="Calibri"/>
          <w:sz w:val="23"/>
          <w:szCs w:val="23"/>
        </w:rPr>
        <w:tab/>
      </w:r>
      <w:r>
        <w:rPr>
          <w:rFonts w:ascii="Calibri" w:hAnsi="Calibri" w:cs="Calibri"/>
          <w:sz w:val="23"/>
          <w:szCs w:val="23"/>
        </w:rPr>
        <w:tab/>
      </w:r>
      <w:r>
        <w:rPr>
          <w:rFonts w:ascii="Calibri" w:hAnsi="Calibri" w:cs="Calibri"/>
          <w:sz w:val="23"/>
          <w:szCs w:val="23"/>
        </w:rPr>
        <w:tab/>
        <w:t>Benkő Attila, ügyvezető</w:t>
      </w:r>
    </w:p>
    <w:sectPr w:rsidR="00376190" w:rsidRPr="00C02F24" w:rsidSect="00376190">
      <w:pgSz w:w="16838" w:h="11906" w:orient="landscape"/>
      <w:pgMar w:top="1134" w:right="1701" w:bottom="1134" w:left="851" w:header="709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A556C0" w14:textId="77777777" w:rsidR="00F75C2C" w:rsidRDefault="00F75C2C" w:rsidP="006036C3">
      <w:pPr>
        <w:spacing w:after="0" w:line="240" w:lineRule="auto"/>
      </w:pPr>
      <w:r>
        <w:separator/>
      </w:r>
    </w:p>
  </w:endnote>
  <w:endnote w:type="continuationSeparator" w:id="0">
    <w:p w14:paraId="5EBB2319" w14:textId="77777777" w:rsidR="00F75C2C" w:rsidRDefault="00F75C2C" w:rsidP="006036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07331113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7FCBB8E" w14:textId="77777777" w:rsidR="007774F2" w:rsidRDefault="00270901">
        <w:pPr>
          <w:pStyle w:val="llb"/>
          <w:jc w:val="center"/>
        </w:pPr>
        <w:r>
          <w:fldChar w:fldCharType="begin"/>
        </w:r>
        <w:r w:rsidR="007774F2">
          <w:instrText xml:space="preserve"> PAGE   \* MERGEFORMAT </w:instrText>
        </w:r>
        <w:r>
          <w:fldChar w:fldCharType="separate"/>
        </w:r>
        <w:r w:rsidR="00452B95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785ECD" w14:textId="77777777" w:rsidR="00F75C2C" w:rsidRDefault="00F75C2C" w:rsidP="006036C3">
      <w:pPr>
        <w:spacing w:after="0" w:line="240" w:lineRule="auto"/>
      </w:pPr>
      <w:r>
        <w:separator/>
      </w:r>
    </w:p>
  </w:footnote>
  <w:footnote w:type="continuationSeparator" w:id="0">
    <w:p w14:paraId="43D17A22" w14:textId="77777777" w:rsidR="00F75C2C" w:rsidRDefault="00F75C2C" w:rsidP="006036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FCBB8C" w14:textId="77777777" w:rsidR="007774F2" w:rsidRDefault="007774F2" w:rsidP="0077689F">
    <w:pPr>
      <w:pStyle w:val="lfej"/>
      <w:tabs>
        <w:tab w:val="clear" w:pos="4536"/>
        <w:tab w:val="clear" w:pos="9072"/>
        <w:tab w:val="left" w:pos="9015"/>
      </w:tabs>
    </w:pPr>
    <w:r>
      <w:rPr>
        <w:noProof/>
      </w:rPr>
      <w:drawing>
        <wp:anchor distT="0" distB="0" distL="114300" distR="114300" simplePos="0" relativeHeight="251660288" behindDoc="1" locked="0" layoutInCell="1" allowOverlap="1" wp14:anchorId="47FCBB91" wp14:editId="47FCBB92">
          <wp:simplePos x="0" y="0"/>
          <wp:positionH relativeFrom="column">
            <wp:posOffset>3836035</wp:posOffset>
          </wp:positionH>
          <wp:positionV relativeFrom="paragraph">
            <wp:posOffset>-95885</wp:posOffset>
          </wp:positionV>
          <wp:extent cx="2614295" cy="652145"/>
          <wp:effectExtent l="0" t="0" r="0" b="0"/>
          <wp:wrapNone/>
          <wp:docPr id="1642822164" name="Kép 1642822164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14295" cy="6521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ab/>
    </w:r>
  </w:p>
  <w:p w14:paraId="47FCBB8D" w14:textId="77777777" w:rsidR="007774F2" w:rsidRDefault="007774F2" w:rsidP="0077689F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741F7D"/>
    <w:multiLevelType w:val="hybridMultilevel"/>
    <w:tmpl w:val="8FB2387E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649FA"/>
    <w:multiLevelType w:val="hybridMultilevel"/>
    <w:tmpl w:val="0A9ED51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C163D4"/>
    <w:multiLevelType w:val="hybridMultilevel"/>
    <w:tmpl w:val="16C87FC0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CF22C1"/>
    <w:multiLevelType w:val="hybridMultilevel"/>
    <w:tmpl w:val="C038C6CA"/>
    <w:lvl w:ilvl="0" w:tplc="102CA970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B3279C"/>
    <w:multiLevelType w:val="hybridMultilevel"/>
    <w:tmpl w:val="6CFA415E"/>
    <w:lvl w:ilvl="0" w:tplc="4F38B09E">
      <w:start w:val="1"/>
      <w:numFmt w:val="bullet"/>
      <w:lvlText w:val=""/>
      <w:lvlJc w:val="left"/>
      <w:pPr>
        <w:ind w:left="825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5" w15:restartNumberingAfterBreak="0">
    <w:nsid w:val="169C0839"/>
    <w:multiLevelType w:val="multilevel"/>
    <w:tmpl w:val="5BECCAA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7D16953"/>
    <w:multiLevelType w:val="hybridMultilevel"/>
    <w:tmpl w:val="EA208CB4"/>
    <w:lvl w:ilvl="0" w:tplc="6B3C6FA0">
      <w:start w:val="1"/>
      <w:numFmt w:val="decimal"/>
      <w:lvlText w:val="%1."/>
      <w:lvlJc w:val="left"/>
      <w:pPr>
        <w:ind w:left="360" w:hanging="360"/>
      </w:pPr>
      <w:rPr>
        <w:rFonts w:hint="default"/>
        <w:b/>
        <w:sz w:val="24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858284E"/>
    <w:multiLevelType w:val="hybridMultilevel"/>
    <w:tmpl w:val="96A2475A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993C09"/>
    <w:multiLevelType w:val="multilevel"/>
    <w:tmpl w:val="4258BBD2"/>
    <w:lvl w:ilvl="0">
      <w:start w:val="1"/>
      <w:numFmt w:val="bullet"/>
      <w:lvlText w:val="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FEF5972"/>
    <w:multiLevelType w:val="hybridMultilevel"/>
    <w:tmpl w:val="5B80B8E6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3F5126"/>
    <w:multiLevelType w:val="hybridMultilevel"/>
    <w:tmpl w:val="CBDC63D0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845FEB"/>
    <w:multiLevelType w:val="hybridMultilevel"/>
    <w:tmpl w:val="1A7E9F5C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4248C0"/>
    <w:multiLevelType w:val="hybridMultilevel"/>
    <w:tmpl w:val="9BFE061A"/>
    <w:lvl w:ilvl="0" w:tplc="6B0055B6">
      <w:start w:val="90"/>
      <w:numFmt w:val="decimal"/>
      <w:lvlText w:val="%1"/>
      <w:lvlJc w:val="left"/>
      <w:pPr>
        <w:ind w:left="703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7755" w:hanging="360"/>
      </w:pPr>
    </w:lvl>
    <w:lvl w:ilvl="2" w:tplc="0809001B" w:tentative="1">
      <w:start w:val="1"/>
      <w:numFmt w:val="lowerRoman"/>
      <w:lvlText w:val="%3."/>
      <w:lvlJc w:val="right"/>
      <w:pPr>
        <w:ind w:left="8475" w:hanging="180"/>
      </w:pPr>
    </w:lvl>
    <w:lvl w:ilvl="3" w:tplc="0809000F" w:tentative="1">
      <w:start w:val="1"/>
      <w:numFmt w:val="decimal"/>
      <w:lvlText w:val="%4."/>
      <w:lvlJc w:val="left"/>
      <w:pPr>
        <w:ind w:left="9195" w:hanging="360"/>
      </w:pPr>
    </w:lvl>
    <w:lvl w:ilvl="4" w:tplc="08090019" w:tentative="1">
      <w:start w:val="1"/>
      <w:numFmt w:val="lowerLetter"/>
      <w:lvlText w:val="%5."/>
      <w:lvlJc w:val="left"/>
      <w:pPr>
        <w:ind w:left="9915" w:hanging="360"/>
      </w:pPr>
    </w:lvl>
    <w:lvl w:ilvl="5" w:tplc="0809001B" w:tentative="1">
      <w:start w:val="1"/>
      <w:numFmt w:val="lowerRoman"/>
      <w:lvlText w:val="%6."/>
      <w:lvlJc w:val="right"/>
      <w:pPr>
        <w:ind w:left="10635" w:hanging="180"/>
      </w:pPr>
    </w:lvl>
    <w:lvl w:ilvl="6" w:tplc="0809000F" w:tentative="1">
      <w:start w:val="1"/>
      <w:numFmt w:val="decimal"/>
      <w:lvlText w:val="%7."/>
      <w:lvlJc w:val="left"/>
      <w:pPr>
        <w:ind w:left="11355" w:hanging="360"/>
      </w:pPr>
    </w:lvl>
    <w:lvl w:ilvl="7" w:tplc="08090019" w:tentative="1">
      <w:start w:val="1"/>
      <w:numFmt w:val="lowerLetter"/>
      <w:lvlText w:val="%8."/>
      <w:lvlJc w:val="left"/>
      <w:pPr>
        <w:ind w:left="12075" w:hanging="360"/>
      </w:pPr>
    </w:lvl>
    <w:lvl w:ilvl="8" w:tplc="0809001B" w:tentative="1">
      <w:start w:val="1"/>
      <w:numFmt w:val="lowerRoman"/>
      <w:lvlText w:val="%9."/>
      <w:lvlJc w:val="right"/>
      <w:pPr>
        <w:ind w:left="12795" w:hanging="180"/>
      </w:pPr>
    </w:lvl>
  </w:abstractNum>
  <w:abstractNum w:abstractNumId="13" w15:restartNumberingAfterBreak="0">
    <w:nsid w:val="24934D5A"/>
    <w:multiLevelType w:val="hybridMultilevel"/>
    <w:tmpl w:val="84C63D34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9F19A8"/>
    <w:multiLevelType w:val="hybridMultilevel"/>
    <w:tmpl w:val="6C36D49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5834A36"/>
    <w:multiLevelType w:val="multilevel"/>
    <w:tmpl w:val="9AC04E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5A72C32"/>
    <w:multiLevelType w:val="hybridMultilevel"/>
    <w:tmpl w:val="7CDEC56A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8C25FB2"/>
    <w:multiLevelType w:val="hybridMultilevel"/>
    <w:tmpl w:val="E0B29354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9D33A8E"/>
    <w:multiLevelType w:val="multilevel"/>
    <w:tmpl w:val="26C836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2FF215CA"/>
    <w:multiLevelType w:val="hybridMultilevel"/>
    <w:tmpl w:val="154C685E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3017D0C"/>
    <w:multiLevelType w:val="hybridMultilevel"/>
    <w:tmpl w:val="EC76EBCA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8F6FE5"/>
    <w:multiLevelType w:val="hybridMultilevel"/>
    <w:tmpl w:val="BB4A9CE6"/>
    <w:lvl w:ilvl="0" w:tplc="DB76DF1C">
      <w:start w:val="180"/>
      <w:numFmt w:val="decimal"/>
      <w:lvlText w:val="%1"/>
      <w:lvlJc w:val="left"/>
      <w:pPr>
        <w:ind w:left="76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8340" w:hanging="360"/>
      </w:pPr>
    </w:lvl>
    <w:lvl w:ilvl="2" w:tplc="040E001B" w:tentative="1">
      <w:start w:val="1"/>
      <w:numFmt w:val="lowerRoman"/>
      <w:lvlText w:val="%3."/>
      <w:lvlJc w:val="right"/>
      <w:pPr>
        <w:ind w:left="9060" w:hanging="180"/>
      </w:pPr>
    </w:lvl>
    <w:lvl w:ilvl="3" w:tplc="040E000F" w:tentative="1">
      <w:start w:val="1"/>
      <w:numFmt w:val="decimal"/>
      <w:lvlText w:val="%4."/>
      <w:lvlJc w:val="left"/>
      <w:pPr>
        <w:ind w:left="9780" w:hanging="360"/>
      </w:pPr>
    </w:lvl>
    <w:lvl w:ilvl="4" w:tplc="040E0019" w:tentative="1">
      <w:start w:val="1"/>
      <w:numFmt w:val="lowerLetter"/>
      <w:lvlText w:val="%5."/>
      <w:lvlJc w:val="left"/>
      <w:pPr>
        <w:ind w:left="10500" w:hanging="360"/>
      </w:pPr>
    </w:lvl>
    <w:lvl w:ilvl="5" w:tplc="040E001B" w:tentative="1">
      <w:start w:val="1"/>
      <w:numFmt w:val="lowerRoman"/>
      <w:lvlText w:val="%6."/>
      <w:lvlJc w:val="right"/>
      <w:pPr>
        <w:ind w:left="11220" w:hanging="180"/>
      </w:pPr>
    </w:lvl>
    <w:lvl w:ilvl="6" w:tplc="040E000F" w:tentative="1">
      <w:start w:val="1"/>
      <w:numFmt w:val="decimal"/>
      <w:lvlText w:val="%7."/>
      <w:lvlJc w:val="left"/>
      <w:pPr>
        <w:ind w:left="11940" w:hanging="360"/>
      </w:pPr>
    </w:lvl>
    <w:lvl w:ilvl="7" w:tplc="040E0019" w:tentative="1">
      <w:start w:val="1"/>
      <w:numFmt w:val="lowerLetter"/>
      <w:lvlText w:val="%8."/>
      <w:lvlJc w:val="left"/>
      <w:pPr>
        <w:ind w:left="12660" w:hanging="360"/>
      </w:pPr>
    </w:lvl>
    <w:lvl w:ilvl="8" w:tplc="040E001B" w:tentative="1">
      <w:start w:val="1"/>
      <w:numFmt w:val="lowerRoman"/>
      <w:lvlText w:val="%9."/>
      <w:lvlJc w:val="right"/>
      <w:pPr>
        <w:ind w:left="13380" w:hanging="180"/>
      </w:pPr>
    </w:lvl>
  </w:abstractNum>
  <w:abstractNum w:abstractNumId="22" w15:restartNumberingAfterBreak="0">
    <w:nsid w:val="35A7066F"/>
    <w:multiLevelType w:val="hybridMultilevel"/>
    <w:tmpl w:val="473AD25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5C745DD"/>
    <w:multiLevelType w:val="hybridMultilevel"/>
    <w:tmpl w:val="07F0EC3A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6D267D2"/>
    <w:multiLevelType w:val="hybridMultilevel"/>
    <w:tmpl w:val="7400A4A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E1149DA"/>
    <w:multiLevelType w:val="hybridMultilevel"/>
    <w:tmpl w:val="EF7C128A"/>
    <w:lvl w:ilvl="0" w:tplc="4F38B09E">
      <w:start w:val="1"/>
      <w:numFmt w:val="bullet"/>
      <w:lvlText w:val=""/>
      <w:lvlJc w:val="left"/>
      <w:pPr>
        <w:ind w:left="1854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6" w15:restartNumberingAfterBreak="0">
    <w:nsid w:val="4050092C"/>
    <w:multiLevelType w:val="hybridMultilevel"/>
    <w:tmpl w:val="35741E6E"/>
    <w:lvl w:ilvl="0" w:tplc="2CFAEFE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3BE00A9"/>
    <w:multiLevelType w:val="hybridMultilevel"/>
    <w:tmpl w:val="1B9CA71E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6142016"/>
    <w:multiLevelType w:val="hybridMultilevel"/>
    <w:tmpl w:val="4B6E3D00"/>
    <w:lvl w:ilvl="0" w:tplc="DE866CD2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  <w:b w:val="0"/>
        <w:sz w:val="22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CF045B2"/>
    <w:multiLevelType w:val="hybridMultilevel"/>
    <w:tmpl w:val="37565F0A"/>
    <w:lvl w:ilvl="0" w:tplc="4F38B09E">
      <w:start w:val="1"/>
      <w:numFmt w:val="bullet"/>
      <w:lvlText w:val="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</w:rPr>
    </w:lvl>
    <w:lvl w:ilvl="1" w:tplc="8DD2593C" w:tentative="1">
      <w:start w:val="1"/>
      <w:numFmt w:val="bullet"/>
      <w:lvlText w:val=""/>
      <w:lvlJc w:val="left"/>
      <w:pPr>
        <w:tabs>
          <w:tab w:val="num" w:pos="1506"/>
        </w:tabs>
        <w:ind w:left="1506" w:hanging="360"/>
      </w:pPr>
      <w:rPr>
        <w:rFonts w:ascii="Wingdings" w:hAnsi="Wingdings" w:hint="default"/>
      </w:rPr>
    </w:lvl>
    <w:lvl w:ilvl="2" w:tplc="BD2E0F38" w:tentative="1">
      <w:start w:val="1"/>
      <w:numFmt w:val="bullet"/>
      <w:lvlText w:val="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54DAC154" w:tentative="1">
      <w:start w:val="1"/>
      <w:numFmt w:val="bullet"/>
      <w:lvlText w:val=""/>
      <w:lvlJc w:val="left"/>
      <w:pPr>
        <w:tabs>
          <w:tab w:val="num" w:pos="2946"/>
        </w:tabs>
        <w:ind w:left="2946" w:hanging="360"/>
      </w:pPr>
      <w:rPr>
        <w:rFonts w:ascii="Wingdings" w:hAnsi="Wingdings" w:hint="default"/>
      </w:rPr>
    </w:lvl>
    <w:lvl w:ilvl="4" w:tplc="3BBAC158" w:tentative="1">
      <w:start w:val="1"/>
      <w:numFmt w:val="bullet"/>
      <w:lvlText w:val=""/>
      <w:lvlJc w:val="left"/>
      <w:pPr>
        <w:tabs>
          <w:tab w:val="num" w:pos="3666"/>
        </w:tabs>
        <w:ind w:left="3666" w:hanging="360"/>
      </w:pPr>
      <w:rPr>
        <w:rFonts w:ascii="Wingdings" w:hAnsi="Wingdings" w:hint="default"/>
      </w:rPr>
    </w:lvl>
    <w:lvl w:ilvl="5" w:tplc="C90C5108" w:tentative="1">
      <w:start w:val="1"/>
      <w:numFmt w:val="bullet"/>
      <w:lvlText w:val="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16AABE00" w:tentative="1">
      <w:start w:val="1"/>
      <w:numFmt w:val="bullet"/>
      <w:lvlText w:val=""/>
      <w:lvlJc w:val="left"/>
      <w:pPr>
        <w:tabs>
          <w:tab w:val="num" w:pos="5106"/>
        </w:tabs>
        <w:ind w:left="5106" w:hanging="360"/>
      </w:pPr>
      <w:rPr>
        <w:rFonts w:ascii="Wingdings" w:hAnsi="Wingdings" w:hint="default"/>
      </w:rPr>
    </w:lvl>
    <w:lvl w:ilvl="7" w:tplc="9EDE2C4A" w:tentative="1">
      <w:start w:val="1"/>
      <w:numFmt w:val="bullet"/>
      <w:lvlText w:val=""/>
      <w:lvlJc w:val="left"/>
      <w:pPr>
        <w:tabs>
          <w:tab w:val="num" w:pos="5826"/>
        </w:tabs>
        <w:ind w:left="5826" w:hanging="360"/>
      </w:pPr>
      <w:rPr>
        <w:rFonts w:ascii="Wingdings" w:hAnsi="Wingdings" w:hint="default"/>
      </w:rPr>
    </w:lvl>
    <w:lvl w:ilvl="8" w:tplc="96223DE2" w:tentative="1">
      <w:start w:val="1"/>
      <w:numFmt w:val="bullet"/>
      <w:lvlText w:val="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30" w15:restartNumberingAfterBreak="0">
    <w:nsid w:val="4E0B3CE9"/>
    <w:multiLevelType w:val="hybridMultilevel"/>
    <w:tmpl w:val="90766CF6"/>
    <w:lvl w:ilvl="0" w:tplc="4966603E">
      <w:start w:val="2022"/>
      <w:numFmt w:val="decimal"/>
      <w:lvlText w:val="%1."/>
      <w:lvlJc w:val="left"/>
      <w:pPr>
        <w:ind w:left="900" w:hanging="54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02A11D8"/>
    <w:multiLevelType w:val="hybridMultilevel"/>
    <w:tmpl w:val="6EBEDE04"/>
    <w:lvl w:ilvl="0" w:tplc="4F38B09E">
      <w:start w:val="1"/>
      <w:numFmt w:val="bullet"/>
      <w:lvlText w:val=""/>
      <w:lvlJc w:val="left"/>
      <w:pPr>
        <w:ind w:left="1854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2" w15:restartNumberingAfterBreak="0">
    <w:nsid w:val="5269589A"/>
    <w:multiLevelType w:val="hybridMultilevel"/>
    <w:tmpl w:val="943065C2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29015C8"/>
    <w:multiLevelType w:val="hybridMultilevel"/>
    <w:tmpl w:val="FD08C388"/>
    <w:lvl w:ilvl="0" w:tplc="040E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4" w15:restartNumberingAfterBreak="0">
    <w:nsid w:val="53BF0026"/>
    <w:multiLevelType w:val="multilevel"/>
    <w:tmpl w:val="A7D897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545B619D"/>
    <w:multiLevelType w:val="hybridMultilevel"/>
    <w:tmpl w:val="6C36D49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9EB5FB0"/>
    <w:multiLevelType w:val="hybridMultilevel"/>
    <w:tmpl w:val="FDEE2FF0"/>
    <w:lvl w:ilvl="0" w:tplc="19F05BA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9F26DBE"/>
    <w:multiLevelType w:val="hybridMultilevel"/>
    <w:tmpl w:val="CC66F8D2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E343F8A"/>
    <w:multiLevelType w:val="hybridMultilevel"/>
    <w:tmpl w:val="8C4A53A4"/>
    <w:lvl w:ilvl="0" w:tplc="A22A9B6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F38B09E">
      <w:start w:val="1"/>
      <w:numFmt w:val="bullet"/>
      <w:lvlText w:val="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FB31ECC"/>
    <w:multiLevelType w:val="hybridMultilevel"/>
    <w:tmpl w:val="5B66C1D6"/>
    <w:lvl w:ilvl="0" w:tplc="EB9EB128">
      <w:start w:val="1"/>
      <w:numFmt w:val="decimal"/>
      <w:lvlText w:val="(%1)"/>
      <w:lvlJc w:val="left"/>
      <w:pPr>
        <w:ind w:left="1080" w:hanging="72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0E873F2"/>
    <w:multiLevelType w:val="hybridMultilevel"/>
    <w:tmpl w:val="6A524C98"/>
    <w:lvl w:ilvl="0" w:tplc="040E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4B9557B"/>
    <w:multiLevelType w:val="hybridMultilevel"/>
    <w:tmpl w:val="182CAD8E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585744C"/>
    <w:multiLevelType w:val="hybridMultilevel"/>
    <w:tmpl w:val="96305B26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9802FC3"/>
    <w:multiLevelType w:val="hybridMultilevel"/>
    <w:tmpl w:val="405C5D0C"/>
    <w:lvl w:ilvl="0" w:tplc="23BE950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F851C86"/>
    <w:multiLevelType w:val="hybridMultilevel"/>
    <w:tmpl w:val="F6F26312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1673F18"/>
    <w:multiLevelType w:val="hybridMultilevel"/>
    <w:tmpl w:val="E00A7702"/>
    <w:lvl w:ilvl="0" w:tplc="C5E8D9E0">
      <w:start w:val="120"/>
      <w:numFmt w:val="decimal"/>
      <w:lvlText w:val="%1"/>
      <w:lvlJc w:val="left"/>
      <w:pPr>
        <w:ind w:left="690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7620" w:hanging="360"/>
      </w:pPr>
    </w:lvl>
    <w:lvl w:ilvl="2" w:tplc="040E001B" w:tentative="1">
      <w:start w:val="1"/>
      <w:numFmt w:val="lowerRoman"/>
      <w:lvlText w:val="%3."/>
      <w:lvlJc w:val="right"/>
      <w:pPr>
        <w:ind w:left="8340" w:hanging="180"/>
      </w:pPr>
    </w:lvl>
    <w:lvl w:ilvl="3" w:tplc="040E000F" w:tentative="1">
      <w:start w:val="1"/>
      <w:numFmt w:val="decimal"/>
      <w:lvlText w:val="%4."/>
      <w:lvlJc w:val="left"/>
      <w:pPr>
        <w:ind w:left="9060" w:hanging="360"/>
      </w:pPr>
    </w:lvl>
    <w:lvl w:ilvl="4" w:tplc="040E0019" w:tentative="1">
      <w:start w:val="1"/>
      <w:numFmt w:val="lowerLetter"/>
      <w:lvlText w:val="%5."/>
      <w:lvlJc w:val="left"/>
      <w:pPr>
        <w:ind w:left="9780" w:hanging="360"/>
      </w:pPr>
    </w:lvl>
    <w:lvl w:ilvl="5" w:tplc="040E001B" w:tentative="1">
      <w:start w:val="1"/>
      <w:numFmt w:val="lowerRoman"/>
      <w:lvlText w:val="%6."/>
      <w:lvlJc w:val="right"/>
      <w:pPr>
        <w:ind w:left="10500" w:hanging="180"/>
      </w:pPr>
    </w:lvl>
    <w:lvl w:ilvl="6" w:tplc="040E000F" w:tentative="1">
      <w:start w:val="1"/>
      <w:numFmt w:val="decimal"/>
      <w:lvlText w:val="%7."/>
      <w:lvlJc w:val="left"/>
      <w:pPr>
        <w:ind w:left="11220" w:hanging="360"/>
      </w:pPr>
    </w:lvl>
    <w:lvl w:ilvl="7" w:tplc="040E0019" w:tentative="1">
      <w:start w:val="1"/>
      <w:numFmt w:val="lowerLetter"/>
      <w:lvlText w:val="%8."/>
      <w:lvlJc w:val="left"/>
      <w:pPr>
        <w:ind w:left="11940" w:hanging="360"/>
      </w:pPr>
    </w:lvl>
    <w:lvl w:ilvl="8" w:tplc="040E001B" w:tentative="1">
      <w:start w:val="1"/>
      <w:numFmt w:val="lowerRoman"/>
      <w:lvlText w:val="%9."/>
      <w:lvlJc w:val="right"/>
      <w:pPr>
        <w:ind w:left="12660" w:hanging="180"/>
      </w:pPr>
    </w:lvl>
  </w:abstractNum>
  <w:abstractNum w:abstractNumId="46" w15:restartNumberingAfterBreak="0">
    <w:nsid w:val="71D1293D"/>
    <w:multiLevelType w:val="hybridMultilevel"/>
    <w:tmpl w:val="8E6AF9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2D52AA1"/>
    <w:multiLevelType w:val="hybridMultilevel"/>
    <w:tmpl w:val="84DA2E52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  <w:b w:val="0"/>
        <w:sz w:val="22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69C06AE"/>
    <w:multiLevelType w:val="hybridMultilevel"/>
    <w:tmpl w:val="D05E4D20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B886FCF"/>
    <w:multiLevelType w:val="hybridMultilevel"/>
    <w:tmpl w:val="D9B6A990"/>
    <w:lvl w:ilvl="0" w:tplc="45B22B34">
      <w:start w:val="60"/>
      <w:numFmt w:val="decimal"/>
      <w:lvlText w:val="%1"/>
      <w:lvlJc w:val="left"/>
      <w:pPr>
        <w:ind w:left="71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7860" w:hanging="360"/>
      </w:pPr>
    </w:lvl>
    <w:lvl w:ilvl="2" w:tplc="0809001B" w:tentative="1">
      <w:start w:val="1"/>
      <w:numFmt w:val="lowerRoman"/>
      <w:lvlText w:val="%3."/>
      <w:lvlJc w:val="right"/>
      <w:pPr>
        <w:ind w:left="8580" w:hanging="180"/>
      </w:pPr>
    </w:lvl>
    <w:lvl w:ilvl="3" w:tplc="0809000F" w:tentative="1">
      <w:start w:val="1"/>
      <w:numFmt w:val="decimal"/>
      <w:lvlText w:val="%4."/>
      <w:lvlJc w:val="left"/>
      <w:pPr>
        <w:ind w:left="9300" w:hanging="360"/>
      </w:pPr>
    </w:lvl>
    <w:lvl w:ilvl="4" w:tplc="08090019" w:tentative="1">
      <w:start w:val="1"/>
      <w:numFmt w:val="lowerLetter"/>
      <w:lvlText w:val="%5."/>
      <w:lvlJc w:val="left"/>
      <w:pPr>
        <w:ind w:left="10020" w:hanging="360"/>
      </w:pPr>
    </w:lvl>
    <w:lvl w:ilvl="5" w:tplc="0809001B" w:tentative="1">
      <w:start w:val="1"/>
      <w:numFmt w:val="lowerRoman"/>
      <w:lvlText w:val="%6."/>
      <w:lvlJc w:val="right"/>
      <w:pPr>
        <w:ind w:left="10740" w:hanging="180"/>
      </w:pPr>
    </w:lvl>
    <w:lvl w:ilvl="6" w:tplc="0809000F" w:tentative="1">
      <w:start w:val="1"/>
      <w:numFmt w:val="decimal"/>
      <w:lvlText w:val="%7."/>
      <w:lvlJc w:val="left"/>
      <w:pPr>
        <w:ind w:left="11460" w:hanging="360"/>
      </w:pPr>
    </w:lvl>
    <w:lvl w:ilvl="7" w:tplc="08090019" w:tentative="1">
      <w:start w:val="1"/>
      <w:numFmt w:val="lowerLetter"/>
      <w:lvlText w:val="%8."/>
      <w:lvlJc w:val="left"/>
      <w:pPr>
        <w:ind w:left="12180" w:hanging="360"/>
      </w:pPr>
    </w:lvl>
    <w:lvl w:ilvl="8" w:tplc="0809001B" w:tentative="1">
      <w:start w:val="1"/>
      <w:numFmt w:val="lowerRoman"/>
      <w:lvlText w:val="%9."/>
      <w:lvlJc w:val="right"/>
      <w:pPr>
        <w:ind w:left="12900" w:hanging="180"/>
      </w:pPr>
    </w:lvl>
  </w:abstractNum>
  <w:abstractNum w:abstractNumId="50" w15:restartNumberingAfterBreak="0">
    <w:nsid w:val="7EB42421"/>
    <w:multiLevelType w:val="hybridMultilevel"/>
    <w:tmpl w:val="0EBA6412"/>
    <w:lvl w:ilvl="0" w:tplc="4F38B09E">
      <w:start w:val="1"/>
      <w:numFmt w:val="bullet"/>
      <w:lvlText w:val="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72361685">
    <w:abstractNumId w:val="40"/>
  </w:num>
  <w:num w:numId="2" w16cid:durableId="1484352613">
    <w:abstractNumId w:val="37"/>
  </w:num>
  <w:num w:numId="3" w16cid:durableId="646471472">
    <w:abstractNumId w:val="6"/>
  </w:num>
  <w:num w:numId="4" w16cid:durableId="65953970">
    <w:abstractNumId w:val="44"/>
  </w:num>
  <w:num w:numId="5" w16cid:durableId="1316950894">
    <w:abstractNumId w:val="16"/>
  </w:num>
  <w:num w:numId="6" w16cid:durableId="1292246895">
    <w:abstractNumId w:val="19"/>
  </w:num>
  <w:num w:numId="7" w16cid:durableId="1593977479">
    <w:abstractNumId w:val="0"/>
  </w:num>
  <w:num w:numId="8" w16cid:durableId="1301570561">
    <w:abstractNumId w:val="13"/>
  </w:num>
  <w:num w:numId="9" w16cid:durableId="116217985">
    <w:abstractNumId w:val="42"/>
  </w:num>
  <w:num w:numId="10" w16cid:durableId="458454439">
    <w:abstractNumId w:val="50"/>
  </w:num>
  <w:num w:numId="11" w16cid:durableId="1381057139">
    <w:abstractNumId w:val="27"/>
  </w:num>
  <w:num w:numId="12" w16cid:durableId="1079474249">
    <w:abstractNumId w:val="38"/>
  </w:num>
  <w:num w:numId="13" w16cid:durableId="256520289">
    <w:abstractNumId w:val="29"/>
  </w:num>
  <w:num w:numId="14" w16cid:durableId="1843617336">
    <w:abstractNumId w:val="41"/>
  </w:num>
  <w:num w:numId="15" w16cid:durableId="120848921">
    <w:abstractNumId w:val="48"/>
  </w:num>
  <w:num w:numId="16" w16cid:durableId="2068068001">
    <w:abstractNumId w:val="9"/>
  </w:num>
  <w:num w:numId="17" w16cid:durableId="1569808478">
    <w:abstractNumId w:val="11"/>
  </w:num>
  <w:num w:numId="18" w16cid:durableId="2028750405">
    <w:abstractNumId w:val="32"/>
  </w:num>
  <w:num w:numId="19" w16cid:durableId="850027333">
    <w:abstractNumId w:val="23"/>
  </w:num>
  <w:num w:numId="20" w16cid:durableId="99222519">
    <w:abstractNumId w:val="26"/>
  </w:num>
  <w:num w:numId="21" w16cid:durableId="1194612277">
    <w:abstractNumId w:val="2"/>
  </w:num>
  <w:num w:numId="22" w16cid:durableId="1803695940">
    <w:abstractNumId w:val="17"/>
  </w:num>
  <w:num w:numId="23" w16cid:durableId="1964144227">
    <w:abstractNumId w:val="1"/>
  </w:num>
  <w:num w:numId="24" w16cid:durableId="1317538616">
    <w:abstractNumId w:val="10"/>
  </w:num>
  <w:num w:numId="25" w16cid:durableId="1789548160">
    <w:abstractNumId w:val="24"/>
  </w:num>
  <w:num w:numId="26" w16cid:durableId="295452353">
    <w:abstractNumId w:val="5"/>
  </w:num>
  <w:num w:numId="27" w16cid:durableId="1717656263">
    <w:abstractNumId w:val="21"/>
  </w:num>
  <w:num w:numId="28" w16cid:durableId="1893688630">
    <w:abstractNumId w:val="45"/>
  </w:num>
  <w:num w:numId="29" w16cid:durableId="348263764">
    <w:abstractNumId w:val="7"/>
  </w:num>
  <w:num w:numId="30" w16cid:durableId="1209297414">
    <w:abstractNumId w:val="33"/>
  </w:num>
  <w:num w:numId="31" w16cid:durableId="1497454545">
    <w:abstractNumId w:val="25"/>
  </w:num>
  <w:num w:numId="32" w16cid:durableId="13460798">
    <w:abstractNumId w:val="31"/>
  </w:num>
  <w:num w:numId="33" w16cid:durableId="200944174">
    <w:abstractNumId w:val="20"/>
  </w:num>
  <w:num w:numId="34" w16cid:durableId="917060184">
    <w:abstractNumId w:val="46"/>
  </w:num>
  <w:num w:numId="35" w16cid:durableId="1590655954">
    <w:abstractNumId w:val="36"/>
  </w:num>
  <w:num w:numId="36" w16cid:durableId="479926767">
    <w:abstractNumId w:val="43"/>
  </w:num>
  <w:num w:numId="37" w16cid:durableId="1153985897">
    <w:abstractNumId w:val="22"/>
  </w:num>
  <w:num w:numId="38" w16cid:durableId="1015802">
    <w:abstractNumId w:val="35"/>
  </w:num>
  <w:num w:numId="39" w16cid:durableId="1151561936">
    <w:abstractNumId w:val="30"/>
  </w:num>
  <w:num w:numId="40" w16cid:durableId="1879077262">
    <w:abstractNumId w:val="4"/>
  </w:num>
  <w:num w:numId="41" w16cid:durableId="190387807">
    <w:abstractNumId w:val="28"/>
  </w:num>
  <w:num w:numId="42" w16cid:durableId="1767383394">
    <w:abstractNumId w:val="47"/>
  </w:num>
  <w:num w:numId="43" w16cid:durableId="1774083190">
    <w:abstractNumId w:val="14"/>
  </w:num>
  <w:num w:numId="44" w16cid:durableId="152382711">
    <w:abstractNumId w:val="34"/>
  </w:num>
  <w:num w:numId="45" w16cid:durableId="1201548084">
    <w:abstractNumId w:val="18"/>
  </w:num>
  <w:num w:numId="46" w16cid:durableId="1854028906">
    <w:abstractNumId w:val="15"/>
  </w:num>
  <w:num w:numId="47" w16cid:durableId="1614242849">
    <w:abstractNumId w:val="8"/>
  </w:num>
  <w:num w:numId="48" w16cid:durableId="443579336">
    <w:abstractNumId w:val="3"/>
  </w:num>
  <w:num w:numId="49" w16cid:durableId="1031221807">
    <w:abstractNumId w:val="39"/>
  </w:num>
  <w:num w:numId="50" w16cid:durableId="796872296">
    <w:abstractNumId w:val="12"/>
  </w:num>
  <w:num w:numId="51" w16cid:durableId="1437094801">
    <w:abstractNumId w:val="4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08"/>
  <w:hyphenationZone w:val="425"/>
  <w:characterSpacingControl w:val="doNotCompress"/>
  <w:hdrShapeDefaults>
    <o:shapedefaults v:ext="edit" spidmax="2050">
      <o:colormru v:ext="edit" colors="#0076b0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6323"/>
    <w:rsid w:val="00001721"/>
    <w:rsid w:val="0000207B"/>
    <w:rsid w:val="00003376"/>
    <w:rsid w:val="0000564C"/>
    <w:rsid w:val="000116C5"/>
    <w:rsid w:val="00013CA5"/>
    <w:rsid w:val="00014760"/>
    <w:rsid w:val="00015F19"/>
    <w:rsid w:val="000247F9"/>
    <w:rsid w:val="000260D1"/>
    <w:rsid w:val="00031948"/>
    <w:rsid w:val="0003236D"/>
    <w:rsid w:val="000343F8"/>
    <w:rsid w:val="000347F0"/>
    <w:rsid w:val="0003576C"/>
    <w:rsid w:val="00037667"/>
    <w:rsid w:val="00037948"/>
    <w:rsid w:val="00041BF8"/>
    <w:rsid w:val="00042C0B"/>
    <w:rsid w:val="00044CD0"/>
    <w:rsid w:val="000457A2"/>
    <w:rsid w:val="00047500"/>
    <w:rsid w:val="0005388C"/>
    <w:rsid w:val="00054D0F"/>
    <w:rsid w:val="00054EFA"/>
    <w:rsid w:val="00055B2A"/>
    <w:rsid w:val="00057111"/>
    <w:rsid w:val="0006002D"/>
    <w:rsid w:val="00060869"/>
    <w:rsid w:val="00061B4C"/>
    <w:rsid w:val="00063FA1"/>
    <w:rsid w:val="000661D0"/>
    <w:rsid w:val="00066991"/>
    <w:rsid w:val="00070EA7"/>
    <w:rsid w:val="000720E7"/>
    <w:rsid w:val="000729A0"/>
    <w:rsid w:val="00074FAB"/>
    <w:rsid w:val="00075C5B"/>
    <w:rsid w:val="00077128"/>
    <w:rsid w:val="00080507"/>
    <w:rsid w:val="00081D9A"/>
    <w:rsid w:val="00082417"/>
    <w:rsid w:val="000876BB"/>
    <w:rsid w:val="00095A85"/>
    <w:rsid w:val="00096B13"/>
    <w:rsid w:val="000A2A20"/>
    <w:rsid w:val="000A4A33"/>
    <w:rsid w:val="000A5341"/>
    <w:rsid w:val="000A7670"/>
    <w:rsid w:val="000A7A2A"/>
    <w:rsid w:val="000B151F"/>
    <w:rsid w:val="000B1C5E"/>
    <w:rsid w:val="000B2629"/>
    <w:rsid w:val="000B3A42"/>
    <w:rsid w:val="000C4915"/>
    <w:rsid w:val="000C51B5"/>
    <w:rsid w:val="000C51B9"/>
    <w:rsid w:val="000D0A04"/>
    <w:rsid w:val="000D5E8D"/>
    <w:rsid w:val="000D6A1E"/>
    <w:rsid w:val="000D7FEB"/>
    <w:rsid w:val="000E111B"/>
    <w:rsid w:val="000E1410"/>
    <w:rsid w:val="000E4B21"/>
    <w:rsid w:val="000E5DA4"/>
    <w:rsid w:val="000E62BC"/>
    <w:rsid w:val="000F2658"/>
    <w:rsid w:val="000F27A0"/>
    <w:rsid w:val="000F3691"/>
    <w:rsid w:val="000F545B"/>
    <w:rsid w:val="000F57F7"/>
    <w:rsid w:val="000F5F37"/>
    <w:rsid w:val="000F70EF"/>
    <w:rsid w:val="0010132C"/>
    <w:rsid w:val="00102FB8"/>
    <w:rsid w:val="001038CF"/>
    <w:rsid w:val="00105CA8"/>
    <w:rsid w:val="00111609"/>
    <w:rsid w:val="0011194D"/>
    <w:rsid w:val="00114785"/>
    <w:rsid w:val="00116FE8"/>
    <w:rsid w:val="00121312"/>
    <w:rsid w:val="001217E2"/>
    <w:rsid w:val="00123DA5"/>
    <w:rsid w:val="001248B5"/>
    <w:rsid w:val="00124DBC"/>
    <w:rsid w:val="001250F1"/>
    <w:rsid w:val="001264B7"/>
    <w:rsid w:val="001338F7"/>
    <w:rsid w:val="00141C3C"/>
    <w:rsid w:val="00141C6A"/>
    <w:rsid w:val="00152FFC"/>
    <w:rsid w:val="00153A80"/>
    <w:rsid w:val="00154A7F"/>
    <w:rsid w:val="001557D2"/>
    <w:rsid w:val="001602CF"/>
    <w:rsid w:val="00160F97"/>
    <w:rsid w:val="00163BA7"/>
    <w:rsid w:val="0017039D"/>
    <w:rsid w:val="00170606"/>
    <w:rsid w:val="00171B20"/>
    <w:rsid w:val="0017748C"/>
    <w:rsid w:val="00182309"/>
    <w:rsid w:val="0018281A"/>
    <w:rsid w:val="00194692"/>
    <w:rsid w:val="001A0CA0"/>
    <w:rsid w:val="001A0FD7"/>
    <w:rsid w:val="001A1E18"/>
    <w:rsid w:val="001B02E7"/>
    <w:rsid w:val="001B1855"/>
    <w:rsid w:val="001B5620"/>
    <w:rsid w:val="001B7902"/>
    <w:rsid w:val="001C272A"/>
    <w:rsid w:val="001C2ECC"/>
    <w:rsid w:val="001C3CA3"/>
    <w:rsid w:val="001C490B"/>
    <w:rsid w:val="001C6D78"/>
    <w:rsid w:val="001C6F24"/>
    <w:rsid w:val="001C7A4D"/>
    <w:rsid w:val="001D176B"/>
    <w:rsid w:val="001D3C2E"/>
    <w:rsid w:val="001D5190"/>
    <w:rsid w:val="001D5430"/>
    <w:rsid w:val="001E00B3"/>
    <w:rsid w:val="001E0982"/>
    <w:rsid w:val="001E12D2"/>
    <w:rsid w:val="001E1799"/>
    <w:rsid w:val="001E19A8"/>
    <w:rsid w:val="001E43E3"/>
    <w:rsid w:val="001E58CC"/>
    <w:rsid w:val="001E6D90"/>
    <w:rsid w:val="001E7242"/>
    <w:rsid w:val="001E7D6A"/>
    <w:rsid w:val="001F0C39"/>
    <w:rsid w:val="001F3EF8"/>
    <w:rsid w:val="001F46ED"/>
    <w:rsid w:val="001F6A45"/>
    <w:rsid w:val="00201F56"/>
    <w:rsid w:val="00202ADC"/>
    <w:rsid w:val="00204EF9"/>
    <w:rsid w:val="002060DC"/>
    <w:rsid w:val="002130E7"/>
    <w:rsid w:val="0021331B"/>
    <w:rsid w:val="002153D0"/>
    <w:rsid w:val="00217D64"/>
    <w:rsid w:val="00220712"/>
    <w:rsid w:val="00222AD4"/>
    <w:rsid w:val="0022451D"/>
    <w:rsid w:val="0022728C"/>
    <w:rsid w:val="00227F21"/>
    <w:rsid w:val="002303FA"/>
    <w:rsid w:val="002336D5"/>
    <w:rsid w:val="002343A5"/>
    <w:rsid w:val="00234F74"/>
    <w:rsid w:val="00237BAF"/>
    <w:rsid w:val="00240104"/>
    <w:rsid w:val="0024058B"/>
    <w:rsid w:val="002407A4"/>
    <w:rsid w:val="00241158"/>
    <w:rsid w:val="00242DF4"/>
    <w:rsid w:val="00243CF0"/>
    <w:rsid w:val="00247616"/>
    <w:rsid w:val="002520FE"/>
    <w:rsid w:val="0025558D"/>
    <w:rsid w:val="002557E3"/>
    <w:rsid w:val="00257799"/>
    <w:rsid w:val="00260B5F"/>
    <w:rsid w:val="00261102"/>
    <w:rsid w:val="00262286"/>
    <w:rsid w:val="00263351"/>
    <w:rsid w:val="00265A49"/>
    <w:rsid w:val="00267BCC"/>
    <w:rsid w:val="00270901"/>
    <w:rsid w:val="00270BB6"/>
    <w:rsid w:val="00272C5C"/>
    <w:rsid w:val="00273043"/>
    <w:rsid w:val="00273132"/>
    <w:rsid w:val="00273CD4"/>
    <w:rsid w:val="0027459E"/>
    <w:rsid w:val="00276820"/>
    <w:rsid w:val="0027720D"/>
    <w:rsid w:val="0027730A"/>
    <w:rsid w:val="002802FB"/>
    <w:rsid w:val="002867EC"/>
    <w:rsid w:val="00290107"/>
    <w:rsid w:val="00290F28"/>
    <w:rsid w:val="0029211E"/>
    <w:rsid w:val="002923F2"/>
    <w:rsid w:val="00294312"/>
    <w:rsid w:val="00296411"/>
    <w:rsid w:val="00297A95"/>
    <w:rsid w:val="002A08DB"/>
    <w:rsid w:val="002A0B3B"/>
    <w:rsid w:val="002A6995"/>
    <w:rsid w:val="002B0053"/>
    <w:rsid w:val="002B5066"/>
    <w:rsid w:val="002B5389"/>
    <w:rsid w:val="002C1A8F"/>
    <w:rsid w:val="002C3AD9"/>
    <w:rsid w:val="002C68E2"/>
    <w:rsid w:val="002C6EB0"/>
    <w:rsid w:val="002D0F59"/>
    <w:rsid w:val="002D4420"/>
    <w:rsid w:val="002D4968"/>
    <w:rsid w:val="002D64CE"/>
    <w:rsid w:val="002D7975"/>
    <w:rsid w:val="002E0D8A"/>
    <w:rsid w:val="002E1BE0"/>
    <w:rsid w:val="002E234B"/>
    <w:rsid w:val="002E4BED"/>
    <w:rsid w:val="002E598C"/>
    <w:rsid w:val="002F2161"/>
    <w:rsid w:val="002F32B2"/>
    <w:rsid w:val="002F3948"/>
    <w:rsid w:val="002F3EB7"/>
    <w:rsid w:val="002F4146"/>
    <w:rsid w:val="002F6A2B"/>
    <w:rsid w:val="002F7CAE"/>
    <w:rsid w:val="00300F5B"/>
    <w:rsid w:val="00305CD3"/>
    <w:rsid w:val="00307A22"/>
    <w:rsid w:val="00307E6D"/>
    <w:rsid w:val="003115F9"/>
    <w:rsid w:val="00314B8F"/>
    <w:rsid w:val="003150BA"/>
    <w:rsid w:val="00321424"/>
    <w:rsid w:val="00322598"/>
    <w:rsid w:val="00324C1E"/>
    <w:rsid w:val="003260EE"/>
    <w:rsid w:val="003309D1"/>
    <w:rsid w:val="003313D8"/>
    <w:rsid w:val="003322F4"/>
    <w:rsid w:val="00333391"/>
    <w:rsid w:val="00335929"/>
    <w:rsid w:val="00335EE4"/>
    <w:rsid w:val="00337F8C"/>
    <w:rsid w:val="003411D9"/>
    <w:rsid w:val="00341B26"/>
    <w:rsid w:val="003430C8"/>
    <w:rsid w:val="00345CC1"/>
    <w:rsid w:val="00347996"/>
    <w:rsid w:val="00347AED"/>
    <w:rsid w:val="0035009C"/>
    <w:rsid w:val="003501C9"/>
    <w:rsid w:val="003533CB"/>
    <w:rsid w:val="00353B82"/>
    <w:rsid w:val="00357B17"/>
    <w:rsid w:val="00357DB6"/>
    <w:rsid w:val="00357E2C"/>
    <w:rsid w:val="00361F8F"/>
    <w:rsid w:val="00363D3A"/>
    <w:rsid w:val="00366B41"/>
    <w:rsid w:val="00366FBF"/>
    <w:rsid w:val="0037071F"/>
    <w:rsid w:val="00373DF0"/>
    <w:rsid w:val="00376190"/>
    <w:rsid w:val="003770B3"/>
    <w:rsid w:val="00380CC7"/>
    <w:rsid w:val="00387BE4"/>
    <w:rsid w:val="00390F56"/>
    <w:rsid w:val="003A13FD"/>
    <w:rsid w:val="003A1596"/>
    <w:rsid w:val="003A2212"/>
    <w:rsid w:val="003A26F8"/>
    <w:rsid w:val="003A485B"/>
    <w:rsid w:val="003A56F8"/>
    <w:rsid w:val="003A66D9"/>
    <w:rsid w:val="003A7B5A"/>
    <w:rsid w:val="003B10FA"/>
    <w:rsid w:val="003B16DF"/>
    <w:rsid w:val="003B3C67"/>
    <w:rsid w:val="003B604B"/>
    <w:rsid w:val="003B6A48"/>
    <w:rsid w:val="003B6AB2"/>
    <w:rsid w:val="003C0187"/>
    <w:rsid w:val="003C01C9"/>
    <w:rsid w:val="003C1221"/>
    <w:rsid w:val="003C734E"/>
    <w:rsid w:val="003D0BCF"/>
    <w:rsid w:val="003D25D2"/>
    <w:rsid w:val="003D418C"/>
    <w:rsid w:val="003D4A3A"/>
    <w:rsid w:val="003D4ED6"/>
    <w:rsid w:val="003D691D"/>
    <w:rsid w:val="003E059E"/>
    <w:rsid w:val="003E3C31"/>
    <w:rsid w:val="003E68CA"/>
    <w:rsid w:val="003E7DD8"/>
    <w:rsid w:val="003F037C"/>
    <w:rsid w:val="003F1218"/>
    <w:rsid w:val="003F213A"/>
    <w:rsid w:val="003F5EAB"/>
    <w:rsid w:val="003F687B"/>
    <w:rsid w:val="004068CD"/>
    <w:rsid w:val="004069C3"/>
    <w:rsid w:val="00407CF3"/>
    <w:rsid w:val="004106B3"/>
    <w:rsid w:val="00414C73"/>
    <w:rsid w:val="00417BD8"/>
    <w:rsid w:val="004204CE"/>
    <w:rsid w:val="00421B3B"/>
    <w:rsid w:val="00423295"/>
    <w:rsid w:val="00425B69"/>
    <w:rsid w:val="00426170"/>
    <w:rsid w:val="00427C5B"/>
    <w:rsid w:val="00436EB4"/>
    <w:rsid w:val="004376AE"/>
    <w:rsid w:val="00441F92"/>
    <w:rsid w:val="0044377B"/>
    <w:rsid w:val="00447909"/>
    <w:rsid w:val="00452B95"/>
    <w:rsid w:val="00452BE8"/>
    <w:rsid w:val="00452DF6"/>
    <w:rsid w:val="0045572C"/>
    <w:rsid w:val="004557FA"/>
    <w:rsid w:val="0045711F"/>
    <w:rsid w:val="00460405"/>
    <w:rsid w:val="00460452"/>
    <w:rsid w:val="004615F1"/>
    <w:rsid w:val="00461A09"/>
    <w:rsid w:val="0046355E"/>
    <w:rsid w:val="00470F18"/>
    <w:rsid w:val="00471B82"/>
    <w:rsid w:val="004744C1"/>
    <w:rsid w:val="004745E3"/>
    <w:rsid w:val="0047641F"/>
    <w:rsid w:val="00476656"/>
    <w:rsid w:val="004818E4"/>
    <w:rsid w:val="004863F4"/>
    <w:rsid w:val="004901D9"/>
    <w:rsid w:val="00497378"/>
    <w:rsid w:val="004A2C5A"/>
    <w:rsid w:val="004A5861"/>
    <w:rsid w:val="004A5A6E"/>
    <w:rsid w:val="004A797C"/>
    <w:rsid w:val="004B042D"/>
    <w:rsid w:val="004B4B79"/>
    <w:rsid w:val="004B4EEE"/>
    <w:rsid w:val="004C03FF"/>
    <w:rsid w:val="004C0699"/>
    <w:rsid w:val="004C1140"/>
    <w:rsid w:val="004C171C"/>
    <w:rsid w:val="004C3C2D"/>
    <w:rsid w:val="004C478B"/>
    <w:rsid w:val="004C48A9"/>
    <w:rsid w:val="004C6373"/>
    <w:rsid w:val="004D1647"/>
    <w:rsid w:val="004D3034"/>
    <w:rsid w:val="004D451C"/>
    <w:rsid w:val="004D4ECA"/>
    <w:rsid w:val="004D669F"/>
    <w:rsid w:val="004D6F33"/>
    <w:rsid w:val="004D7322"/>
    <w:rsid w:val="004E006C"/>
    <w:rsid w:val="004E22E0"/>
    <w:rsid w:val="004E4A8C"/>
    <w:rsid w:val="004E7E9F"/>
    <w:rsid w:val="004F0D95"/>
    <w:rsid w:val="004F1D3E"/>
    <w:rsid w:val="004F1FC6"/>
    <w:rsid w:val="004F2D67"/>
    <w:rsid w:val="004F3D0C"/>
    <w:rsid w:val="004F6673"/>
    <w:rsid w:val="00500C3C"/>
    <w:rsid w:val="005016D0"/>
    <w:rsid w:val="00501B2C"/>
    <w:rsid w:val="005033B8"/>
    <w:rsid w:val="00505E2B"/>
    <w:rsid w:val="00506D09"/>
    <w:rsid w:val="005100EE"/>
    <w:rsid w:val="00510693"/>
    <w:rsid w:val="00510C34"/>
    <w:rsid w:val="00511B3D"/>
    <w:rsid w:val="005149DC"/>
    <w:rsid w:val="00516775"/>
    <w:rsid w:val="00516A28"/>
    <w:rsid w:val="0052033A"/>
    <w:rsid w:val="00522460"/>
    <w:rsid w:val="00522CB8"/>
    <w:rsid w:val="00523C68"/>
    <w:rsid w:val="0053009F"/>
    <w:rsid w:val="00535700"/>
    <w:rsid w:val="00535DB2"/>
    <w:rsid w:val="005400F6"/>
    <w:rsid w:val="00540A29"/>
    <w:rsid w:val="005410B1"/>
    <w:rsid w:val="0055065C"/>
    <w:rsid w:val="0055080D"/>
    <w:rsid w:val="00550E27"/>
    <w:rsid w:val="00552F05"/>
    <w:rsid w:val="005531AA"/>
    <w:rsid w:val="00553AD2"/>
    <w:rsid w:val="00554446"/>
    <w:rsid w:val="00554DDB"/>
    <w:rsid w:val="00554E18"/>
    <w:rsid w:val="00554F69"/>
    <w:rsid w:val="0055546D"/>
    <w:rsid w:val="005567CC"/>
    <w:rsid w:val="00556AC1"/>
    <w:rsid w:val="00560860"/>
    <w:rsid w:val="0056219F"/>
    <w:rsid w:val="00562281"/>
    <w:rsid w:val="00562F92"/>
    <w:rsid w:val="005713B8"/>
    <w:rsid w:val="00572C5A"/>
    <w:rsid w:val="00573E06"/>
    <w:rsid w:val="00575AEE"/>
    <w:rsid w:val="00575FBE"/>
    <w:rsid w:val="00576D81"/>
    <w:rsid w:val="00581961"/>
    <w:rsid w:val="00582838"/>
    <w:rsid w:val="00583AD5"/>
    <w:rsid w:val="0058459F"/>
    <w:rsid w:val="005901A0"/>
    <w:rsid w:val="005908AD"/>
    <w:rsid w:val="00591610"/>
    <w:rsid w:val="00591B55"/>
    <w:rsid w:val="00595042"/>
    <w:rsid w:val="005968C2"/>
    <w:rsid w:val="005979C0"/>
    <w:rsid w:val="005A02E2"/>
    <w:rsid w:val="005A0F87"/>
    <w:rsid w:val="005A7313"/>
    <w:rsid w:val="005B2EB1"/>
    <w:rsid w:val="005B52E0"/>
    <w:rsid w:val="005B5351"/>
    <w:rsid w:val="005B599C"/>
    <w:rsid w:val="005B7E25"/>
    <w:rsid w:val="005B7EA9"/>
    <w:rsid w:val="005C3D2B"/>
    <w:rsid w:val="005C4761"/>
    <w:rsid w:val="005D2612"/>
    <w:rsid w:val="005D31DB"/>
    <w:rsid w:val="005D7046"/>
    <w:rsid w:val="005D7C0A"/>
    <w:rsid w:val="005E07EA"/>
    <w:rsid w:val="005E3666"/>
    <w:rsid w:val="005E3A3D"/>
    <w:rsid w:val="005E482A"/>
    <w:rsid w:val="005F15C9"/>
    <w:rsid w:val="005F2CCE"/>
    <w:rsid w:val="005F7121"/>
    <w:rsid w:val="005F7CDE"/>
    <w:rsid w:val="00600175"/>
    <w:rsid w:val="006036C3"/>
    <w:rsid w:val="006047CA"/>
    <w:rsid w:val="00605C91"/>
    <w:rsid w:val="00606FAC"/>
    <w:rsid w:val="0060728C"/>
    <w:rsid w:val="0061271E"/>
    <w:rsid w:val="00613F68"/>
    <w:rsid w:val="00613FE5"/>
    <w:rsid w:val="006213AF"/>
    <w:rsid w:val="00621D59"/>
    <w:rsid w:val="00626E29"/>
    <w:rsid w:val="00626FCC"/>
    <w:rsid w:val="006273D1"/>
    <w:rsid w:val="00627F0A"/>
    <w:rsid w:val="00630CA4"/>
    <w:rsid w:val="0063309A"/>
    <w:rsid w:val="00642C39"/>
    <w:rsid w:val="0064481B"/>
    <w:rsid w:val="006448A5"/>
    <w:rsid w:val="00645359"/>
    <w:rsid w:val="006455E9"/>
    <w:rsid w:val="00646635"/>
    <w:rsid w:val="00653DB6"/>
    <w:rsid w:val="00654127"/>
    <w:rsid w:val="0065415F"/>
    <w:rsid w:val="00654600"/>
    <w:rsid w:val="00657DDC"/>
    <w:rsid w:val="00663199"/>
    <w:rsid w:val="00664D29"/>
    <w:rsid w:val="006654DF"/>
    <w:rsid w:val="00670EED"/>
    <w:rsid w:val="006710E3"/>
    <w:rsid w:val="00671180"/>
    <w:rsid w:val="006718F4"/>
    <w:rsid w:val="00671B4B"/>
    <w:rsid w:val="00672553"/>
    <w:rsid w:val="00673372"/>
    <w:rsid w:val="00673481"/>
    <w:rsid w:val="00673A97"/>
    <w:rsid w:val="00673C83"/>
    <w:rsid w:val="00675572"/>
    <w:rsid w:val="00676336"/>
    <w:rsid w:val="006806B2"/>
    <w:rsid w:val="0068176C"/>
    <w:rsid w:val="00682865"/>
    <w:rsid w:val="00682C94"/>
    <w:rsid w:val="0068637E"/>
    <w:rsid w:val="0068738D"/>
    <w:rsid w:val="00691EF4"/>
    <w:rsid w:val="00694957"/>
    <w:rsid w:val="006949B2"/>
    <w:rsid w:val="006A04BC"/>
    <w:rsid w:val="006A0E17"/>
    <w:rsid w:val="006A250E"/>
    <w:rsid w:val="006A2C0F"/>
    <w:rsid w:val="006A4463"/>
    <w:rsid w:val="006B5CD5"/>
    <w:rsid w:val="006B74E2"/>
    <w:rsid w:val="006B75B9"/>
    <w:rsid w:val="006C06FE"/>
    <w:rsid w:val="006C3334"/>
    <w:rsid w:val="006C394B"/>
    <w:rsid w:val="006D0E8E"/>
    <w:rsid w:val="006D1AAC"/>
    <w:rsid w:val="006D2722"/>
    <w:rsid w:val="006D3078"/>
    <w:rsid w:val="006D3361"/>
    <w:rsid w:val="006D3935"/>
    <w:rsid w:val="006D5C4B"/>
    <w:rsid w:val="006E2554"/>
    <w:rsid w:val="006E39D4"/>
    <w:rsid w:val="006E7B78"/>
    <w:rsid w:val="006F1B6F"/>
    <w:rsid w:val="006F76A0"/>
    <w:rsid w:val="007000EA"/>
    <w:rsid w:val="007011C7"/>
    <w:rsid w:val="0070531E"/>
    <w:rsid w:val="00705C37"/>
    <w:rsid w:val="007104D6"/>
    <w:rsid w:val="00711280"/>
    <w:rsid w:val="007125F1"/>
    <w:rsid w:val="00713070"/>
    <w:rsid w:val="007144D6"/>
    <w:rsid w:val="0071562F"/>
    <w:rsid w:val="00717A7D"/>
    <w:rsid w:val="00717CAD"/>
    <w:rsid w:val="00720E2A"/>
    <w:rsid w:val="007211AC"/>
    <w:rsid w:val="00723836"/>
    <w:rsid w:val="007251FF"/>
    <w:rsid w:val="00725C56"/>
    <w:rsid w:val="0073662F"/>
    <w:rsid w:val="007405BB"/>
    <w:rsid w:val="0074328F"/>
    <w:rsid w:val="00744B41"/>
    <w:rsid w:val="00746189"/>
    <w:rsid w:val="00751AE3"/>
    <w:rsid w:val="007524CC"/>
    <w:rsid w:val="00755A43"/>
    <w:rsid w:val="00757321"/>
    <w:rsid w:val="0076107C"/>
    <w:rsid w:val="007637F0"/>
    <w:rsid w:val="007643EF"/>
    <w:rsid w:val="00766408"/>
    <w:rsid w:val="00773AF6"/>
    <w:rsid w:val="0077480E"/>
    <w:rsid w:val="007749EE"/>
    <w:rsid w:val="00774B42"/>
    <w:rsid w:val="00775D66"/>
    <w:rsid w:val="00775F22"/>
    <w:rsid w:val="00775F5E"/>
    <w:rsid w:val="0077689F"/>
    <w:rsid w:val="00776E5F"/>
    <w:rsid w:val="007774F2"/>
    <w:rsid w:val="00786DC1"/>
    <w:rsid w:val="0079045E"/>
    <w:rsid w:val="00790475"/>
    <w:rsid w:val="00790C68"/>
    <w:rsid w:val="00794A25"/>
    <w:rsid w:val="00795D75"/>
    <w:rsid w:val="00797202"/>
    <w:rsid w:val="007975D4"/>
    <w:rsid w:val="007A133A"/>
    <w:rsid w:val="007A2131"/>
    <w:rsid w:val="007A3939"/>
    <w:rsid w:val="007A7947"/>
    <w:rsid w:val="007B02FC"/>
    <w:rsid w:val="007B07E1"/>
    <w:rsid w:val="007B0A01"/>
    <w:rsid w:val="007B1A64"/>
    <w:rsid w:val="007B20B4"/>
    <w:rsid w:val="007B2482"/>
    <w:rsid w:val="007B3CDF"/>
    <w:rsid w:val="007C4639"/>
    <w:rsid w:val="007D12B8"/>
    <w:rsid w:val="007D22AD"/>
    <w:rsid w:val="007D447C"/>
    <w:rsid w:val="007D606B"/>
    <w:rsid w:val="007E06D6"/>
    <w:rsid w:val="007E0744"/>
    <w:rsid w:val="007E0DF7"/>
    <w:rsid w:val="007E4B5B"/>
    <w:rsid w:val="007E4BAF"/>
    <w:rsid w:val="007E6322"/>
    <w:rsid w:val="007F0B46"/>
    <w:rsid w:val="007F0B6C"/>
    <w:rsid w:val="007F2393"/>
    <w:rsid w:val="007F2F78"/>
    <w:rsid w:val="007F2FC9"/>
    <w:rsid w:val="007F62D5"/>
    <w:rsid w:val="007F663E"/>
    <w:rsid w:val="007F6ACA"/>
    <w:rsid w:val="007F6D01"/>
    <w:rsid w:val="00802604"/>
    <w:rsid w:val="00802C9F"/>
    <w:rsid w:val="008071AF"/>
    <w:rsid w:val="00810746"/>
    <w:rsid w:val="00810CC0"/>
    <w:rsid w:val="008127F4"/>
    <w:rsid w:val="008128CF"/>
    <w:rsid w:val="008203D7"/>
    <w:rsid w:val="008229CE"/>
    <w:rsid w:val="0082352E"/>
    <w:rsid w:val="00823AE6"/>
    <w:rsid w:val="008255ED"/>
    <w:rsid w:val="00825CA7"/>
    <w:rsid w:val="0083085E"/>
    <w:rsid w:val="0083394D"/>
    <w:rsid w:val="00834928"/>
    <w:rsid w:val="00835A03"/>
    <w:rsid w:val="008373D9"/>
    <w:rsid w:val="008416AC"/>
    <w:rsid w:val="00842027"/>
    <w:rsid w:val="008506D6"/>
    <w:rsid w:val="00851468"/>
    <w:rsid w:val="008640D7"/>
    <w:rsid w:val="00864560"/>
    <w:rsid w:val="0086487B"/>
    <w:rsid w:val="0086618D"/>
    <w:rsid w:val="00866FF0"/>
    <w:rsid w:val="00867B6B"/>
    <w:rsid w:val="00870D37"/>
    <w:rsid w:val="00877683"/>
    <w:rsid w:val="008777F5"/>
    <w:rsid w:val="00882FDF"/>
    <w:rsid w:val="008838C9"/>
    <w:rsid w:val="00884A0D"/>
    <w:rsid w:val="00884BE2"/>
    <w:rsid w:val="00885F34"/>
    <w:rsid w:val="00892B93"/>
    <w:rsid w:val="008955C5"/>
    <w:rsid w:val="008959E3"/>
    <w:rsid w:val="008A17DA"/>
    <w:rsid w:val="008A33E5"/>
    <w:rsid w:val="008A475D"/>
    <w:rsid w:val="008A6288"/>
    <w:rsid w:val="008A6317"/>
    <w:rsid w:val="008B2D4D"/>
    <w:rsid w:val="008B4D8C"/>
    <w:rsid w:val="008B6971"/>
    <w:rsid w:val="008B6CB4"/>
    <w:rsid w:val="008B7883"/>
    <w:rsid w:val="008B7AA2"/>
    <w:rsid w:val="008C2D25"/>
    <w:rsid w:val="008C39C4"/>
    <w:rsid w:val="008C3ECD"/>
    <w:rsid w:val="008C4140"/>
    <w:rsid w:val="008C42F3"/>
    <w:rsid w:val="008C4C12"/>
    <w:rsid w:val="008C5900"/>
    <w:rsid w:val="008C620A"/>
    <w:rsid w:val="008D0C8F"/>
    <w:rsid w:val="008D4962"/>
    <w:rsid w:val="008E26A7"/>
    <w:rsid w:val="008E2CED"/>
    <w:rsid w:val="008E2D9A"/>
    <w:rsid w:val="008E3089"/>
    <w:rsid w:val="008E5085"/>
    <w:rsid w:val="008E6B71"/>
    <w:rsid w:val="008F0C08"/>
    <w:rsid w:val="008F0ED5"/>
    <w:rsid w:val="008F1BDA"/>
    <w:rsid w:val="008F2FE0"/>
    <w:rsid w:val="008F36AC"/>
    <w:rsid w:val="008F4A7A"/>
    <w:rsid w:val="008F53CE"/>
    <w:rsid w:val="008F6DD9"/>
    <w:rsid w:val="008F7CDB"/>
    <w:rsid w:val="009007DB"/>
    <w:rsid w:val="009012DC"/>
    <w:rsid w:val="00910ACD"/>
    <w:rsid w:val="00911DB3"/>
    <w:rsid w:val="00916B4D"/>
    <w:rsid w:val="00916E90"/>
    <w:rsid w:val="009241F1"/>
    <w:rsid w:val="0092513E"/>
    <w:rsid w:val="00926498"/>
    <w:rsid w:val="00931B64"/>
    <w:rsid w:val="0093285F"/>
    <w:rsid w:val="00932870"/>
    <w:rsid w:val="00933189"/>
    <w:rsid w:val="009358AD"/>
    <w:rsid w:val="009373A8"/>
    <w:rsid w:val="00937ADA"/>
    <w:rsid w:val="009404D8"/>
    <w:rsid w:val="00942937"/>
    <w:rsid w:val="00944FB2"/>
    <w:rsid w:val="009503F7"/>
    <w:rsid w:val="00951FB2"/>
    <w:rsid w:val="00953CF0"/>
    <w:rsid w:val="009614BF"/>
    <w:rsid w:val="009633EE"/>
    <w:rsid w:val="009651EE"/>
    <w:rsid w:val="00972F21"/>
    <w:rsid w:val="0097321F"/>
    <w:rsid w:val="00975926"/>
    <w:rsid w:val="009827D1"/>
    <w:rsid w:val="009836F7"/>
    <w:rsid w:val="009841E5"/>
    <w:rsid w:val="00986495"/>
    <w:rsid w:val="009929A7"/>
    <w:rsid w:val="009A0E11"/>
    <w:rsid w:val="009A4063"/>
    <w:rsid w:val="009A476D"/>
    <w:rsid w:val="009A6595"/>
    <w:rsid w:val="009A6CF8"/>
    <w:rsid w:val="009B18A2"/>
    <w:rsid w:val="009B1D47"/>
    <w:rsid w:val="009B2457"/>
    <w:rsid w:val="009B2505"/>
    <w:rsid w:val="009B308E"/>
    <w:rsid w:val="009B46CB"/>
    <w:rsid w:val="009C25E0"/>
    <w:rsid w:val="009C4191"/>
    <w:rsid w:val="009C61F4"/>
    <w:rsid w:val="009C7612"/>
    <w:rsid w:val="009D1B2E"/>
    <w:rsid w:val="009D3BD8"/>
    <w:rsid w:val="009D5193"/>
    <w:rsid w:val="009D6609"/>
    <w:rsid w:val="009D7EED"/>
    <w:rsid w:val="009E111B"/>
    <w:rsid w:val="009F0652"/>
    <w:rsid w:val="009F08D3"/>
    <w:rsid w:val="009F0B6F"/>
    <w:rsid w:val="009F1A34"/>
    <w:rsid w:val="009F32F8"/>
    <w:rsid w:val="009F334D"/>
    <w:rsid w:val="009F4154"/>
    <w:rsid w:val="009F4F57"/>
    <w:rsid w:val="009F5204"/>
    <w:rsid w:val="009F7FC3"/>
    <w:rsid w:val="00A00395"/>
    <w:rsid w:val="00A00576"/>
    <w:rsid w:val="00A103E9"/>
    <w:rsid w:val="00A1613C"/>
    <w:rsid w:val="00A16BB1"/>
    <w:rsid w:val="00A16BE6"/>
    <w:rsid w:val="00A20675"/>
    <w:rsid w:val="00A22504"/>
    <w:rsid w:val="00A22716"/>
    <w:rsid w:val="00A244B2"/>
    <w:rsid w:val="00A25ED3"/>
    <w:rsid w:val="00A26D92"/>
    <w:rsid w:val="00A309E3"/>
    <w:rsid w:val="00A33C06"/>
    <w:rsid w:val="00A42B9C"/>
    <w:rsid w:val="00A45928"/>
    <w:rsid w:val="00A46887"/>
    <w:rsid w:val="00A50E3F"/>
    <w:rsid w:val="00A519AE"/>
    <w:rsid w:val="00A51C12"/>
    <w:rsid w:val="00A540FA"/>
    <w:rsid w:val="00A54908"/>
    <w:rsid w:val="00A54D8D"/>
    <w:rsid w:val="00A57700"/>
    <w:rsid w:val="00A61681"/>
    <w:rsid w:val="00A6172D"/>
    <w:rsid w:val="00A62357"/>
    <w:rsid w:val="00A641BC"/>
    <w:rsid w:val="00A64510"/>
    <w:rsid w:val="00A6481A"/>
    <w:rsid w:val="00A71871"/>
    <w:rsid w:val="00A72558"/>
    <w:rsid w:val="00A7462B"/>
    <w:rsid w:val="00A7750E"/>
    <w:rsid w:val="00A77F5C"/>
    <w:rsid w:val="00A817EC"/>
    <w:rsid w:val="00A82E9F"/>
    <w:rsid w:val="00A9423B"/>
    <w:rsid w:val="00A9764F"/>
    <w:rsid w:val="00AA0D40"/>
    <w:rsid w:val="00AA0E5B"/>
    <w:rsid w:val="00AA0F32"/>
    <w:rsid w:val="00AA4405"/>
    <w:rsid w:val="00AA682D"/>
    <w:rsid w:val="00AA76A7"/>
    <w:rsid w:val="00AA7EF1"/>
    <w:rsid w:val="00AB11E8"/>
    <w:rsid w:val="00AB1F2A"/>
    <w:rsid w:val="00AB542A"/>
    <w:rsid w:val="00AB5446"/>
    <w:rsid w:val="00AB5D0D"/>
    <w:rsid w:val="00AB713C"/>
    <w:rsid w:val="00AB7348"/>
    <w:rsid w:val="00AC03A7"/>
    <w:rsid w:val="00AC1609"/>
    <w:rsid w:val="00AC3CDC"/>
    <w:rsid w:val="00AC659C"/>
    <w:rsid w:val="00AC7C79"/>
    <w:rsid w:val="00AD2529"/>
    <w:rsid w:val="00AD44F6"/>
    <w:rsid w:val="00AD527B"/>
    <w:rsid w:val="00AD5837"/>
    <w:rsid w:val="00AD5F51"/>
    <w:rsid w:val="00AD61CF"/>
    <w:rsid w:val="00AD65E2"/>
    <w:rsid w:val="00AD67E3"/>
    <w:rsid w:val="00AD68F8"/>
    <w:rsid w:val="00AD6AD7"/>
    <w:rsid w:val="00AE0054"/>
    <w:rsid w:val="00AE3083"/>
    <w:rsid w:val="00AE6230"/>
    <w:rsid w:val="00AE7CCB"/>
    <w:rsid w:val="00AF0D23"/>
    <w:rsid w:val="00AF17EE"/>
    <w:rsid w:val="00AF3723"/>
    <w:rsid w:val="00AF5064"/>
    <w:rsid w:val="00AF5AB2"/>
    <w:rsid w:val="00AF5F30"/>
    <w:rsid w:val="00AF73E1"/>
    <w:rsid w:val="00B01F73"/>
    <w:rsid w:val="00B02827"/>
    <w:rsid w:val="00B041A5"/>
    <w:rsid w:val="00B10833"/>
    <w:rsid w:val="00B11610"/>
    <w:rsid w:val="00B116B4"/>
    <w:rsid w:val="00B13AB7"/>
    <w:rsid w:val="00B14E45"/>
    <w:rsid w:val="00B22407"/>
    <w:rsid w:val="00B2322A"/>
    <w:rsid w:val="00B245C1"/>
    <w:rsid w:val="00B26C23"/>
    <w:rsid w:val="00B275EF"/>
    <w:rsid w:val="00B301B7"/>
    <w:rsid w:val="00B30DF0"/>
    <w:rsid w:val="00B32178"/>
    <w:rsid w:val="00B346B6"/>
    <w:rsid w:val="00B34855"/>
    <w:rsid w:val="00B37942"/>
    <w:rsid w:val="00B41026"/>
    <w:rsid w:val="00B4152A"/>
    <w:rsid w:val="00B430D3"/>
    <w:rsid w:val="00B43FAD"/>
    <w:rsid w:val="00B45A9E"/>
    <w:rsid w:val="00B45C84"/>
    <w:rsid w:val="00B46E5C"/>
    <w:rsid w:val="00B503DF"/>
    <w:rsid w:val="00B517F3"/>
    <w:rsid w:val="00B54453"/>
    <w:rsid w:val="00B5534D"/>
    <w:rsid w:val="00B55D4E"/>
    <w:rsid w:val="00B56F0B"/>
    <w:rsid w:val="00B5736F"/>
    <w:rsid w:val="00B576A3"/>
    <w:rsid w:val="00B60516"/>
    <w:rsid w:val="00B6083B"/>
    <w:rsid w:val="00B61260"/>
    <w:rsid w:val="00B62369"/>
    <w:rsid w:val="00B63759"/>
    <w:rsid w:val="00B64BB9"/>
    <w:rsid w:val="00B64FE0"/>
    <w:rsid w:val="00B65475"/>
    <w:rsid w:val="00B65B77"/>
    <w:rsid w:val="00B70C35"/>
    <w:rsid w:val="00B70CDC"/>
    <w:rsid w:val="00B712E9"/>
    <w:rsid w:val="00B73F69"/>
    <w:rsid w:val="00B76562"/>
    <w:rsid w:val="00B76683"/>
    <w:rsid w:val="00B87EAF"/>
    <w:rsid w:val="00B90D6A"/>
    <w:rsid w:val="00B90F63"/>
    <w:rsid w:val="00B925DC"/>
    <w:rsid w:val="00B92C3E"/>
    <w:rsid w:val="00B94D9C"/>
    <w:rsid w:val="00B94F91"/>
    <w:rsid w:val="00B97D78"/>
    <w:rsid w:val="00BA578D"/>
    <w:rsid w:val="00BA5B93"/>
    <w:rsid w:val="00BA7692"/>
    <w:rsid w:val="00BA7E54"/>
    <w:rsid w:val="00BB0964"/>
    <w:rsid w:val="00BB67B2"/>
    <w:rsid w:val="00BB6B51"/>
    <w:rsid w:val="00BB7328"/>
    <w:rsid w:val="00BB788F"/>
    <w:rsid w:val="00BC1FB3"/>
    <w:rsid w:val="00BC2670"/>
    <w:rsid w:val="00BC2D29"/>
    <w:rsid w:val="00BC51B7"/>
    <w:rsid w:val="00BC66CC"/>
    <w:rsid w:val="00BD2AA8"/>
    <w:rsid w:val="00BD3A0F"/>
    <w:rsid w:val="00BD6913"/>
    <w:rsid w:val="00BE18A8"/>
    <w:rsid w:val="00BE3350"/>
    <w:rsid w:val="00BE74F0"/>
    <w:rsid w:val="00BE7A8C"/>
    <w:rsid w:val="00BE7B79"/>
    <w:rsid w:val="00BF03E1"/>
    <w:rsid w:val="00BF11A5"/>
    <w:rsid w:val="00BF1836"/>
    <w:rsid w:val="00BF1D19"/>
    <w:rsid w:val="00BF2759"/>
    <w:rsid w:val="00BF295F"/>
    <w:rsid w:val="00BF3FA0"/>
    <w:rsid w:val="00BF4A6B"/>
    <w:rsid w:val="00BF6F80"/>
    <w:rsid w:val="00BF7DC5"/>
    <w:rsid w:val="00C00BA8"/>
    <w:rsid w:val="00C014D8"/>
    <w:rsid w:val="00C0216C"/>
    <w:rsid w:val="00C02F24"/>
    <w:rsid w:val="00C03AF9"/>
    <w:rsid w:val="00C051A2"/>
    <w:rsid w:val="00C0576F"/>
    <w:rsid w:val="00C059BD"/>
    <w:rsid w:val="00C05B74"/>
    <w:rsid w:val="00C07803"/>
    <w:rsid w:val="00C07FC7"/>
    <w:rsid w:val="00C11122"/>
    <w:rsid w:val="00C11B5F"/>
    <w:rsid w:val="00C11ED1"/>
    <w:rsid w:val="00C127E0"/>
    <w:rsid w:val="00C13768"/>
    <w:rsid w:val="00C1406A"/>
    <w:rsid w:val="00C164C9"/>
    <w:rsid w:val="00C2039B"/>
    <w:rsid w:val="00C20793"/>
    <w:rsid w:val="00C20E2A"/>
    <w:rsid w:val="00C262D5"/>
    <w:rsid w:val="00C26EFA"/>
    <w:rsid w:val="00C338D9"/>
    <w:rsid w:val="00C34110"/>
    <w:rsid w:val="00C35A2B"/>
    <w:rsid w:val="00C3718F"/>
    <w:rsid w:val="00C37CCC"/>
    <w:rsid w:val="00C45901"/>
    <w:rsid w:val="00C50DEC"/>
    <w:rsid w:val="00C54716"/>
    <w:rsid w:val="00C56AA8"/>
    <w:rsid w:val="00C608CE"/>
    <w:rsid w:val="00C61B47"/>
    <w:rsid w:val="00C6211E"/>
    <w:rsid w:val="00C63105"/>
    <w:rsid w:val="00C66D63"/>
    <w:rsid w:val="00C67E6C"/>
    <w:rsid w:val="00C70C5D"/>
    <w:rsid w:val="00C71EBB"/>
    <w:rsid w:val="00C72470"/>
    <w:rsid w:val="00C76891"/>
    <w:rsid w:val="00C8009B"/>
    <w:rsid w:val="00C81DDD"/>
    <w:rsid w:val="00C822F3"/>
    <w:rsid w:val="00C90A38"/>
    <w:rsid w:val="00C915F9"/>
    <w:rsid w:val="00C92396"/>
    <w:rsid w:val="00C94E93"/>
    <w:rsid w:val="00C96276"/>
    <w:rsid w:val="00C96B7B"/>
    <w:rsid w:val="00CA03C6"/>
    <w:rsid w:val="00CA0EFD"/>
    <w:rsid w:val="00CA166F"/>
    <w:rsid w:val="00CA4093"/>
    <w:rsid w:val="00CB1065"/>
    <w:rsid w:val="00CB20F7"/>
    <w:rsid w:val="00CB3062"/>
    <w:rsid w:val="00CB60ED"/>
    <w:rsid w:val="00CB614A"/>
    <w:rsid w:val="00CB6E0A"/>
    <w:rsid w:val="00CB73EF"/>
    <w:rsid w:val="00CB79F5"/>
    <w:rsid w:val="00CC36DD"/>
    <w:rsid w:val="00CC4A3C"/>
    <w:rsid w:val="00CC788C"/>
    <w:rsid w:val="00CD1DD7"/>
    <w:rsid w:val="00CD242B"/>
    <w:rsid w:val="00CD3224"/>
    <w:rsid w:val="00CD3FD4"/>
    <w:rsid w:val="00CD40B1"/>
    <w:rsid w:val="00CD4D3D"/>
    <w:rsid w:val="00CE1683"/>
    <w:rsid w:val="00CE3A78"/>
    <w:rsid w:val="00CE6548"/>
    <w:rsid w:val="00CE70C2"/>
    <w:rsid w:val="00CF2B6E"/>
    <w:rsid w:val="00CF4C2F"/>
    <w:rsid w:val="00CF6A01"/>
    <w:rsid w:val="00CF6F0F"/>
    <w:rsid w:val="00D005AA"/>
    <w:rsid w:val="00D0154C"/>
    <w:rsid w:val="00D020C9"/>
    <w:rsid w:val="00D02EB1"/>
    <w:rsid w:val="00D05367"/>
    <w:rsid w:val="00D05619"/>
    <w:rsid w:val="00D07C53"/>
    <w:rsid w:val="00D10056"/>
    <w:rsid w:val="00D1087F"/>
    <w:rsid w:val="00D11542"/>
    <w:rsid w:val="00D118BE"/>
    <w:rsid w:val="00D12088"/>
    <w:rsid w:val="00D12515"/>
    <w:rsid w:val="00D13AC6"/>
    <w:rsid w:val="00D17362"/>
    <w:rsid w:val="00D17AC4"/>
    <w:rsid w:val="00D21B1E"/>
    <w:rsid w:val="00D220CF"/>
    <w:rsid w:val="00D23093"/>
    <w:rsid w:val="00D25399"/>
    <w:rsid w:val="00D302B1"/>
    <w:rsid w:val="00D302BC"/>
    <w:rsid w:val="00D3061D"/>
    <w:rsid w:val="00D33A17"/>
    <w:rsid w:val="00D3455F"/>
    <w:rsid w:val="00D3465A"/>
    <w:rsid w:val="00D34ABA"/>
    <w:rsid w:val="00D43658"/>
    <w:rsid w:val="00D43998"/>
    <w:rsid w:val="00D43A71"/>
    <w:rsid w:val="00D43ABE"/>
    <w:rsid w:val="00D4427F"/>
    <w:rsid w:val="00D47B7F"/>
    <w:rsid w:val="00D518A0"/>
    <w:rsid w:val="00D6032B"/>
    <w:rsid w:val="00D66323"/>
    <w:rsid w:val="00D675EC"/>
    <w:rsid w:val="00D70FE0"/>
    <w:rsid w:val="00D72D77"/>
    <w:rsid w:val="00D73999"/>
    <w:rsid w:val="00D77836"/>
    <w:rsid w:val="00D8160F"/>
    <w:rsid w:val="00D8327D"/>
    <w:rsid w:val="00D8429F"/>
    <w:rsid w:val="00D85219"/>
    <w:rsid w:val="00D853E1"/>
    <w:rsid w:val="00D86716"/>
    <w:rsid w:val="00D868F5"/>
    <w:rsid w:val="00D87EB4"/>
    <w:rsid w:val="00D907C7"/>
    <w:rsid w:val="00D9370A"/>
    <w:rsid w:val="00D9549C"/>
    <w:rsid w:val="00DA24CB"/>
    <w:rsid w:val="00DA285E"/>
    <w:rsid w:val="00DA3171"/>
    <w:rsid w:val="00DA37F8"/>
    <w:rsid w:val="00DA3BC6"/>
    <w:rsid w:val="00DA40EA"/>
    <w:rsid w:val="00DA4BCD"/>
    <w:rsid w:val="00DA5136"/>
    <w:rsid w:val="00DA553C"/>
    <w:rsid w:val="00DA7206"/>
    <w:rsid w:val="00DA7C76"/>
    <w:rsid w:val="00DB37DB"/>
    <w:rsid w:val="00DB5C84"/>
    <w:rsid w:val="00DB63B4"/>
    <w:rsid w:val="00DC07BC"/>
    <w:rsid w:val="00DC10A5"/>
    <w:rsid w:val="00DC2006"/>
    <w:rsid w:val="00DC225C"/>
    <w:rsid w:val="00DC2B76"/>
    <w:rsid w:val="00DC2DFB"/>
    <w:rsid w:val="00DC6511"/>
    <w:rsid w:val="00DD4DF7"/>
    <w:rsid w:val="00DD5DB3"/>
    <w:rsid w:val="00DD7191"/>
    <w:rsid w:val="00DE2149"/>
    <w:rsid w:val="00DE43E7"/>
    <w:rsid w:val="00DE643D"/>
    <w:rsid w:val="00DF0559"/>
    <w:rsid w:val="00DF0896"/>
    <w:rsid w:val="00DF0EFA"/>
    <w:rsid w:val="00DF255E"/>
    <w:rsid w:val="00DF2DDB"/>
    <w:rsid w:val="00DF665F"/>
    <w:rsid w:val="00DF6E99"/>
    <w:rsid w:val="00DF6F5C"/>
    <w:rsid w:val="00DF7C61"/>
    <w:rsid w:val="00E0069B"/>
    <w:rsid w:val="00E0457D"/>
    <w:rsid w:val="00E04A44"/>
    <w:rsid w:val="00E0605A"/>
    <w:rsid w:val="00E06EAA"/>
    <w:rsid w:val="00E07661"/>
    <w:rsid w:val="00E12464"/>
    <w:rsid w:val="00E13092"/>
    <w:rsid w:val="00E158E2"/>
    <w:rsid w:val="00E1783E"/>
    <w:rsid w:val="00E17AB7"/>
    <w:rsid w:val="00E20C43"/>
    <w:rsid w:val="00E26465"/>
    <w:rsid w:val="00E3018E"/>
    <w:rsid w:val="00E334A9"/>
    <w:rsid w:val="00E34382"/>
    <w:rsid w:val="00E350DA"/>
    <w:rsid w:val="00E3603E"/>
    <w:rsid w:val="00E3757A"/>
    <w:rsid w:val="00E37766"/>
    <w:rsid w:val="00E43C1B"/>
    <w:rsid w:val="00E506D2"/>
    <w:rsid w:val="00E50F0C"/>
    <w:rsid w:val="00E51688"/>
    <w:rsid w:val="00E53DE9"/>
    <w:rsid w:val="00E55FBD"/>
    <w:rsid w:val="00E61611"/>
    <w:rsid w:val="00E616A1"/>
    <w:rsid w:val="00E61BCE"/>
    <w:rsid w:val="00E63053"/>
    <w:rsid w:val="00E63AA5"/>
    <w:rsid w:val="00E70941"/>
    <w:rsid w:val="00E72881"/>
    <w:rsid w:val="00E8301B"/>
    <w:rsid w:val="00E867E5"/>
    <w:rsid w:val="00E90287"/>
    <w:rsid w:val="00E92568"/>
    <w:rsid w:val="00E96C9B"/>
    <w:rsid w:val="00E96FFC"/>
    <w:rsid w:val="00E97EDE"/>
    <w:rsid w:val="00EA2E8E"/>
    <w:rsid w:val="00EA560A"/>
    <w:rsid w:val="00EA6803"/>
    <w:rsid w:val="00EA750D"/>
    <w:rsid w:val="00EA7ECD"/>
    <w:rsid w:val="00EB0527"/>
    <w:rsid w:val="00EB08D5"/>
    <w:rsid w:val="00EB31E7"/>
    <w:rsid w:val="00EB696A"/>
    <w:rsid w:val="00EC1B13"/>
    <w:rsid w:val="00EC3A95"/>
    <w:rsid w:val="00EC3E0A"/>
    <w:rsid w:val="00EC6D7F"/>
    <w:rsid w:val="00ED2276"/>
    <w:rsid w:val="00ED347C"/>
    <w:rsid w:val="00ED48C1"/>
    <w:rsid w:val="00ED5A08"/>
    <w:rsid w:val="00ED6117"/>
    <w:rsid w:val="00ED7B99"/>
    <w:rsid w:val="00EE09C6"/>
    <w:rsid w:val="00EE4C3E"/>
    <w:rsid w:val="00EE7B1D"/>
    <w:rsid w:val="00EE7FB8"/>
    <w:rsid w:val="00EF122A"/>
    <w:rsid w:val="00EF2E26"/>
    <w:rsid w:val="00EF33DE"/>
    <w:rsid w:val="00F01390"/>
    <w:rsid w:val="00F01E77"/>
    <w:rsid w:val="00F0287E"/>
    <w:rsid w:val="00F057F8"/>
    <w:rsid w:val="00F1196C"/>
    <w:rsid w:val="00F12644"/>
    <w:rsid w:val="00F14107"/>
    <w:rsid w:val="00F14203"/>
    <w:rsid w:val="00F2091E"/>
    <w:rsid w:val="00F21211"/>
    <w:rsid w:val="00F235C6"/>
    <w:rsid w:val="00F24BEB"/>
    <w:rsid w:val="00F2509B"/>
    <w:rsid w:val="00F26E22"/>
    <w:rsid w:val="00F278AB"/>
    <w:rsid w:val="00F313C9"/>
    <w:rsid w:val="00F32868"/>
    <w:rsid w:val="00F32B62"/>
    <w:rsid w:val="00F32F94"/>
    <w:rsid w:val="00F33E15"/>
    <w:rsid w:val="00F37050"/>
    <w:rsid w:val="00F400E4"/>
    <w:rsid w:val="00F4159F"/>
    <w:rsid w:val="00F44174"/>
    <w:rsid w:val="00F47053"/>
    <w:rsid w:val="00F51A07"/>
    <w:rsid w:val="00F5223E"/>
    <w:rsid w:val="00F527CE"/>
    <w:rsid w:val="00F53924"/>
    <w:rsid w:val="00F6017C"/>
    <w:rsid w:val="00F63763"/>
    <w:rsid w:val="00F642D6"/>
    <w:rsid w:val="00F71738"/>
    <w:rsid w:val="00F72698"/>
    <w:rsid w:val="00F74BED"/>
    <w:rsid w:val="00F75B50"/>
    <w:rsid w:val="00F75C2C"/>
    <w:rsid w:val="00F76574"/>
    <w:rsid w:val="00F76EED"/>
    <w:rsid w:val="00F77424"/>
    <w:rsid w:val="00F8196E"/>
    <w:rsid w:val="00F81CDF"/>
    <w:rsid w:val="00F81F8B"/>
    <w:rsid w:val="00F82850"/>
    <w:rsid w:val="00F82C36"/>
    <w:rsid w:val="00F82D2B"/>
    <w:rsid w:val="00F841A4"/>
    <w:rsid w:val="00F848AC"/>
    <w:rsid w:val="00F85297"/>
    <w:rsid w:val="00F868CB"/>
    <w:rsid w:val="00F86ACF"/>
    <w:rsid w:val="00F86B9E"/>
    <w:rsid w:val="00F87476"/>
    <w:rsid w:val="00F91F66"/>
    <w:rsid w:val="00F923C4"/>
    <w:rsid w:val="00F9374A"/>
    <w:rsid w:val="00F94884"/>
    <w:rsid w:val="00F95D84"/>
    <w:rsid w:val="00F969FA"/>
    <w:rsid w:val="00F97514"/>
    <w:rsid w:val="00FA01ED"/>
    <w:rsid w:val="00FA249F"/>
    <w:rsid w:val="00FA43B0"/>
    <w:rsid w:val="00FA4A0F"/>
    <w:rsid w:val="00FB26B2"/>
    <w:rsid w:val="00FB2D64"/>
    <w:rsid w:val="00FB56B6"/>
    <w:rsid w:val="00FB6C08"/>
    <w:rsid w:val="00FB7500"/>
    <w:rsid w:val="00FC2D23"/>
    <w:rsid w:val="00FC408D"/>
    <w:rsid w:val="00FC423D"/>
    <w:rsid w:val="00FC554D"/>
    <w:rsid w:val="00FC5F04"/>
    <w:rsid w:val="00FD02BE"/>
    <w:rsid w:val="00FD0DDC"/>
    <w:rsid w:val="00FD21E8"/>
    <w:rsid w:val="00FD4802"/>
    <w:rsid w:val="00FD5A9D"/>
    <w:rsid w:val="00FD673E"/>
    <w:rsid w:val="00FE3EEB"/>
    <w:rsid w:val="00FE3FD8"/>
    <w:rsid w:val="00FE5432"/>
    <w:rsid w:val="00FE5629"/>
    <w:rsid w:val="00FF239A"/>
    <w:rsid w:val="00FF2460"/>
    <w:rsid w:val="00FF26EF"/>
    <w:rsid w:val="00FF52EF"/>
    <w:rsid w:val="00FF5C15"/>
    <w:rsid w:val="00FF5DC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0076b0"/>
    </o:shapedefaults>
    <o:shapelayout v:ext="edit">
      <o:idmap v:ext="edit" data="2"/>
    </o:shapelayout>
  </w:shapeDefaults>
  <w:decimalSymbol w:val=","/>
  <w:listSeparator w:val=";"/>
  <w14:docId w14:val="47FCBA3C"/>
  <w15:docId w15:val="{F29B1ABA-AE73-40B2-9A7D-0C8E45E471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8A6288"/>
  </w:style>
  <w:style w:type="paragraph" w:styleId="Cmsor1">
    <w:name w:val="heading 1"/>
    <w:basedOn w:val="Norml"/>
    <w:next w:val="Norml"/>
    <w:link w:val="Cmsor1Char"/>
    <w:uiPriority w:val="9"/>
    <w:qFormat/>
    <w:rsid w:val="00CE1683"/>
    <w:pPr>
      <w:keepNext/>
      <w:keepLines/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244061" w:themeColor="accent1" w:themeShade="80"/>
      <w:sz w:val="36"/>
      <w:szCs w:val="36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CE1683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CE1683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CE168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CE1683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aps/>
      <w:color w:val="365F91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CE1683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aps/>
      <w:color w:val="244061" w:themeColor="accent1" w:themeShade="80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CE1683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bCs/>
      <w:color w:val="244061" w:themeColor="accent1" w:themeShade="80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CE1683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i/>
      <w:iCs/>
      <w:color w:val="244061" w:themeColor="accent1" w:themeShade="80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CE1683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44061" w:themeColor="accent1" w:themeShade="8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D6632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uborkszvegChar">
    <w:name w:val="Buborékszöveg Char"/>
    <w:link w:val="Buborkszveg"/>
    <w:uiPriority w:val="99"/>
    <w:semiHidden/>
    <w:rsid w:val="00D66323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6036C3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rsid w:val="006036C3"/>
    <w:rPr>
      <w:sz w:val="22"/>
      <w:szCs w:val="22"/>
      <w:lang w:eastAsia="en-US"/>
    </w:rPr>
  </w:style>
  <w:style w:type="paragraph" w:styleId="llb">
    <w:name w:val="footer"/>
    <w:basedOn w:val="Norml"/>
    <w:link w:val="llbChar"/>
    <w:uiPriority w:val="99"/>
    <w:unhideWhenUsed/>
    <w:rsid w:val="006036C3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uiPriority w:val="99"/>
    <w:rsid w:val="006036C3"/>
    <w:rPr>
      <w:sz w:val="22"/>
      <w:szCs w:val="22"/>
      <w:lang w:eastAsia="en-US"/>
    </w:rPr>
  </w:style>
  <w:style w:type="character" w:styleId="Hiperhivatkozs">
    <w:name w:val="Hyperlink"/>
    <w:uiPriority w:val="99"/>
    <w:unhideWhenUsed/>
    <w:rsid w:val="00717CAD"/>
    <w:rPr>
      <w:color w:val="0000FF"/>
      <w:u w:val="single"/>
    </w:rPr>
  </w:style>
  <w:style w:type="table" w:styleId="Rcsostblzat">
    <w:name w:val="Table Grid"/>
    <w:basedOn w:val="Normltblzat"/>
    <w:uiPriority w:val="39"/>
    <w:rsid w:val="005A02E2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lWeb">
    <w:name w:val="Normal (Web)"/>
    <w:basedOn w:val="Norml"/>
    <w:uiPriority w:val="99"/>
    <w:unhideWhenUsed/>
    <w:rsid w:val="00EB08D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Cmsor1Char">
    <w:name w:val="Címsor 1 Char"/>
    <w:basedOn w:val="Bekezdsalapbettpusa"/>
    <w:link w:val="Cmsor1"/>
    <w:uiPriority w:val="9"/>
    <w:rsid w:val="00CE1683"/>
    <w:rPr>
      <w:rFonts w:asciiTheme="majorHAnsi" w:eastAsiaTheme="majorEastAsia" w:hAnsiTheme="majorHAnsi" w:cstheme="majorBidi"/>
      <w:color w:val="244061" w:themeColor="accent1" w:themeShade="80"/>
      <w:sz w:val="36"/>
      <w:szCs w:val="36"/>
    </w:rPr>
  </w:style>
  <w:style w:type="paragraph" w:styleId="Listaszerbekezds">
    <w:name w:val="List Paragraph"/>
    <w:basedOn w:val="Norml"/>
    <w:uiPriority w:val="34"/>
    <w:qFormat/>
    <w:rsid w:val="008955C5"/>
    <w:pPr>
      <w:ind w:left="720"/>
      <w:contextualSpacing/>
    </w:pPr>
  </w:style>
  <w:style w:type="paragraph" w:styleId="Vgjegyzetszvege">
    <w:name w:val="endnote text"/>
    <w:basedOn w:val="Norml"/>
    <w:link w:val="VgjegyzetszvegeChar"/>
    <w:uiPriority w:val="99"/>
    <w:semiHidden/>
    <w:unhideWhenUsed/>
    <w:rsid w:val="00D07C53"/>
    <w:pPr>
      <w:spacing w:after="0" w:line="240" w:lineRule="auto"/>
    </w:pPr>
    <w:rPr>
      <w:rFonts w:eastAsiaTheme="minorHAnsi"/>
      <w:sz w:val="20"/>
      <w:szCs w:val="20"/>
    </w:rPr>
  </w:style>
  <w:style w:type="character" w:customStyle="1" w:styleId="VgjegyzetszvegeChar">
    <w:name w:val="Végjegyzet szövege Char"/>
    <w:basedOn w:val="Bekezdsalapbettpusa"/>
    <w:link w:val="Vgjegyzetszvege"/>
    <w:uiPriority w:val="99"/>
    <w:semiHidden/>
    <w:rsid w:val="00D07C53"/>
    <w:rPr>
      <w:rFonts w:asciiTheme="minorHAnsi" w:eastAsiaTheme="minorHAnsi" w:hAnsiTheme="minorHAnsi" w:cstheme="minorBidi"/>
      <w:lang w:eastAsia="en-US"/>
    </w:rPr>
  </w:style>
  <w:style w:type="character" w:styleId="Vgjegyzet-hivatkozs">
    <w:name w:val="endnote reference"/>
    <w:basedOn w:val="Bekezdsalapbettpusa"/>
    <w:uiPriority w:val="99"/>
    <w:semiHidden/>
    <w:unhideWhenUsed/>
    <w:rsid w:val="00D07C53"/>
    <w:rPr>
      <w:vertAlign w:val="superscript"/>
    </w:rPr>
  </w:style>
  <w:style w:type="character" w:styleId="Helyrzszveg">
    <w:name w:val="Placeholder Text"/>
    <w:basedOn w:val="Bekezdsalapbettpusa"/>
    <w:uiPriority w:val="99"/>
    <w:semiHidden/>
    <w:rsid w:val="00D07C53"/>
    <w:rPr>
      <w:color w:val="808080"/>
    </w:rPr>
  </w:style>
  <w:style w:type="character" w:customStyle="1" w:styleId="st1">
    <w:name w:val="st1"/>
    <w:basedOn w:val="Bekezdsalapbettpusa"/>
    <w:rsid w:val="00B041A5"/>
  </w:style>
  <w:style w:type="table" w:customStyle="1" w:styleId="TableGrid1">
    <w:name w:val="Table Grid1"/>
    <w:basedOn w:val="Normltblzat"/>
    <w:next w:val="Rcsostblzat"/>
    <w:rsid w:val="004A5A6E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zvegtrzs">
    <w:name w:val="Body Text"/>
    <w:aliases w:val="bt,Body Text - Level 2,block,Body text,B,heading3"/>
    <w:basedOn w:val="Norml"/>
    <w:link w:val="SzvegtrzsChar"/>
    <w:rsid w:val="00AA682D"/>
    <w:pPr>
      <w:spacing w:after="260" w:line="260" w:lineRule="atLeast"/>
      <w:jc w:val="both"/>
    </w:pPr>
    <w:rPr>
      <w:rFonts w:eastAsia="Times New Roman"/>
      <w:szCs w:val="20"/>
      <w:lang w:val="en-GB"/>
    </w:rPr>
  </w:style>
  <w:style w:type="character" w:customStyle="1" w:styleId="SzvegtrzsChar">
    <w:name w:val="Szövegtörzs Char"/>
    <w:aliases w:val="bt Char,Body Text - Level 2 Char,block Char,Body text Char,B Char,heading3 Char"/>
    <w:basedOn w:val="Bekezdsalapbettpusa"/>
    <w:link w:val="Szvegtrzs"/>
    <w:rsid w:val="00AA682D"/>
    <w:rPr>
      <w:rFonts w:eastAsia="Times New Roman"/>
      <w:sz w:val="22"/>
      <w:lang w:val="en-GB" w:eastAsia="en-US"/>
    </w:rPr>
  </w:style>
  <w:style w:type="table" w:customStyle="1" w:styleId="Rcsostblzat1">
    <w:name w:val="Rácsos táblázat1"/>
    <w:basedOn w:val="Normltblzat"/>
    <w:next w:val="Rcsostblzat"/>
    <w:uiPriority w:val="39"/>
    <w:rsid w:val="00877683"/>
    <w:rPr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csostblzat2">
    <w:name w:val="Rácsos táblázat2"/>
    <w:basedOn w:val="Normltblzat"/>
    <w:next w:val="Rcsostblzat"/>
    <w:uiPriority w:val="39"/>
    <w:rsid w:val="00B301B7"/>
    <w:rPr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csostblzat3">
    <w:name w:val="Rácsos táblázat3"/>
    <w:basedOn w:val="Normltblzat"/>
    <w:next w:val="Rcsostblzat"/>
    <w:uiPriority w:val="39"/>
    <w:rsid w:val="004C478B"/>
    <w:rPr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msor2Char">
    <w:name w:val="Címsor 2 Char"/>
    <w:basedOn w:val="Bekezdsalapbettpusa"/>
    <w:link w:val="Cmsor2"/>
    <w:uiPriority w:val="9"/>
    <w:semiHidden/>
    <w:rsid w:val="00CE1683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CE1683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styleId="Jegyzethivatkozs">
    <w:name w:val="annotation reference"/>
    <w:basedOn w:val="Bekezdsalapbettpusa"/>
    <w:uiPriority w:val="99"/>
    <w:semiHidden/>
    <w:unhideWhenUsed/>
    <w:rsid w:val="003B6AB2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3B6AB2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3B6AB2"/>
    <w:rPr>
      <w:lang w:eastAsia="en-US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3B6AB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3B6AB2"/>
    <w:rPr>
      <w:b/>
      <w:bCs/>
      <w:lang w:eastAsia="en-US"/>
    </w:rPr>
  </w:style>
  <w:style w:type="paragraph" w:styleId="Tartalomjegyzkcmsora">
    <w:name w:val="TOC Heading"/>
    <w:basedOn w:val="Cmsor1"/>
    <w:next w:val="Norml"/>
    <w:uiPriority w:val="39"/>
    <w:unhideWhenUsed/>
    <w:qFormat/>
    <w:rsid w:val="00CE1683"/>
    <w:pPr>
      <w:outlineLvl w:val="9"/>
    </w:pPr>
  </w:style>
  <w:style w:type="paragraph" w:styleId="TJ1">
    <w:name w:val="toc 1"/>
    <w:basedOn w:val="Norml"/>
    <w:next w:val="Norml"/>
    <w:autoRedefine/>
    <w:uiPriority w:val="39"/>
    <w:unhideWhenUsed/>
    <w:rsid w:val="00F97514"/>
    <w:pPr>
      <w:tabs>
        <w:tab w:val="left" w:pos="440"/>
        <w:tab w:val="right" w:leader="dot" w:pos="9629"/>
      </w:tabs>
      <w:spacing w:after="100"/>
    </w:pPr>
  </w:style>
  <w:style w:type="paragraph" w:styleId="TJ2">
    <w:name w:val="toc 2"/>
    <w:basedOn w:val="Norml"/>
    <w:next w:val="Norml"/>
    <w:autoRedefine/>
    <w:uiPriority w:val="39"/>
    <w:unhideWhenUsed/>
    <w:rsid w:val="00CC36DD"/>
    <w:pPr>
      <w:spacing w:after="100"/>
      <w:ind w:left="220"/>
    </w:pPr>
  </w:style>
  <w:style w:type="character" w:customStyle="1" w:styleId="Cmsor4Char">
    <w:name w:val="Címsor 4 Char"/>
    <w:basedOn w:val="Bekezdsalapbettpusa"/>
    <w:link w:val="Cmsor4"/>
    <w:uiPriority w:val="9"/>
    <w:semiHidden/>
    <w:rsid w:val="00CE1683"/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CE1683"/>
    <w:rPr>
      <w:rFonts w:asciiTheme="majorHAnsi" w:eastAsiaTheme="majorEastAsia" w:hAnsiTheme="majorHAnsi" w:cstheme="majorBidi"/>
      <w:caps/>
      <w:color w:val="365F91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CE1683"/>
    <w:rPr>
      <w:rFonts w:asciiTheme="majorHAnsi" w:eastAsiaTheme="majorEastAsia" w:hAnsiTheme="majorHAnsi" w:cstheme="majorBidi"/>
      <w:i/>
      <w:iCs/>
      <w:caps/>
      <w:color w:val="244061" w:themeColor="accent1" w:themeShade="80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CE1683"/>
    <w:rPr>
      <w:rFonts w:asciiTheme="majorHAnsi" w:eastAsiaTheme="majorEastAsia" w:hAnsiTheme="majorHAnsi" w:cstheme="majorBidi"/>
      <w:b/>
      <w:bCs/>
      <w:color w:val="244061" w:themeColor="accent1" w:themeShade="80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CE1683"/>
    <w:rPr>
      <w:rFonts w:asciiTheme="majorHAnsi" w:eastAsiaTheme="majorEastAsia" w:hAnsiTheme="majorHAnsi" w:cstheme="majorBidi"/>
      <w:b/>
      <w:bCs/>
      <w:i/>
      <w:iCs/>
      <w:color w:val="244061" w:themeColor="accent1" w:themeShade="80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CE1683"/>
    <w:rPr>
      <w:rFonts w:asciiTheme="majorHAnsi" w:eastAsiaTheme="majorEastAsia" w:hAnsiTheme="majorHAnsi" w:cstheme="majorBidi"/>
      <w:i/>
      <w:iCs/>
      <w:color w:val="244061" w:themeColor="accent1" w:themeShade="80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CE1683"/>
    <w:pPr>
      <w:spacing w:line="240" w:lineRule="auto"/>
    </w:pPr>
    <w:rPr>
      <w:b/>
      <w:bCs/>
      <w:smallCaps/>
      <w:color w:val="1F497D" w:themeColor="text2"/>
    </w:rPr>
  </w:style>
  <w:style w:type="paragraph" w:styleId="Cm">
    <w:name w:val="Title"/>
    <w:basedOn w:val="Norml"/>
    <w:next w:val="Norml"/>
    <w:link w:val="CmChar"/>
    <w:uiPriority w:val="10"/>
    <w:qFormat/>
    <w:rsid w:val="00CE1683"/>
    <w:pPr>
      <w:spacing w:after="0" w:line="204" w:lineRule="auto"/>
      <w:contextualSpacing/>
    </w:pPr>
    <w:rPr>
      <w:rFonts w:asciiTheme="majorHAnsi" w:eastAsiaTheme="majorEastAsia" w:hAnsiTheme="majorHAnsi" w:cstheme="majorBidi"/>
      <w:caps/>
      <w:color w:val="1F497D" w:themeColor="text2"/>
      <w:spacing w:val="-15"/>
      <w:sz w:val="72"/>
      <w:szCs w:val="72"/>
    </w:rPr>
  </w:style>
  <w:style w:type="character" w:customStyle="1" w:styleId="CmChar">
    <w:name w:val="Cím Char"/>
    <w:basedOn w:val="Bekezdsalapbettpusa"/>
    <w:link w:val="Cm"/>
    <w:uiPriority w:val="10"/>
    <w:rsid w:val="00CE1683"/>
    <w:rPr>
      <w:rFonts w:asciiTheme="majorHAnsi" w:eastAsiaTheme="majorEastAsia" w:hAnsiTheme="majorHAnsi" w:cstheme="majorBidi"/>
      <w:caps/>
      <w:color w:val="1F497D" w:themeColor="text2"/>
      <w:spacing w:val="-15"/>
      <w:sz w:val="72"/>
      <w:szCs w:val="72"/>
    </w:rPr>
  </w:style>
  <w:style w:type="paragraph" w:styleId="Alcm">
    <w:name w:val="Subtitle"/>
    <w:basedOn w:val="Norml"/>
    <w:next w:val="Norml"/>
    <w:link w:val="AlcmChar"/>
    <w:uiPriority w:val="11"/>
    <w:qFormat/>
    <w:rsid w:val="00CE1683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CE1683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Kiemels2">
    <w:name w:val="Strong"/>
    <w:basedOn w:val="Bekezdsalapbettpusa"/>
    <w:uiPriority w:val="22"/>
    <w:qFormat/>
    <w:rsid w:val="00CE1683"/>
    <w:rPr>
      <w:b/>
      <w:bCs/>
    </w:rPr>
  </w:style>
  <w:style w:type="character" w:styleId="Kiemels">
    <w:name w:val="Emphasis"/>
    <w:basedOn w:val="Bekezdsalapbettpusa"/>
    <w:uiPriority w:val="20"/>
    <w:qFormat/>
    <w:rsid w:val="00CE1683"/>
    <w:rPr>
      <w:i/>
      <w:iCs/>
    </w:rPr>
  </w:style>
  <w:style w:type="paragraph" w:styleId="Nincstrkz">
    <w:name w:val="No Spacing"/>
    <w:uiPriority w:val="1"/>
    <w:qFormat/>
    <w:rsid w:val="00CE1683"/>
    <w:pPr>
      <w:spacing w:after="0" w:line="240" w:lineRule="auto"/>
    </w:pPr>
  </w:style>
  <w:style w:type="paragraph" w:styleId="Idzet">
    <w:name w:val="Quote"/>
    <w:basedOn w:val="Norml"/>
    <w:next w:val="Norml"/>
    <w:link w:val="IdzetChar"/>
    <w:uiPriority w:val="29"/>
    <w:qFormat/>
    <w:rsid w:val="00CE1683"/>
    <w:pPr>
      <w:spacing w:before="120" w:after="120"/>
      <w:ind w:left="720"/>
    </w:pPr>
    <w:rPr>
      <w:color w:val="1F497D" w:themeColor="text2"/>
      <w:sz w:val="24"/>
      <w:szCs w:val="24"/>
    </w:rPr>
  </w:style>
  <w:style w:type="character" w:customStyle="1" w:styleId="IdzetChar">
    <w:name w:val="Idézet Char"/>
    <w:basedOn w:val="Bekezdsalapbettpusa"/>
    <w:link w:val="Idzet"/>
    <w:uiPriority w:val="29"/>
    <w:rsid w:val="00CE1683"/>
    <w:rPr>
      <w:color w:val="1F497D" w:themeColor="text2"/>
      <w:sz w:val="24"/>
      <w:szCs w:val="24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CE1683"/>
    <w:pPr>
      <w:spacing w:before="100" w:beforeAutospacing="1" w:after="240" w:line="240" w:lineRule="auto"/>
      <w:ind w:left="720"/>
      <w:jc w:val="center"/>
    </w:pPr>
    <w:rPr>
      <w:rFonts w:asciiTheme="majorHAnsi" w:eastAsiaTheme="majorEastAsia" w:hAnsiTheme="majorHAnsi" w:cstheme="majorBidi"/>
      <w:color w:val="1F497D" w:themeColor="text2"/>
      <w:spacing w:val="-6"/>
      <w:sz w:val="32"/>
      <w:szCs w:val="32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CE1683"/>
    <w:rPr>
      <w:rFonts w:asciiTheme="majorHAnsi" w:eastAsiaTheme="majorEastAsia" w:hAnsiTheme="majorHAnsi" w:cstheme="majorBidi"/>
      <w:color w:val="1F497D" w:themeColor="text2"/>
      <w:spacing w:val="-6"/>
      <w:sz w:val="32"/>
      <w:szCs w:val="32"/>
    </w:rPr>
  </w:style>
  <w:style w:type="character" w:styleId="Finomkiemels">
    <w:name w:val="Subtle Emphasis"/>
    <w:basedOn w:val="Bekezdsalapbettpusa"/>
    <w:uiPriority w:val="19"/>
    <w:qFormat/>
    <w:rsid w:val="00CE1683"/>
    <w:rPr>
      <w:i/>
      <w:iCs/>
      <w:color w:val="595959" w:themeColor="text1" w:themeTint="A6"/>
    </w:rPr>
  </w:style>
  <w:style w:type="character" w:styleId="Erskiemels">
    <w:name w:val="Intense Emphasis"/>
    <w:basedOn w:val="Bekezdsalapbettpusa"/>
    <w:uiPriority w:val="21"/>
    <w:qFormat/>
    <w:rsid w:val="00CE1683"/>
    <w:rPr>
      <w:b/>
      <w:bCs/>
      <w:i/>
      <w:iCs/>
    </w:rPr>
  </w:style>
  <w:style w:type="character" w:styleId="Finomhivatkozs">
    <w:name w:val="Subtle Reference"/>
    <w:basedOn w:val="Bekezdsalapbettpusa"/>
    <w:uiPriority w:val="31"/>
    <w:qFormat/>
    <w:rsid w:val="00CE1683"/>
    <w:rPr>
      <w:smallCaps/>
      <w:color w:val="595959" w:themeColor="text1" w:themeTint="A6"/>
      <w:u w:val="none" w:color="7F7F7F" w:themeColor="text1" w:themeTint="80"/>
      <w:bdr w:val="none" w:sz="0" w:space="0" w:color="auto"/>
    </w:rPr>
  </w:style>
  <w:style w:type="character" w:styleId="Ershivatkozs">
    <w:name w:val="Intense Reference"/>
    <w:basedOn w:val="Bekezdsalapbettpusa"/>
    <w:uiPriority w:val="32"/>
    <w:qFormat/>
    <w:rsid w:val="00CE1683"/>
    <w:rPr>
      <w:b/>
      <w:bCs/>
      <w:smallCaps/>
      <w:color w:val="1F497D" w:themeColor="text2"/>
      <w:u w:val="single"/>
    </w:rPr>
  </w:style>
  <w:style w:type="character" w:styleId="Knyvcme">
    <w:name w:val="Book Title"/>
    <w:basedOn w:val="Bekezdsalapbettpusa"/>
    <w:uiPriority w:val="33"/>
    <w:qFormat/>
    <w:rsid w:val="00CE1683"/>
    <w:rPr>
      <w:b/>
      <w:bCs/>
      <w:smallCaps/>
      <w:spacing w:val="10"/>
    </w:rPr>
  </w:style>
  <w:style w:type="paragraph" w:styleId="TJ3">
    <w:name w:val="toc 3"/>
    <w:basedOn w:val="Norml"/>
    <w:next w:val="Norml"/>
    <w:autoRedefine/>
    <w:uiPriority w:val="39"/>
    <w:unhideWhenUsed/>
    <w:rsid w:val="007749EE"/>
    <w:pPr>
      <w:spacing w:after="100"/>
      <w:ind w:left="440"/>
    </w:pPr>
    <w:rPr>
      <w:rFonts w:cs="Times New Roman"/>
    </w:rPr>
  </w:style>
  <w:style w:type="paragraph" w:styleId="Vltozat">
    <w:name w:val="Revision"/>
    <w:hidden/>
    <w:uiPriority w:val="99"/>
    <w:semiHidden/>
    <w:rsid w:val="00345CC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9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6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7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1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5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38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17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07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6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834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46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0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2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60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29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66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69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18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820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26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61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35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4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88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4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03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1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49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31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19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73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94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8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42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76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7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96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67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4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hart" Target="charts/chart3.xml"/><Relationship Id="rId18" Type="http://schemas.microsoft.com/office/2014/relationships/chartEx" Target="charts/chartEx1.xml"/><Relationship Id="rId26" Type="http://schemas.openxmlformats.org/officeDocument/2006/relationships/header" Target="header1.xml"/><Relationship Id="rId39" Type="http://schemas.openxmlformats.org/officeDocument/2006/relationships/chart" Target="charts/chart20.xml"/><Relationship Id="rId34" Type="http://schemas.openxmlformats.org/officeDocument/2006/relationships/chart" Target="charts/chart15.xml"/><Relationship Id="rId7" Type="http://schemas.openxmlformats.org/officeDocument/2006/relationships/endnotes" Target="endnotes.xml"/><Relationship Id="rId12" Type="http://schemas.openxmlformats.org/officeDocument/2006/relationships/chart" Target="charts/chart2.xml"/><Relationship Id="rId17" Type="http://schemas.openxmlformats.org/officeDocument/2006/relationships/chart" Target="charts/chart7.xml"/><Relationship Id="rId25" Type="http://schemas.openxmlformats.org/officeDocument/2006/relationships/image" Target="media/image5.png"/><Relationship Id="rId33" Type="http://schemas.openxmlformats.org/officeDocument/2006/relationships/chart" Target="charts/chart14.xml"/><Relationship Id="rId38" Type="http://schemas.openxmlformats.org/officeDocument/2006/relationships/chart" Target="charts/chart19.xml"/><Relationship Id="rId2" Type="http://schemas.openxmlformats.org/officeDocument/2006/relationships/numbering" Target="numbering.xml"/><Relationship Id="rId16" Type="http://schemas.openxmlformats.org/officeDocument/2006/relationships/chart" Target="charts/chart6.xml"/><Relationship Id="rId29" Type="http://schemas.openxmlformats.org/officeDocument/2006/relationships/chart" Target="charts/chart10.xm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1.xml"/><Relationship Id="rId24" Type="http://schemas.openxmlformats.org/officeDocument/2006/relationships/chart" Target="charts/chart8.xml"/><Relationship Id="rId32" Type="http://schemas.openxmlformats.org/officeDocument/2006/relationships/chart" Target="charts/chart13.xml"/><Relationship Id="rId37" Type="http://schemas.openxmlformats.org/officeDocument/2006/relationships/chart" Target="charts/chart18.xm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hart" Target="charts/chart5.xml"/><Relationship Id="rId23" Type="http://schemas.openxmlformats.org/officeDocument/2006/relationships/image" Target="media/image4.png"/><Relationship Id="rId28" Type="http://schemas.openxmlformats.org/officeDocument/2006/relationships/chart" Target="charts/chart9.xml"/><Relationship Id="rId36" Type="http://schemas.openxmlformats.org/officeDocument/2006/relationships/chart" Target="charts/chart17.xml"/><Relationship Id="rId10" Type="http://schemas.openxmlformats.org/officeDocument/2006/relationships/image" Target="media/image3.png"/><Relationship Id="rId31" Type="http://schemas.openxmlformats.org/officeDocument/2006/relationships/chart" Target="charts/chart1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chart" Target="charts/chart4.xml"/><Relationship Id="rId27" Type="http://schemas.openxmlformats.org/officeDocument/2006/relationships/footer" Target="footer1.xml"/><Relationship Id="rId30" Type="http://schemas.openxmlformats.org/officeDocument/2006/relationships/chart" Target="charts/chart11.xml"/><Relationship Id="rId35" Type="http://schemas.openxmlformats.org/officeDocument/2006/relationships/chart" Target="charts/chart16.xml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esktop\H&#233;v&#237;z-Balaton%20Airport\Statisztik&#225;k\statisztikai%20adatok%20besz&#225;mol&#243;hoz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esktop\H&#233;v&#237;z-Balaton%20Airport\Statisztik&#225;k\statisztikai%20adatok%20besz&#225;mol&#243;hoz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esktop\H&#233;v&#237;z-Balaton%20Airport\Statisztik&#225;k\statisztikai%20adatok%20besz&#225;mol&#243;hoz_2024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esktop\H&#233;v&#237;z-Balaton%20Airport\Statisztik&#225;k\statisztikai%20adatok%20besz&#225;mol&#243;hoz_2024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esktop\H&#233;v&#237;z-Balaton%20Airport\Statisztik&#225;k\statisztikai%20adatok%20besz&#225;mol&#243;hoz_2024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esktop\H&#233;v&#237;z-Balaton%20Airport\Statisztik&#225;k\statisztikai%20adatok%20besz&#225;mol&#243;hoz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ocuments\Judit%20mapp&#225;ja\Besz&#225;mol&#243;\2024.%20&#233;vi%20besz&#225;mol&#243;\2024.%20&#233;vi%20besz&#225;mol&#243;hoz%20dia%20adatok%20&#233;s%20t&#225;bl&#225;zatok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9.xml"/><Relationship Id="rId1" Type="http://schemas.microsoft.com/office/2011/relationships/chartStyle" Target="style9.xml"/><Relationship Id="rId4" Type="http://schemas.openxmlformats.org/officeDocument/2006/relationships/oleObject" Target="file:///C:\Users\user\Documents\Judit%20mapp&#225;ja\Besz&#225;mol&#243;\2024.%20&#233;vi%20besz&#225;mol&#243;\2024.%20&#233;vi%20besz&#225;mol&#243;hoz%20dia%20adatok%20&#233;s%20t&#225;bl&#225;zatok.xlsx" TargetMode="Externa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0.xml"/><Relationship Id="rId1" Type="http://schemas.microsoft.com/office/2011/relationships/chartStyle" Target="style10.xm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11.xml"/><Relationship Id="rId1" Type="http://schemas.microsoft.com/office/2011/relationships/chartStyle" Target="style11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ocuments\Judit%20mapp&#225;ja\Besz&#225;mol&#243;\2024.%20&#233;vi%20besz&#225;mol&#243;\2024.%20&#233;vi%20besz&#225;mol&#243;hoz%20dia%20adatok%20&#233;s%20t&#225;bl&#225;zatok.xlsx" TargetMode="External"/><Relationship Id="rId2" Type="http://schemas.microsoft.com/office/2011/relationships/chartColorStyle" Target="colors12.xml"/><Relationship Id="rId1" Type="http://schemas.microsoft.com/office/2011/relationships/chartStyle" Target="style12.xml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ocuments\Judit%20mapp&#225;ja\Besz&#225;mol&#243;\2024.%20&#233;vi%20besz&#225;mol&#243;\2024.%20&#233;vi%20besz&#225;mol&#243;hoz%20dia%20adatok%20&#233;s%20t&#225;bl&#225;zatok.xlsx" TargetMode="External"/><Relationship Id="rId2" Type="http://schemas.microsoft.com/office/2011/relationships/chartColorStyle" Target="colors13.xml"/><Relationship Id="rId1" Type="http://schemas.microsoft.com/office/2011/relationships/chartStyle" Target="style13.xml"/></Relationships>
</file>

<file path=word/charts/_rels/chart1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ocuments\Judit%20mapp&#225;ja\Besz&#225;mol&#243;\2024.%20&#233;vi%20besz&#225;mol&#243;\2024.%20&#233;vi%20besz&#225;mol&#243;hoz%20dia%20adatok%20&#233;s%20t&#225;bl&#225;zatok.xlsx" TargetMode="External"/><Relationship Id="rId2" Type="http://schemas.microsoft.com/office/2011/relationships/chartColorStyle" Target="colors14.xml"/><Relationship Id="rId1" Type="http://schemas.microsoft.com/office/2011/relationships/chartStyle" Target="style14.xml"/></Relationships>
</file>

<file path=word/charts/_rels/chart1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AppData\Roaming\Microsoft\Excel\2024%20(version%201).xlsb" TargetMode="External"/><Relationship Id="rId2" Type="http://schemas.microsoft.com/office/2011/relationships/chartColorStyle" Target="colors15.xml"/><Relationship Id="rId1" Type="http://schemas.microsoft.com/office/2011/relationships/chartStyle" Target="style15.xml"/></Relationships>
</file>

<file path=word/charts/_rels/chart1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.xlsx"/><Relationship Id="rId2" Type="http://schemas.microsoft.com/office/2011/relationships/chartColorStyle" Target="colors16.xml"/><Relationship Id="rId1" Type="http://schemas.microsoft.com/office/2011/relationships/chartStyle" Target="style16.xml"/></Relationships>
</file>

<file path=word/charts/_rels/chart16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ocuments\Judit%20mapp&#225;ja\Besz&#225;mol&#243;\2024.%20&#233;vi%20besz&#225;mol&#243;\2024.%20&#233;vi%20besz&#225;mol&#243;hoz%20dia%20adatok%20&#233;s%20t&#225;bl&#225;zatok.xlsx" TargetMode="External"/><Relationship Id="rId2" Type="http://schemas.microsoft.com/office/2011/relationships/chartColorStyle" Target="colors17.xml"/><Relationship Id="rId1" Type="http://schemas.microsoft.com/office/2011/relationships/chartStyle" Target="style17.xml"/></Relationships>
</file>

<file path=word/charts/_rels/chart1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3.xlsx"/><Relationship Id="rId2" Type="http://schemas.microsoft.com/office/2011/relationships/chartColorStyle" Target="colors18.xml"/><Relationship Id="rId1" Type="http://schemas.microsoft.com/office/2011/relationships/chartStyle" Target="style18.xml"/></Relationships>
</file>

<file path=word/charts/_rels/chart18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4.xlsx"/><Relationship Id="rId2" Type="http://schemas.microsoft.com/office/2011/relationships/chartColorStyle" Target="colors19.xml"/><Relationship Id="rId1" Type="http://schemas.microsoft.com/office/2011/relationships/chartStyle" Target="style19.xml"/></Relationships>
</file>

<file path=word/charts/_rels/chart19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ocuments\Judit%20mapp&#225;ja\Besz&#225;mol&#243;\2024.%20&#233;vi%20besz&#225;mol&#243;\2024.%20&#233;vi%20besz&#225;mol&#243;hoz%20dia%20adatok%20&#233;s%20t&#225;bl&#225;zatok.xlsx" TargetMode="External"/><Relationship Id="rId2" Type="http://schemas.microsoft.com/office/2011/relationships/chartColorStyle" Target="colors20.xml"/><Relationship Id="rId1" Type="http://schemas.microsoft.com/office/2011/relationships/chartStyle" Target="style20.xml"/></Relationships>
</file>

<file path=word/charts/_rels/chart20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ocuments\Judit%20mapp&#225;ja\Besz&#225;mol&#243;\2024.%20&#233;vi%20besz&#225;mol&#243;\2024.%20&#233;vi%20besz&#225;mol&#243;hoz%20dia%20adatok%20&#233;s%20t&#225;bl&#225;zatok.xlsx" TargetMode="External"/><Relationship Id="rId2" Type="http://schemas.microsoft.com/office/2011/relationships/chartColorStyle" Target="colors21.xml"/><Relationship Id="rId1" Type="http://schemas.microsoft.com/office/2011/relationships/chartStyle" Target="style21.xml"/></Relationships>
</file>

<file path=word/charts/_rels/chartEx1.xml.rels><?xml version="1.0" encoding="UTF-8" standalone="yes"?>
<Relationships xmlns="http://schemas.openxmlformats.org/package/2006/relationships"><Relationship Id="rId3" Type="http://schemas.microsoft.com/office/2011/relationships/chartColorStyle" Target="colors8.xml"/><Relationship Id="rId2" Type="http://schemas.microsoft.com/office/2011/relationships/chartStyle" Target="style8.xml"/><Relationship Id="rId1" Type="http://schemas.openxmlformats.org/officeDocument/2006/relationships/oleObject" Target="file:///C:\Users\user\Documents\Judit%20mapp&#225;ja\Besz&#225;mol&#243;\2024.%20&#233;vi%20besz&#225;mol&#243;\2024.%20&#233;vi%20besz&#225;mol&#243;hoz%20dia%20adatok%20&#233;s%20t&#225;bl&#225;zatok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u-HU"/>
              <a:t>Utasszállító járatok száma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plotArea>
      <c:layout/>
      <c:barChart>
        <c:barDir val="col"/>
        <c:grouping val="stacked"/>
        <c:varyColors val="0"/>
        <c:ser>
          <c:idx val="0"/>
          <c:order val="0"/>
          <c:tx>
            <c:strRef>
              <c:f>'Repülőtér forgalmi adatok'!$B$7</c:f>
              <c:strCache>
                <c:ptCount val="1"/>
                <c:pt idx="0">
                  <c:v>Kereskedelmi járatok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3.0479005066581529E-17"/>
                  <c:y val="-0.3295193716356759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7044-4E1C-BD41-42DBDD87AADE}"/>
                </c:ext>
              </c:extLst>
            </c:dLbl>
            <c:dLbl>
              <c:idx val="1"/>
              <c:layout>
                <c:manualLayout>
                  <c:x val="-3.3250207813798837E-3"/>
                  <c:y val="-8.543094820184191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7044-4E1C-BD41-42DBDD87AADE}"/>
                </c:ext>
              </c:extLst>
            </c:dLbl>
            <c:dLbl>
              <c:idx val="2"/>
              <c:layout>
                <c:manualLayout>
                  <c:x val="3.3250207813797618E-3"/>
                  <c:y val="-0.109839790545225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7044-4E1C-BD41-42DBDD87AAD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'Repülőtér forgalmi adatok'!$C$6:$H$6</c:f>
              <c:strCache>
                <c:ptCount val="6"/>
                <c:pt idx="0">
                  <c:v>2019. év</c:v>
                </c:pt>
                <c:pt idx="1">
                  <c:v>2020.év</c:v>
                </c:pt>
                <c:pt idx="2">
                  <c:v>2021.év</c:v>
                </c:pt>
                <c:pt idx="3">
                  <c:v>2022.év</c:v>
                </c:pt>
                <c:pt idx="4">
                  <c:v>2023.év</c:v>
                </c:pt>
                <c:pt idx="5">
                  <c:v>2024.év</c:v>
                </c:pt>
              </c:strCache>
            </c:strRef>
          </c:cat>
          <c:val>
            <c:numRef>
              <c:f>'Repülőtér forgalmi adatok'!$C$7:$H$7</c:f>
              <c:numCache>
                <c:formatCode>General</c:formatCode>
                <c:ptCount val="6"/>
                <c:pt idx="0">
                  <c:v>52</c:v>
                </c:pt>
                <c:pt idx="1">
                  <c:v>3</c:v>
                </c:pt>
                <c:pt idx="2">
                  <c:v>10</c:v>
                </c:pt>
                <c:pt idx="3">
                  <c:v>52</c:v>
                </c:pt>
                <c:pt idx="4">
                  <c:v>9</c:v>
                </c:pt>
                <c:pt idx="5">
                  <c:v>21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7044-4E1C-BD41-42DBDD87AADE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100"/>
        <c:axId val="1764183871"/>
        <c:axId val="1764181375"/>
      </c:barChart>
      <c:catAx>
        <c:axId val="1764183871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764181375"/>
        <c:crossesAt val="0"/>
        <c:auto val="1"/>
        <c:lblAlgn val="ctr"/>
        <c:lblOffset val="100"/>
        <c:noMultiLvlLbl val="0"/>
      </c:catAx>
      <c:valAx>
        <c:axId val="1764181375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764183871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 algn="ctr">
              <a:defRPr sz="16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u-HU"/>
              <a:t>Utasszállító járatok utasai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algn="ctr">
            <a:defRPr sz="16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'Repülőtér forgalmi adatok'!$B$12</c:f>
              <c:strCache>
                <c:ptCount val="1"/>
                <c:pt idx="0">
                  <c:v>Kereskedelmi járatok utasai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'Repülőtér forgalmi adatok'!$C$11:$H$11</c:f>
              <c:strCache>
                <c:ptCount val="6"/>
                <c:pt idx="0">
                  <c:v>2019. év</c:v>
                </c:pt>
                <c:pt idx="1">
                  <c:v>2020.év</c:v>
                </c:pt>
                <c:pt idx="2">
                  <c:v>2021.év</c:v>
                </c:pt>
                <c:pt idx="3">
                  <c:v>2022.év</c:v>
                </c:pt>
                <c:pt idx="4">
                  <c:v>2023.év</c:v>
                </c:pt>
                <c:pt idx="5">
                  <c:v>2024.év</c:v>
                </c:pt>
              </c:strCache>
            </c:strRef>
          </c:cat>
          <c:val>
            <c:numRef>
              <c:f>'Repülőtér forgalmi adatok'!$C$12:$H$12</c:f>
              <c:numCache>
                <c:formatCode>General</c:formatCode>
                <c:ptCount val="6"/>
                <c:pt idx="0">
                  <c:v>6669</c:v>
                </c:pt>
                <c:pt idx="1">
                  <c:v>389</c:v>
                </c:pt>
                <c:pt idx="2">
                  <c:v>1165</c:v>
                </c:pt>
                <c:pt idx="3">
                  <c:v>10172</c:v>
                </c:pt>
                <c:pt idx="4">
                  <c:v>1644</c:v>
                </c:pt>
                <c:pt idx="5">
                  <c:v>2433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4BD-48A8-B422-67F35520B95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280551439"/>
        <c:axId val="1714842831"/>
      </c:barChart>
      <c:catAx>
        <c:axId val="128055143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714842831"/>
        <c:crosses val="autoZero"/>
        <c:auto val="1"/>
        <c:lblAlgn val="ctr"/>
        <c:lblOffset val="100"/>
        <c:noMultiLvlLbl val="0"/>
      </c:catAx>
      <c:valAx>
        <c:axId val="1714842831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280551439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cap="all" spc="5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u-HU"/>
              <a:t>Cargo járatok</a:t>
            </a:r>
            <a:endParaRPr lang="en-US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cap="all" spc="5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stacked"/>
        <c:varyColors val="0"/>
        <c:ser>
          <c:idx val="0"/>
          <c:order val="0"/>
          <c:tx>
            <c:strRef>
              <c:f>'Repülőtér forgalmi adatok'!$B$10</c:f>
              <c:strCache>
                <c:ptCount val="1"/>
                <c:pt idx="0">
                  <c:v>Cargo járatok</c:v>
                </c:pt>
              </c:strCache>
            </c:strRef>
          </c:tx>
          <c:spPr>
            <a:solidFill>
              <a:schemeClr val="accent1">
                <a:alpha val="7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'Repülőtér forgalmi adatok'!$C$6:$H$6</c:f>
              <c:strCache>
                <c:ptCount val="6"/>
                <c:pt idx="0">
                  <c:v>2019. év</c:v>
                </c:pt>
                <c:pt idx="1">
                  <c:v>2020.év</c:v>
                </c:pt>
                <c:pt idx="2">
                  <c:v>2021.év</c:v>
                </c:pt>
                <c:pt idx="3">
                  <c:v>2022.év</c:v>
                </c:pt>
                <c:pt idx="4">
                  <c:v>2023.év</c:v>
                </c:pt>
                <c:pt idx="5">
                  <c:v>2024.év</c:v>
                </c:pt>
              </c:strCache>
            </c:strRef>
          </c:cat>
          <c:val>
            <c:numRef>
              <c:f>'Repülőtér forgalmi adatok'!$C$10:$H$10</c:f>
              <c:numCache>
                <c:formatCode>General</c:formatCode>
                <c:ptCount val="6"/>
                <c:pt idx="0">
                  <c:v>0</c:v>
                </c:pt>
                <c:pt idx="1">
                  <c:v>1</c:v>
                </c:pt>
                <c:pt idx="2">
                  <c:v>0</c:v>
                </c:pt>
                <c:pt idx="3">
                  <c:v>6</c:v>
                </c:pt>
                <c:pt idx="4">
                  <c:v>8</c:v>
                </c:pt>
                <c:pt idx="5">
                  <c:v>50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CD1-4685-9532-4881889DB7BD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gapWidth val="50"/>
        <c:overlap val="100"/>
        <c:axId val="1764183871"/>
        <c:axId val="1764181375"/>
      </c:barChart>
      <c:catAx>
        <c:axId val="1764183871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  <a:headEnd type="none" w="sm" len="sm"/>
            <a:tailEnd type="none" w="sm" len="sm"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764181375"/>
        <c:crossesAt val="0"/>
        <c:auto val="1"/>
        <c:lblAlgn val="ctr"/>
        <c:lblOffset val="100"/>
        <c:noMultiLvlLbl val="0"/>
      </c:catAx>
      <c:valAx>
        <c:axId val="1764181375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0">
                    <a:schemeClr val="tx1">
                      <a:lumMod val="5000"/>
                      <a:lumOff val="95000"/>
                    </a:schemeClr>
                  </a:gs>
                  <a:gs pos="100000">
                    <a:schemeClr val="tx1">
                      <a:lumMod val="15000"/>
                      <a:lumOff val="8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764183871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 algn="ctr"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b="1"/>
              <a:t>Cargo</a:t>
            </a:r>
            <a:r>
              <a:rPr lang="en-US"/>
              <a:t> </a:t>
            </a:r>
            <a:r>
              <a:rPr lang="en-US" b="1"/>
              <a:t>járatok áruforgalma</a:t>
            </a:r>
          </a:p>
        </c:rich>
      </c:tx>
      <c:layout>
        <c:manualLayout>
          <c:xMode val="edge"/>
          <c:yMode val="edge"/>
          <c:x val="0.33177280550774529"/>
          <c:y val="3.094776934408193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algn="ctr"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'Repülőtér forgalmi adatok'!$B$15</c:f>
              <c:strCache>
                <c:ptCount val="1"/>
                <c:pt idx="0">
                  <c:v>Cargo járatok áruforgalma (tonna)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'Repülőtér forgalmi adatok'!$C$11:$H$11</c:f>
              <c:strCache>
                <c:ptCount val="6"/>
                <c:pt idx="0">
                  <c:v>2019. év</c:v>
                </c:pt>
                <c:pt idx="1">
                  <c:v>2020.év</c:v>
                </c:pt>
                <c:pt idx="2">
                  <c:v>2021.év</c:v>
                </c:pt>
                <c:pt idx="3">
                  <c:v>2022.év</c:v>
                </c:pt>
                <c:pt idx="4">
                  <c:v>2023.év</c:v>
                </c:pt>
                <c:pt idx="5">
                  <c:v>2024.év</c:v>
                </c:pt>
              </c:strCache>
            </c:strRef>
          </c:cat>
          <c:val>
            <c:numRef>
              <c:f>'Repülőtér forgalmi adatok'!$C$15:$H$15</c:f>
              <c:numCache>
                <c:formatCode>General</c:formatCode>
                <c:ptCount val="6"/>
                <c:pt idx="0">
                  <c:v>0</c:v>
                </c:pt>
                <c:pt idx="1">
                  <c:v>5</c:v>
                </c:pt>
                <c:pt idx="2">
                  <c:v>0</c:v>
                </c:pt>
                <c:pt idx="3">
                  <c:v>26</c:v>
                </c:pt>
                <c:pt idx="4">
                  <c:v>114</c:v>
                </c:pt>
                <c:pt idx="5">
                  <c:v>1695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08F-4104-835A-7CC08ECE2E4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280551439"/>
        <c:axId val="1714842831"/>
      </c:barChart>
      <c:catAx>
        <c:axId val="128055143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714842831"/>
        <c:crosses val="autoZero"/>
        <c:auto val="1"/>
        <c:lblAlgn val="ctr"/>
        <c:lblOffset val="100"/>
        <c:noMultiLvlLbl val="0"/>
      </c:catAx>
      <c:valAx>
        <c:axId val="1714842831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280551439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u-HU"/>
              <a:t>Repülőgépek megoszlása 2024</a:t>
            </a:r>
          </a:p>
        </c:rich>
      </c:tx>
      <c:layout>
        <c:manualLayout>
          <c:xMode val="edge"/>
          <c:yMode val="edge"/>
          <c:x val="0.17352777777777778"/>
          <c:y val="5.0925925925925923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view3D>
      <c:rotX val="5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1-0B02-4B57-A747-01ACC358D0F7}"/>
              </c:ext>
            </c:extLst>
          </c:dPt>
          <c:dPt>
            <c:idx val="1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3-0B02-4B57-A747-01ACC358D0F7}"/>
              </c:ext>
            </c:extLst>
          </c:dPt>
          <c:dPt>
            <c:idx val="2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5-0B02-4B57-A747-01ACC358D0F7}"/>
              </c:ext>
            </c:extLst>
          </c:dPt>
          <c:dPt>
            <c:idx val="3"/>
            <c:bubble3D val="0"/>
            <c:spPr>
              <a:solidFill>
                <a:schemeClr val="accent1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7-0B02-4B57-A747-01ACC358D0F7}"/>
              </c:ext>
            </c:extLst>
          </c:dPt>
          <c:dLbls>
            <c:spPr>
              <a:pattFill prst="pct75">
                <a:fgClr>
                  <a:schemeClr val="dk1">
                    <a:lumMod val="75000"/>
                    <a:lumOff val="25000"/>
                  </a:schemeClr>
                </a:fgClr>
                <a:bgClr>
                  <a:schemeClr val="dk1">
                    <a:lumMod val="65000"/>
                    <a:lumOff val="35000"/>
                  </a:scheme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'Repülőtér forgalmi adatok'!$B$7:$B$10</c:f>
              <c:strCache>
                <c:ptCount val="4"/>
                <c:pt idx="0">
                  <c:v>Utasszállító járatok</c:v>
                </c:pt>
                <c:pt idx="1">
                  <c:v>Üzleti célú repülőgépek</c:v>
                </c:pt>
                <c:pt idx="2">
                  <c:v>Magán- és sport célú repülőgépek</c:v>
                </c:pt>
                <c:pt idx="3">
                  <c:v>Cargo járatok</c:v>
                </c:pt>
              </c:strCache>
            </c:strRef>
          </c:cat>
          <c:val>
            <c:numRef>
              <c:f>'Repülőtér forgalmi adatok'!$H$7:$H$10</c:f>
              <c:numCache>
                <c:formatCode>General</c:formatCode>
                <c:ptCount val="4"/>
                <c:pt idx="0">
                  <c:v>21</c:v>
                </c:pt>
                <c:pt idx="1">
                  <c:v>191</c:v>
                </c:pt>
                <c:pt idx="2">
                  <c:v>627</c:v>
                </c:pt>
                <c:pt idx="3">
                  <c:v>50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0B02-4B57-A747-01ACC358D0F7}"/>
            </c:ext>
          </c:extLst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u-HU" sz="1600"/>
              <a:t>Utasok megoszlása 2024</a:t>
            </a:r>
          </a:p>
        </c:rich>
      </c:tx>
      <c:layout>
        <c:manualLayout>
          <c:xMode val="edge"/>
          <c:yMode val="edge"/>
          <c:x val="0.26398600174978132"/>
          <c:y val="2.7777777777777776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view3D>
      <c:rotX val="5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3">
                  <a:shade val="65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1-8461-43F0-9BA3-380154E9C4C8}"/>
              </c:ext>
            </c:extLst>
          </c:dPt>
          <c:dPt>
            <c:idx val="1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3-8461-43F0-9BA3-380154E9C4C8}"/>
              </c:ext>
            </c:extLst>
          </c:dPt>
          <c:dPt>
            <c:idx val="2"/>
            <c:bubble3D val="0"/>
            <c:spPr>
              <a:solidFill>
                <a:schemeClr val="accent3">
                  <a:tint val="65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5-8461-43F0-9BA3-380154E9C4C8}"/>
              </c:ext>
            </c:extLst>
          </c:dPt>
          <c:dLbls>
            <c:spPr>
              <a:pattFill prst="pct75">
                <a:fgClr>
                  <a:schemeClr val="dk1">
                    <a:lumMod val="75000"/>
                    <a:lumOff val="25000"/>
                  </a:schemeClr>
                </a:fgClr>
                <a:bgClr>
                  <a:schemeClr val="dk1">
                    <a:lumMod val="65000"/>
                    <a:lumOff val="35000"/>
                  </a:scheme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'Repülőtér forgalmi adatok'!$B$11:$B$13</c:f>
              <c:strCache>
                <c:ptCount val="3"/>
                <c:pt idx="0">
                  <c:v>Utasszállító járatok utasai</c:v>
                </c:pt>
                <c:pt idx="1">
                  <c:v>Üzleti célú repülőgépek utasai</c:v>
                </c:pt>
                <c:pt idx="2">
                  <c:v>Magán- és sport célú repülőgépek utasai</c:v>
                </c:pt>
              </c:strCache>
            </c:strRef>
          </c:cat>
          <c:val>
            <c:numRef>
              <c:f>'Repülőtér forgalmi adatok'!$H$11:$H$13</c:f>
              <c:numCache>
                <c:formatCode>General</c:formatCode>
                <c:ptCount val="3"/>
                <c:pt idx="0">
                  <c:v>2433</c:v>
                </c:pt>
                <c:pt idx="1">
                  <c:v>710</c:v>
                </c:pt>
                <c:pt idx="2">
                  <c:v>709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8461-43F0-9BA3-380154E9C4C8}"/>
            </c:ext>
          </c:extLst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spc="100" baseline="0">
                <a:solidFill>
                  <a:schemeClr val="lt1">
                    <a:lumMod val="95000"/>
                  </a:schemeClr>
                </a:solidFill>
                <a:effectLst>
                  <a:outerShdw blurRad="50800" dist="38100" dir="5400000" algn="t" rotWithShape="0">
                    <a:prstClr val="black">
                      <a:alpha val="40000"/>
                    </a:prstClr>
                  </a:outerShdw>
                </a:effectLst>
                <a:latin typeface="+mn-lt"/>
                <a:ea typeface="+mn-ea"/>
                <a:cs typeface="+mn-cs"/>
              </a:defRPr>
            </a:pPr>
            <a:r>
              <a:rPr lang="hu-HU"/>
              <a:t>Bevételek teljesülése (Ft)</a:t>
            </a:r>
            <a:endParaRPr lang="en-US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spc="100" baseline="0">
              <a:solidFill>
                <a:schemeClr val="lt1">
                  <a:lumMod val="95000"/>
                </a:schemeClr>
              </a:solidFill>
              <a:effectLst>
                <a:outerShdw blurRad="50800" dist="38100" dir="5400000" algn="t" rotWithShape="0">
                  <a:prstClr val="black">
                    <a:alpha val="40000"/>
                  </a:prstClr>
                </a:outerShdw>
              </a:effectLst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'változások a tervezetthez képes'!$B$2</c:f>
              <c:strCache>
                <c:ptCount val="1"/>
                <c:pt idx="0">
                  <c:v>2024. évi terv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satMod val="103000"/>
                    <a:lumMod val="102000"/>
                    <a:tint val="94000"/>
                  </a:schemeClr>
                </a:gs>
                <a:gs pos="50000">
                  <a:schemeClr val="accent2">
                    <a:satMod val="110000"/>
                    <a:lumMod val="100000"/>
                    <a:shade val="100000"/>
                  </a:schemeClr>
                </a:gs>
                <a:gs pos="100000">
                  <a:schemeClr val="accent2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'változások a tervezetthez képes'!$A$3:$A$6</c:f>
              <c:strCache>
                <c:ptCount val="4"/>
                <c:pt idx="0">
                  <c:v>értékesítés nettó bevétele</c:v>
                </c:pt>
                <c:pt idx="1">
                  <c:v>támogatások</c:v>
                </c:pt>
                <c:pt idx="2">
                  <c:v>egyéb bev. (kártérítés, bírság, egyebek)</c:v>
                </c:pt>
                <c:pt idx="3">
                  <c:v>pénzügyi bev.</c:v>
                </c:pt>
              </c:strCache>
            </c:strRef>
          </c:cat>
          <c:val>
            <c:numRef>
              <c:f>'változások a tervezetthez képes'!$B$3:$B$6</c:f>
              <c:numCache>
                <c:formatCode>#,##0</c:formatCode>
                <c:ptCount val="4"/>
                <c:pt idx="0">
                  <c:v>343640426</c:v>
                </c:pt>
                <c:pt idx="1">
                  <c:v>500000000</c:v>
                </c:pt>
                <c:pt idx="2">
                  <c:v>47795787</c:v>
                </c:pt>
                <c:pt idx="3">
                  <c:v>63850000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27A-4C5B-AAA2-89EE2CB04202}"/>
            </c:ext>
          </c:extLst>
        </c:ser>
        <c:ser>
          <c:idx val="1"/>
          <c:order val="1"/>
          <c:tx>
            <c:strRef>
              <c:f>'változások a tervezetthez képes'!$C$2</c:f>
              <c:strCache>
                <c:ptCount val="1"/>
                <c:pt idx="0">
                  <c:v>2024. évi tény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satMod val="103000"/>
                    <a:lumMod val="102000"/>
                    <a:tint val="94000"/>
                  </a:schemeClr>
                </a:gs>
                <a:gs pos="50000">
                  <a:schemeClr val="accent4">
                    <a:satMod val="110000"/>
                    <a:lumMod val="100000"/>
                    <a:shade val="100000"/>
                  </a:schemeClr>
                </a:gs>
                <a:gs pos="100000">
                  <a:schemeClr val="accent4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'változások a tervezetthez képes'!$A$3:$A$6</c:f>
              <c:strCache>
                <c:ptCount val="4"/>
                <c:pt idx="0">
                  <c:v>értékesítés nettó bevétele</c:v>
                </c:pt>
                <c:pt idx="1">
                  <c:v>támogatások</c:v>
                </c:pt>
                <c:pt idx="2">
                  <c:v>egyéb bev. (kártérítés, bírság, egyebek)</c:v>
                </c:pt>
                <c:pt idx="3">
                  <c:v>pénzügyi bev.</c:v>
                </c:pt>
              </c:strCache>
            </c:strRef>
          </c:cat>
          <c:val>
            <c:numRef>
              <c:f>'változások a tervezetthez képes'!$C$3:$C$6</c:f>
              <c:numCache>
                <c:formatCode>#,##0</c:formatCode>
                <c:ptCount val="4"/>
                <c:pt idx="0">
                  <c:v>517673039</c:v>
                </c:pt>
                <c:pt idx="1">
                  <c:v>859770073</c:v>
                </c:pt>
                <c:pt idx="2">
                  <c:v>72348618</c:v>
                </c:pt>
                <c:pt idx="3">
                  <c:v>26298327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27A-4C5B-AAA2-89EE2CB0420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-24"/>
        <c:axId val="673958656"/>
        <c:axId val="673947616"/>
      </c:barChart>
      <c:catAx>
        <c:axId val="67395865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lt1">
                <a:lumMod val="95000"/>
                <a:alpha val="54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673947616"/>
        <c:crosses val="autoZero"/>
        <c:auto val="1"/>
        <c:lblAlgn val="ctr"/>
        <c:lblOffset val="100"/>
        <c:noMultiLvlLbl val="0"/>
      </c:catAx>
      <c:valAx>
        <c:axId val="67394761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lt1">
                  <a:lumMod val="95000"/>
                  <a:alpha val="10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673958656"/>
        <c:crosses val="autoZero"/>
        <c:crossBetween val="between"/>
        <c:majorUnit val="150000000"/>
        <c:dispUnits>
          <c:builtInUnit val="millions"/>
          <c:dispUnitsLbl>
            <c:spPr>
              <a:noFill/>
              <a:ln>
                <a:noFill/>
              </a:ln>
              <a:effectLst/>
            </c:spPr>
            <c:txPr>
              <a:bodyPr rot="-5400000" spcFirstLastPara="1" vertOverflow="ellipsis" vert="horz" wrap="square" anchor="ctr" anchorCtr="1"/>
              <a:lstStyle/>
              <a:p>
                <a:pPr>
                  <a:defRPr sz="900" b="1" i="0" u="none" strike="noStrike" kern="1200" cap="all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</c:dispUnitsLbl>
        </c:dispUnits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 flip="none" rotWithShape="1">
      <a:gsLst>
        <a:gs pos="50000">
          <a:schemeClr val="tx1">
            <a:lumMod val="65000"/>
            <a:lumOff val="35000"/>
          </a:schemeClr>
        </a:gs>
        <a:gs pos="27000">
          <a:schemeClr val="tx1">
            <a:lumMod val="50000"/>
            <a:lumOff val="50000"/>
          </a:schemeClr>
        </a:gs>
        <a:gs pos="97000">
          <a:schemeClr val="tx1"/>
        </a:gs>
      </a:gsLst>
      <a:path path="circle">
        <a:fillToRect l="50000" t="50000" r="50000" b="50000"/>
      </a:path>
      <a:tileRect/>
    </a:gradFill>
    <a:ln>
      <a:noFill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spc="100" baseline="0">
                <a:solidFill>
                  <a:schemeClr val="lt1">
                    <a:lumMod val="95000"/>
                  </a:schemeClr>
                </a:solidFill>
                <a:effectLst>
                  <a:outerShdw blurRad="50800" dist="38100" dir="5400000" algn="t" rotWithShape="0">
                    <a:prstClr val="black">
                      <a:alpha val="40000"/>
                    </a:prstClr>
                  </a:outerShdw>
                </a:effectLst>
                <a:latin typeface="+mn-lt"/>
                <a:ea typeface="+mn-ea"/>
                <a:cs typeface="+mn-cs"/>
              </a:defRPr>
            </a:pPr>
            <a:r>
              <a:rPr lang="hu-HU"/>
              <a:t>Költségek, ráfordítások fedezetének alakulása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spc="100" baseline="0">
              <a:solidFill>
                <a:schemeClr val="lt1">
                  <a:lumMod val="95000"/>
                </a:schemeClr>
              </a:solidFill>
              <a:effectLst>
                <a:outerShdw blurRad="50800" dist="38100" dir="5400000" algn="t" rotWithShape="0">
                  <a:prstClr val="black">
                    <a:alpha val="40000"/>
                  </a:prstClr>
                </a:outerShdw>
              </a:effectLst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bar"/>
        <c:grouping val="stacked"/>
        <c:varyColors val="0"/>
        <c:ser>
          <c:idx val="0"/>
          <c:order val="0"/>
          <c:tx>
            <c:strRef>
              <c:f>bevétel!$A$21</c:f>
              <c:strCache>
                <c:ptCount val="1"/>
                <c:pt idx="0">
                  <c:v>támogatás fedezet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atMod val="103000"/>
                    <a:lumMod val="102000"/>
                    <a:tint val="94000"/>
                  </a:schemeClr>
                </a:gs>
                <a:gs pos="50000">
                  <a:schemeClr val="accent1">
                    <a:satMod val="110000"/>
                    <a:lumMod val="100000"/>
                    <a:shade val="100000"/>
                  </a:schemeClr>
                </a:gs>
                <a:gs pos="100000">
                  <a:schemeClr val="accent1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bevétel!$B$18:$E$18</c:f>
              <c:strCache>
                <c:ptCount val="4"/>
                <c:pt idx="0">
                  <c:v>2021.év</c:v>
                </c:pt>
                <c:pt idx="1">
                  <c:v>2022.év</c:v>
                </c:pt>
                <c:pt idx="2">
                  <c:v>2023.év</c:v>
                </c:pt>
                <c:pt idx="3">
                  <c:v>2024.év</c:v>
                </c:pt>
              </c:strCache>
            </c:strRef>
          </c:cat>
          <c:val>
            <c:numRef>
              <c:f>bevétel!$B$21:$E$21</c:f>
              <c:numCache>
                <c:formatCode>0%</c:formatCode>
                <c:ptCount val="4"/>
                <c:pt idx="0">
                  <c:v>0.98888488993060919</c:v>
                </c:pt>
                <c:pt idx="1">
                  <c:v>0.65384177213265615</c:v>
                </c:pt>
                <c:pt idx="2">
                  <c:v>0.67532576475669082</c:v>
                </c:pt>
                <c:pt idx="3">
                  <c:v>0.52431366448561434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09B-4194-A19E-C9D8297FC621}"/>
            </c:ext>
          </c:extLst>
        </c:ser>
        <c:ser>
          <c:idx val="1"/>
          <c:order val="1"/>
          <c:tx>
            <c:strRef>
              <c:f>bevétel!$A$22</c:f>
              <c:strCache>
                <c:ptCount val="1"/>
                <c:pt idx="0">
                  <c:v>saját forrás fedezet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atMod val="103000"/>
                    <a:lumMod val="102000"/>
                    <a:tint val="94000"/>
                  </a:schemeClr>
                </a:gs>
                <a:gs pos="50000">
                  <a:schemeClr val="accent3">
                    <a:satMod val="110000"/>
                    <a:lumMod val="100000"/>
                    <a:shade val="100000"/>
                  </a:schemeClr>
                </a:gs>
                <a:gs pos="100000">
                  <a:schemeClr val="accent3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bevétel!$B$18:$E$18</c:f>
              <c:strCache>
                <c:ptCount val="4"/>
                <c:pt idx="0">
                  <c:v>2021.év</c:v>
                </c:pt>
                <c:pt idx="1">
                  <c:v>2022.év</c:v>
                </c:pt>
                <c:pt idx="2">
                  <c:v>2023.év</c:v>
                </c:pt>
                <c:pt idx="3">
                  <c:v>2024.év</c:v>
                </c:pt>
              </c:strCache>
            </c:strRef>
          </c:cat>
          <c:val>
            <c:numRef>
              <c:f>bevétel!$B$22:$E$22</c:f>
              <c:numCache>
                <c:formatCode>0%</c:formatCode>
                <c:ptCount val="4"/>
                <c:pt idx="0">
                  <c:v>1.111511006939081E-2</c:v>
                </c:pt>
                <c:pt idx="1">
                  <c:v>0.34615822786734385</c:v>
                </c:pt>
                <c:pt idx="2">
                  <c:v>0.32467423524330918</c:v>
                </c:pt>
                <c:pt idx="3">
                  <c:v>0.47568633551438566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09B-4194-A19E-C9D8297FC621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553966448"/>
        <c:axId val="1553974128"/>
        <c:axId val="0"/>
      </c:bar3DChart>
      <c:catAx>
        <c:axId val="1553966448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553974128"/>
        <c:crosses val="autoZero"/>
        <c:auto val="1"/>
        <c:lblAlgn val="ctr"/>
        <c:lblOffset val="100"/>
        <c:noMultiLvlLbl val="0"/>
      </c:catAx>
      <c:valAx>
        <c:axId val="1553974128"/>
        <c:scaling>
          <c:orientation val="minMax"/>
        </c:scaling>
        <c:delete val="0"/>
        <c:axPos val="t"/>
        <c:majorGridlines>
          <c:spPr>
            <a:ln w="9525" cap="flat" cmpd="sng" algn="ctr">
              <a:solidFill>
                <a:schemeClr val="dk1">
                  <a:lumMod val="50000"/>
                  <a:lumOff val="50000"/>
                </a:schemeClr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55396644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 flip="none" rotWithShape="1">
      <a:gsLst>
        <a:gs pos="15000">
          <a:schemeClr val="tx1">
            <a:lumMod val="50000"/>
            <a:lumOff val="50000"/>
          </a:schemeClr>
        </a:gs>
        <a:gs pos="74000">
          <a:schemeClr val="tx1">
            <a:lumMod val="75000"/>
            <a:lumOff val="25000"/>
          </a:schemeClr>
        </a:gs>
        <a:gs pos="83000">
          <a:schemeClr val="tx1"/>
        </a:gs>
        <a:gs pos="100000">
          <a:schemeClr val="tx1"/>
        </a:gs>
      </a:gsLst>
      <a:path path="circle">
        <a:fillToRect l="50000" t="50000" r="50000" b="50000"/>
      </a:path>
      <a:tileRect/>
    </a:gradFill>
    <a:ln>
      <a:noFill/>
    </a:ln>
    <a:effectLst/>
  </c:spPr>
  <c:txPr>
    <a:bodyPr/>
    <a:lstStyle/>
    <a:p>
      <a:pPr>
        <a:defRPr/>
      </a:pPr>
      <a:endParaRPr lang="hu-HU"/>
    </a:p>
  </c:txPr>
  <c:externalData r:id="rId4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none" spc="50" normalizeH="0" baseline="0">
                <a:solidFill>
                  <a:schemeClr val="bg1"/>
                </a:solidFill>
                <a:latin typeface="+mj-lt"/>
                <a:ea typeface="+mj-ea"/>
                <a:cs typeface="+mj-cs"/>
              </a:defRPr>
            </a:pPr>
            <a:r>
              <a:rPr lang="hu-HU" b="1"/>
              <a:t>Értékesítés nettó</a:t>
            </a:r>
            <a:r>
              <a:rPr lang="hu-HU" b="1" baseline="0"/>
              <a:t> árbevétele</a:t>
            </a:r>
            <a:r>
              <a:rPr lang="hu-HU" b="1"/>
              <a:t> 2021-2024. évek (e Ft)</a:t>
            </a:r>
          </a:p>
        </c:rich>
      </c:tx>
      <c:layout>
        <c:manualLayout>
          <c:xMode val="edge"/>
          <c:yMode val="edge"/>
          <c:x val="0.25948220758119522"/>
          <c:y val="3.362226084884626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cap="none" spc="50" normalizeH="0" baseline="0">
              <a:solidFill>
                <a:schemeClr val="bg1"/>
              </a:solidFill>
              <a:latin typeface="+mj-lt"/>
              <a:ea typeface="+mj-ea"/>
              <a:cs typeface="+mj-cs"/>
            </a:defRPr>
          </a:pPr>
          <a:endParaRPr lang="hu-HU"/>
        </a:p>
      </c:txPr>
    </c:title>
    <c:autoTitleDeleted val="0"/>
    <c:plotArea>
      <c:layout>
        <c:manualLayout>
          <c:layoutTarget val="inner"/>
          <c:xMode val="edge"/>
          <c:yMode val="edge"/>
          <c:x val="1.6628873771730914E-2"/>
          <c:y val="0.13801473054207838"/>
          <c:w val="0.96674225245653822"/>
          <c:h val="0.73716512080205476"/>
        </c:manualLayout>
      </c:layout>
      <c:barChart>
        <c:barDir val="col"/>
        <c:grouping val="clustered"/>
        <c:varyColors val="0"/>
        <c:ser>
          <c:idx val="1"/>
          <c:order val="0"/>
          <c:tx>
            <c:strRef>
              <c:f>'bevételek jogcímenként'!$M$1</c:f>
              <c:strCache>
                <c:ptCount val="1"/>
                <c:pt idx="0">
                  <c:v>2021. év</c:v>
                </c:pt>
              </c:strCache>
            </c:strRef>
          </c:tx>
          <c:spPr>
            <a:solidFill>
              <a:schemeClr val="accent2">
                <a:alpha val="7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5"/>
              <c:layout>
                <c:manualLayout>
                  <c:x val="-1.0396361273554255E-2"/>
                  <c:y val="8.5378774889303358E-4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A2AA-4B49-801C-37703348EA1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'bevételek jogcímenként'!$L$2:$L$7</c:f>
              <c:strCache>
                <c:ptCount val="6"/>
                <c:pt idx="0">
                  <c:v>üzemanyag értékesítés</c:v>
                </c:pt>
                <c:pt idx="1">
                  <c:v>repülőtér üzemeltetés</c:v>
                </c:pt>
                <c:pt idx="2">
                  <c:v>repülőgép kiszolgálás</c:v>
                </c:pt>
                <c:pt idx="3">
                  <c:v>bérleti díj bevétel</c:v>
                </c:pt>
                <c:pt idx="4">
                  <c:v>közvetített és továbbszámlázott szolg.</c:v>
                </c:pt>
                <c:pt idx="5">
                  <c:v>egyéb értékesítés, szolgáltatásnyújtás</c:v>
                </c:pt>
              </c:strCache>
            </c:strRef>
          </c:cat>
          <c:val>
            <c:numRef>
              <c:f>'bevételek jogcímenként'!$M$2:$M$7</c:f>
              <c:numCache>
                <c:formatCode>#,##0</c:formatCode>
                <c:ptCount val="6"/>
                <c:pt idx="0">
                  <c:v>60996</c:v>
                </c:pt>
                <c:pt idx="1">
                  <c:v>11716</c:v>
                </c:pt>
                <c:pt idx="2">
                  <c:v>16669</c:v>
                </c:pt>
                <c:pt idx="3">
                  <c:v>32439</c:v>
                </c:pt>
                <c:pt idx="4">
                  <c:v>15017</c:v>
                </c:pt>
                <c:pt idx="5">
                  <c:v>1047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2AA-4B49-801C-37703348EA17}"/>
            </c:ext>
          </c:extLst>
        </c:ser>
        <c:ser>
          <c:idx val="2"/>
          <c:order val="1"/>
          <c:tx>
            <c:strRef>
              <c:f>'bevételek jogcímenként'!$N$1</c:f>
              <c:strCache>
                <c:ptCount val="1"/>
                <c:pt idx="0">
                  <c:v>2022. év</c:v>
                </c:pt>
              </c:strCache>
            </c:strRef>
          </c:tx>
          <c:spPr>
            <a:solidFill>
              <a:schemeClr val="accent3">
                <a:alpha val="7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4"/>
              <c:layout>
                <c:manualLayout>
                  <c:x val="0"/>
                  <c:y val="8.9001437634366048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9DAE-4DD3-9002-E048615E51D6}"/>
                </c:ext>
              </c:extLst>
            </c:dLbl>
            <c:dLbl>
              <c:idx val="5"/>
              <c:layout>
                <c:manualLayout>
                  <c:x val="-6.3647014883392553E-4"/>
                  <c:y val="-1.8747631420444305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A2AA-4B49-801C-37703348EA1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'bevételek jogcímenként'!$L$2:$L$7</c:f>
              <c:strCache>
                <c:ptCount val="6"/>
                <c:pt idx="0">
                  <c:v>üzemanyag értékesítés</c:v>
                </c:pt>
                <c:pt idx="1">
                  <c:v>repülőtér üzemeltetés</c:v>
                </c:pt>
                <c:pt idx="2">
                  <c:v>repülőgép kiszolgálás</c:v>
                </c:pt>
                <c:pt idx="3">
                  <c:v>bérleti díj bevétel</c:v>
                </c:pt>
                <c:pt idx="4">
                  <c:v>közvetített és továbbszámlázott szolg.</c:v>
                </c:pt>
                <c:pt idx="5">
                  <c:v>egyéb értékesítés, szolgáltatásnyújtás</c:v>
                </c:pt>
              </c:strCache>
            </c:strRef>
          </c:cat>
          <c:val>
            <c:numRef>
              <c:f>'bevételek jogcímenként'!$N$2:$N$7</c:f>
              <c:numCache>
                <c:formatCode>#,##0</c:formatCode>
                <c:ptCount val="6"/>
                <c:pt idx="0">
                  <c:v>152120</c:v>
                </c:pt>
                <c:pt idx="1">
                  <c:v>34337</c:v>
                </c:pt>
                <c:pt idx="2">
                  <c:v>66313</c:v>
                </c:pt>
                <c:pt idx="3">
                  <c:v>41050</c:v>
                </c:pt>
                <c:pt idx="4">
                  <c:v>20851</c:v>
                </c:pt>
                <c:pt idx="5">
                  <c:v>3515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A2AA-4B49-801C-37703348EA17}"/>
            </c:ext>
          </c:extLst>
        </c:ser>
        <c:ser>
          <c:idx val="0"/>
          <c:order val="2"/>
          <c:tx>
            <c:strRef>
              <c:f>'bevételek jogcímenként'!$O$1</c:f>
              <c:strCache>
                <c:ptCount val="1"/>
                <c:pt idx="0">
                  <c:v>2023. év</c:v>
                </c:pt>
              </c:strCache>
            </c:strRef>
          </c:tx>
          <c:spPr>
            <a:solidFill>
              <a:schemeClr val="accent1">
                <a:alpha val="7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4"/>
              <c:layout>
                <c:manualLayout>
                  <c:x val="1.1695906432748537E-2"/>
                  <c:y val="-1.4067010467912616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A2AA-4B49-801C-37703348EA1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'bevételek jogcímenként'!$L$2:$L$7</c:f>
              <c:strCache>
                <c:ptCount val="6"/>
                <c:pt idx="0">
                  <c:v>üzemanyag értékesítés</c:v>
                </c:pt>
                <c:pt idx="1">
                  <c:v>repülőtér üzemeltetés</c:v>
                </c:pt>
                <c:pt idx="2">
                  <c:v>repülőgép kiszolgálás</c:v>
                </c:pt>
                <c:pt idx="3">
                  <c:v>bérleti díj bevétel</c:v>
                </c:pt>
                <c:pt idx="4">
                  <c:v>közvetített és továbbszámlázott szolg.</c:v>
                </c:pt>
                <c:pt idx="5">
                  <c:v>egyéb értékesítés, szolgáltatásnyújtás</c:v>
                </c:pt>
              </c:strCache>
            </c:strRef>
          </c:cat>
          <c:val>
            <c:numRef>
              <c:f>'bevételek jogcímenként'!$O$2:$O$7</c:f>
              <c:numCache>
                <c:formatCode>#,##0</c:formatCode>
                <c:ptCount val="6"/>
                <c:pt idx="0">
                  <c:v>96722</c:v>
                </c:pt>
                <c:pt idx="1">
                  <c:v>55163</c:v>
                </c:pt>
                <c:pt idx="2">
                  <c:v>38131</c:v>
                </c:pt>
                <c:pt idx="3">
                  <c:v>78618</c:v>
                </c:pt>
                <c:pt idx="4">
                  <c:v>14165</c:v>
                </c:pt>
                <c:pt idx="5">
                  <c:v>488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A2AA-4B49-801C-37703348EA17}"/>
            </c:ext>
          </c:extLst>
        </c:ser>
        <c:ser>
          <c:idx val="3"/>
          <c:order val="3"/>
          <c:tx>
            <c:strRef>
              <c:f>'bevételek jogcímenként'!$P$1</c:f>
              <c:strCache>
                <c:ptCount val="1"/>
                <c:pt idx="0">
                  <c:v>2024. év</c:v>
                </c:pt>
              </c:strCache>
            </c:strRef>
          </c:tx>
          <c:spPr>
            <a:solidFill>
              <a:schemeClr val="accent4">
                <a:alpha val="7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1"/>
              <c:layout>
                <c:manualLayout>
                  <c:x val="0"/>
                  <c:y val="4.4333654273115359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A2AA-4B49-801C-37703348EA17}"/>
                </c:ext>
              </c:extLst>
            </c:dLbl>
            <c:dLbl>
              <c:idx val="4"/>
              <c:layout>
                <c:manualLayout>
                  <c:x val="1.1695906432748537E-2"/>
                  <c:y val="1.643387541381448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A2AA-4B49-801C-37703348EA1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'bevételek jogcímenként'!$L$2:$L$7</c:f>
              <c:strCache>
                <c:ptCount val="6"/>
                <c:pt idx="0">
                  <c:v>üzemanyag értékesítés</c:v>
                </c:pt>
                <c:pt idx="1">
                  <c:v>repülőtér üzemeltetés</c:v>
                </c:pt>
                <c:pt idx="2">
                  <c:v>repülőgép kiszolgálás</c:v>
                </c:pt>
                <c:pt idx="3">
                  <c:v>bérleti díj bevétel</c:v>
                </c:pt>
                <c:pt idx="4">
                  <c:v>közvetített és továbbszámlázott szolg.</c:v>
                </c:pt>
                <c:pt idx="5">
                  <c:v>egyéb értékesítés, szolgáltatásnyújtás</c:v>
                </c:pt>
              </c:strCache>
            </c:strRef>
          </c:cat>
          <c:val>
            <c:numRef>
              <c:f>'bevételek jogcímenként'!$P$2:$P$7</c:f>
              <c:numCache>
                <c:formatCode>#,##0</c:formatCode>
                <c:ptCount val="6"/>
                <c:pt idx="0">
                  <c:v>216535</c:v>
                </c:pt>
                <c:pt idx="1">
                  <c:v>56667</c:v>
                </c:pt>
                <c:pt idx="2">
                  <c:v>120403</c:v>
                </c:pt>
                <c:pt idx="3">
                  <c:v>89624</c:v>
                </c:pt>
                <c:pt idx="4">
                  <c:v>8889</c:v>
                </c:pt>
                <c:pt idx="5">
                  <c:v>25556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A2AA-4B49-801C-37703348EA17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80"/>
        <c:overlap val="25"/>
        <c:axId val="974029775"/>
        <c:axId val="974027855"/>
      </c:barChart>
      <c:catAx>
        <c:axId val="974029775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587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none" spc="20" normalizeH="0" baseline="0">
                <a:solidFill>
                  <a:schemeClr val="bg1"/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974027855"/>
        <c:crosses val="autoZero"/>
        <c:auto val="1"/>
        <c:lblAlgn val="ctr"/>
        <c:lblOffset val="100"/>
        <c:noMultiLvlLbl val="0"/>
      </c:catAx>
      <c:valAx>
        <c:axId val="974027855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crossAx val="974029775"/>
        <c:crosses val="autoZero"/>
        <c:crossBetween val="between"/>
      </c:valAx>
      <c:spPr>
        <a:gradFill flip="none" rotWithShape="1">
          <a:gsLst>
            <a:gs pos="78000">
              <a:schemeClr val="dk1">
                <a:lumMod val="75000"/>
                <a:lumOff val="25000"/>
              </a:schemeClr>
            </a:gs>
            <a:gs pos="0">
              <a:schemeClr val="bg1">
                <a:lumMod val="75000"/>
              </a:schemeClr>
            </a:gs>
          </a:gsLst>
          <a:lin ang="5400000" scaled="1"/>
          <a:tileRect/>
        </a:gradFill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33277446783030445"/>
          <c:y val="0.95197583864659396"/>
          <c:w val="0.36913843844364364"/>
          <c:h val="3.5427725053848939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bg1"/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>
        <a:lumMod val="50000"/>
      </a:schemeClr>
    </a:solidFill>
    <a:ln w="9525" cap="flat" cmpd="sng" algn="ctr">
      <a:solidFill>
        <a:schemeClr val="tx1">
          <a:lumMod val="50000"/>
          <a:lumOff val="50000"/>
        </a:schemeClr>
      </a:solidFill>
      <a:round/>
    </a:ln>
    <a:effectLst/>
  </c:spPr>
  <c:txPr>
    <a:bodyPr/>
    <a:lstStyle/>
    <a:p>
      <a:pPr>
        <a:defRPr>
          <a:solidFill>
            <a:schemeClr val="bg1"/>
          </a:solidFill>
        </a:defRPr>
      </a:pPr>
      <a:endParaRPr lang="hu-HU"/>
    </a:p>
  </c:txPr>
  <c:externalData r:id="rId3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300" b="1" i="0" u="none" strike="noStrike" kern="1200" baseline="0">
                <a:solidFill>
                  <a:schemeClr val="tx1">
                    <a:lumMod val="95000"/>
                    <a:lumOff val="5000"/>
                  </a:schemeClr>
                </a:solidFill>
                <a:latin typeface="+mj-lt"/>
                <a:ea typeface="+mn-ea"/>
                <a:cs typeface="+mn-cs"/>
              </a:defRPr>
            </a:pPr>
            <a:endParaRPr lang="hu-HU" sz="1300" b="1" baseline="0">
              <a:solidFill>
                <a:schemeClr val="tx1">
                  <a:lumMod val="95000"/>
                  <a:lumOff val="5000"/>
                </a:schemeClr>
              </a:solidFill>
              <a:latin typeface="+mj-lt"/>
            </a:endParaRPr>
          </a:p>
          <a:p>
            <a:pPr>
              <a:defRPr sz="1300">
                <a:solidFill>
                  <a:schemeClr val="tx1">
                    <a:lumMod val="95000"/>
                    <a:lumOff val="5000"/>
                  </a:schemeClr>
                </a:solidFill>
                <a:latin typeface="+mj-lt"/>
              </a:defRPr>
            </a:pPr>
            <a:r>
              <a:rPr lang="hu-HU" sz="1300" b="1" baseline="0">
                <a:solidFill>
                  <a:schemeClr val="tx1">
                    <a:lumMod val="95000"/>
                    <a:lumOff val="5000"/>
                  </a:schemeClr>
                </a:solidFill>
                <a:latin typeface="+mj-lt"/>
              </a:rPr>
              <a:t>Értékesítésből származó nettó bevételek megoszlása </a:t>
            </a:r>
          </a:p>
          <a:p>
            <a:pPr>
              <a:defRPr sz="1300">
                <a:solidFill>
                  <a:schemeClr val="tx1">
                    <a:lumMod val="95000"/>
                    <a:lumOff val="5000"/>
                  </a:schemeClr>
                </a:solidFill>
                <a:latin typeface="+mj-lt"/>
              </a:defRPr>
            </a:pPr>
            <a:r>
              <a:rPr lang="hu-HU" sz="1300" b="1" baseline="0">
                <a:solidFill>
                  <a:schemeClr val="tx1">
                    <a:lumMod val="95000"/>
                    <a:lumOff val="5000"/>
                  </a:schemeClr>
                </a:solidFill>
                <a:latin typeface="+mj-lt"/>
              </a:rPr>
              <a:t>2024. évben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300" b="1" i="0" u="none" strike="noStrike" kern="1200" baseline="0">
              <a:solidFill>
                <a:schemeClr val="tx1">
                  <a:lumMod val="95000"/>
                  <a:lumOff val="5000"/>
                </a:schemeClr>
              </a:solidFill>
              <a:latin typeface="+mj-lt"/>
              <a:ea typeface="+mn-ea"/>
              <a:cs typeface="+mn-cs"/>
            </a:defRPr>
          </a:pPr>
          <a:endParaRPr lang="hu-HU"/>
        </a:p>
      </c:txPr>
    </c:title>
    <c:autoTitleDeleted val="0"/>
    <c:view3D>
      <c:rotX val="5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8169471935274144E-2"/>
          <c:y val="0.24781750566139654"/>
          <c:w val="0.61092705547104387"/>
          <c:h val="0.74399160104986872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1-FE17-4CAF-BC19-36238B2D6003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3-FE17-4CAF-BC19-36238B2D6003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5-FE17-4CAF-BC19-36238B2D6003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7-FE17-4CAF-BC19-36238B2D6003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9-FE17-4CAF-BC19-36238B2D6003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B-FE17-4CAF-BC19-36238B2D6003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D-FE17-4CAF-BC19-36238B2D6003}"/>
              </c:ext>
            </c:extLst>
          </c:dPt>
          <c:dLbls>
            <c:dLbl>
              <c:idx val="4"/>
              <c:layout>
                <c:manualLayout>
                  <c:x val="-4.8605830268311292E-2"/>
                  <c:y val="3.5915410573678287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FE17-4CAF-BC19-36238B2D6003}"/>
                </c:ext>
              </c:extLst>
            </c:dLbl>
            <c:dLbl>
              <c:idx val="5"/>
              <c:layout>
                <c:manualLayout>
                  <c:x val="-2.4949306632375455E-2"/>
                  <c:y val="-4.141522309711286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FE17-4CAF-BC19-36238B2D6003}"/>
                </c:ext>
              </c:extLst>
            </c:dLbl>
            <c:dLbl>
              <c:idx val="6"/>
              <c:layout>
                <c:manualLayout>
                  <c:x val="5.2181898096935846E-3"/>
                  <c:y val="-1.9944206974128235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FE17-4CAF-BC19-36238B2D6003}"/>
                </c:ext>
              </c:extLst>
            </c:dLbl>
            <c:numFmt formatCode="0.0%" sourceLinked="0"/>
            <c:spPr>
              <a:solidFill>
                <a:schemeClr val="bg1">
                  <a:lumMod val="50000"/>
                </a:schemeClr>
              </a:solid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'bevételek jogcímenként'!$A$2:$A$8</c:f>
              <c:strCache>
                <c:ptCount val="7"/>
                <c:pt idx="0">
                  <c:v>üzemanyag értékesítés</c:v>
                </c:pt>
                <c:pt idx="1">
                  <c:v>repülőtér üzemeltetés</c:v>
                </c:pt>
                <c:pt idx="2">
                  <c:v>repülőgép kiszolgálás</c:v>
                </c:pt>
                <c:pt idx="3">
                  <c:v>bérleti díj bevétel</c:v>
                </c:pt>
                <c:pt idx="4">
                  <c:v>közvetített szolgáltatás </c:v>
                </c:pt>
                <c:pt idx="5">
                  <c:v>továbbszámlázott szolgáltatás</c:v>
                </c:pt>
                <c:pt idx="6">
                  <c:v>egyéb értékesítés, szolgáltatásnyújtás</c:v>
                </c:pt>
              </c:strCache>
            </c:strRef>
          </c:cat>
          <c:val>
            <c:numRef>
              <c:f>'bevételek jogcímenként'!$E$2:$E$8</c:f>
              <c:numCache>
                <c:formatCode>#\ ##0\ "Ft"</c:formatCode>
                <c:ptCount val="7"/>
                <c:pt idx="0">
                  <c:v>216534640</c:v>
                </c:pt>
                <c:pt idx="1">
                  <c:v>56667487</c:v>
                </c:pt>
                <c:pt idx="2">
                  <c:v>120402853</c:v>
                </c:pt>
                <c:pt idx="3">
                  <c:v>89623565</c:v>
                </c:pt>
                <c:pt idx="4">
                  <c:v>3213737</c:v>
                </c:pt>
                <c:pt idx="5">
                  <c:v>5675153</c:v>
                </c:pt>
                <c:pt idx="6">
                  <c:v>25555604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E-FE17-4CAF-BC19-36238B2D6003}"/>
            </c:ext>
          </c:extLst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66319065117897835"/>
          <c:y val="0.20427566554180726"/>
          <c:w val="0.28929712277353586"/>
          <c:h val="0.7500100487439072"/>
        </c:manualLayout>
      </c:layout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 flip="none" rotWithShape="1">
      <a:gsLst>
        <a:gs pos="77000">
          <a:schemeClr val="dk1">
            <a:lumMod val="75000"/>
            <a:lumOff val="25000"/>
          </a:schemeClr>
        </a:gs>
        <a:gs pos="29000">
          <a:schemeClr val="bg1">
            <a:lumMod val="75000"/>
          </a:schemeClr>
        </a:gs>
      </a:gsLst>
      <a:lin ang="8100000" scaled="1"/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0" i="0" u="none" strike="noStrike" kern="1200" cap="none" spc="50" normalizeH="0" baseline="0">
                <a:solidFill>
                  <a:schemeClr val="bg1"/>
                </a:solidFill>
                <a:latin typeface="+mj-lt"/>
                <a:ea typeface="+mj-ea"/>
                <a:cs typeface="+mj-cs"/>
              </a:defRPr>
            </a:pPr>
            <a:r>
              <a:rPr lang="hu-HU"/>
              <a:t>Értékesítés korrigált bevétele </a:t>
            </a:r>
          </a:p>
          <a:p>
            <a:pPr>
              <a:defRPr/>
            </a:pPr>
            <a:r>
              <a:rPr lang="hu-HU"/>
              <a:t>(eladott áruk beszerzési készletértéke nélkül)</a:t>
            </a:r>
          </a:p>
          <a:p>
            <a:pPr>
              <a:defRPr/>
            </a:pPr>
            <a:r>
              <a:rPr lang="hu-HU"/>
              <a:t>2021 - 2024. év</a:t>
            </a:r>
          </a:p>
          <a:p>
            <a:pPr>
              <a:defRPr/>
            </a:pPr>
            <a:r>
              <a:rPr lang="hu-HU"/>
              <a:t>(ezer Ft)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0" i="0" u="none" strike="noStrike" kern="1200" cap="none" spc="50" normalizeH="0" baseline="0">
              <a:solidFill>
                <a:schemeClr val="bg1"/>
              </a:solidFill>
              <a:latin typeface="+mj-lt"/>
              <a:ea typeface="+mj-ea"/>
              <a:cs typeface="+mj-cs"/>
            </a:defRPr>
          </a:pPr>
          <a:endParaRPr lang="hu-HU"/>
        </a:p>
      </c:txPr>
    </c:title>
    <c:autoTitleDeleted val="0"/>
    <c:plotArea>
      <c:layout>
        <c:manualLayout>
          <c:layoutTarget val="inner"/>
          <c:xMode val="edge"/>
          <c:yMode val="edge"/>
          <c:x val="9.0285299703390734E-2"/>
          <c:y val="0.19805495406824147"/>
          <c:w val="0.88832178904466208"/>
          <c:h val="0.6704409448818897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'bevétel összehasonlítás'!$B$1</c:f>
              <c:strCache>
                <c:ptCount val="1"/>
                <c:pt idx="0">
                  <c:v>2021. év</c:v>
                </c:pt>
              </c:strCache>
            </c:strRef>
          </c:tx>
          <c:spPr>
            <a:solidFill>
              <a:schemeClr val="accent1">
                <a:alpha val="7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'bevétel összehasonlítás'!$A$2:$A$5</c:f>
              <c:strCache>
                <c:ptCount val="4"/>
                <c:pt idx="0">
                  <c:v>repüléshez közvetlenül kötődő, légiforgalomból származó bevétel</c:v>
                </c:pt>
                <c:pt idx="1">
                  <c:v>bérleti díj</c:v>
                </c:pt>
                <c:pt idx="2">
                  <c:v>üzemanyag értékesítés eredménye</c:v>
                </c:pt>
                <c:pt idx="3">
                  <c:v>közvetített, továbbszámlázott bevételek eredménye</c:v>
                </c:pt>
              </c:strCache>
            </c:strRef>
          </c:cat>
          <c:val>
            <c:numRef>
              <c:f>'bevétel összehasonlítás'!$B$2:$B$5</c:f>
              <c:numCache>
                <c:formatCode>#,##0</c:formatCode>
                <c:ptCount val="4"/>
                <c:pt idx="0">
                  <c:v>28385</c:v>
                </c:pt>
                <c:pt idx="1">
                  <c:v>32439</c:v>
                </c:pt>
                <c:pt idx="2">
                  <c:v>8742</c:v>
                </c:pt>
                <c:pt idx="3">
                  <c:v>122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6BB-48FE-BF76-62A988AAC135}"/>
            </c:ext>
          </c:extLst>
        </c:ser>
        <c:ser>
          <c:idx val="1"/>
          <c:order val="1"/>
          <c:tx>
            <c:strRef>
              <c:f>'bevétel összehasonlítás'!$C$1</c:f>
              <c:strCache>
                <c:ptCount val="1"/>
                <c:pt idx="0">
                  <c:v>2022. év</c:v>
                </c:pt>
              </c:strCache>
            </c:strRef>
          </c:tx>
          <c:spPr>
            <a:solidFill>
              <a:schemeClr val="accent2">
                <a:alpha val="7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'bevétel összehasonlítás'!$A$2:$A$5</c:f>
              <c:strCache>
                <c:ptCount val="4"/>
                <c:pt idx="0">
                  <c:v>repüléshez közvetlenül kötődő, légiforgalomból származó bevétel</c:v>
                </c:pt>
                <c:pt idx="1">
                  <c:v>bérleti díj</c:v>
                </c:pt>
                <c:pt idx="2">
                  <c:v>üzemanyag értékesítés eredménye</c:v>
                </c:pt>
                <c:pt idx="3">
                  <c:v>közvetített, továbbszámlázott bevételek eredménye</c:v>
                </c:pt>
              </c:strCache>
            </c:strRef>
          </c:cat>
          <c:val>
            <c:numRef>
              <c:f>'bevétel összehasonlítás'!$C$2:$C$5</c:f>
              <c:numCache>
                <c:formatCode>#,##0</c:formatCode>
                <c:ptCount val="4"/>
                <c:pt idx="0">
                  <c:v>100651</c:v>
                </c:pt>
                <c:pt idx="1">
                  <c:v>41050</c:v>
                </c:pt>
                <c:pt idx="2">
                  <c:v>22011</c:v>
                </c:pt>
                <c:pt idx="3">
                  <c:v>1996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6BB-48FE-BF76-62A988AAC135}"/>
            </c:ext>
          </c:extLst>
        </c:ser>
        <c:ser>
          <c:idx val="2"/>
          <c:order val="2"/>
          <c:tx>
            <c:strRef>
              <c:f>'bevétel összehasonlítás'!$D$1</c:f>
              <c:strCache>
                <c:ptCount val="1"/>
                <c:pt idx="0">
                  <c:v>2023. év</c:v>
                </c:pt>
              </c:strCache>
            </c:strRef>
          </c:tx>
          <c:spPr>
            <a:solidFill>
              <a:schemeClr val="accent3">
                <a:alpha val="7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3"/>
              <c:layout>
                <c:manualLayout>
                  <c:x val="-1.5898641992454235E-16"/>
                  <c:y val="1.6371171475051727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26BB-48FE-BF76-62A988AAC13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'bevétel összehasonlítás'!$A$2:$A$5</c:f>
              <c:strCache>
                <c:ptCount val="4"/>
                <c:pt idx="0">
                  <c:v>repüléshez közvetlenül kötődő, légiforgalomból származó bevétel</c:v>
                </c:pt>
                <c:pt idx="1">
                  <c:v>bérleti díj</c:v>
                </c:pt>
                <c:pt idx="2">
                  <c:v>üzemanyag értékesítés eredménye</c:v>
                </c:pt>
                <c:pt idx="3">
                  <c:v>közvetített, továbbszámlázott bevételek eredménye</c:v>
                </c:pt>
              </c:strCache>
            </c:strRef>
          </c:cat>
          <c:val>
            <c:numRef>
              <c:f>'bevétel összehasonlítás'!$D$2:$D$5</c:f>
              <c:numCache>
                <c:formatCode>#,##0</c:formatCode>
                <c:ptCount val="4"/>
                <c:pt idx="0">
                  <c:v>93294</c:v>
                </c:pt>
                <c:pt idx="1">
                  <c:v>78618</c:v>
                </c:pt>
                <c:pt idx="2">
                  <c:v>17842</c:v>
                </c:pt>
                <c:pt idx="3">
                  <c:v>-240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26BB-48FE-BF76-62A988AAC135}"/>
            </c:ext>
          </c:extLst>
        </c:ser>
        <c:ser>
          <c:idx val="3"/>
          <c:order val="3"/>
          <c:tx>
            <c:strRef>
              <c:f>'bevétel összehasonlítás'!$E$1</c:f>
              <c:strCache>
                <c:ptCount val="1"/>
                <c:pt idx="0">
                  <c:v>2024. év</c:v>
                </c:pt>
              </c:strCache>
            </c:strRef>
          </c:tx>
          <c:spPr>
            <a:solidFill>
              <a:schemeClr val="accent4">
                <a:alpha val="7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'bevétel összehasonlítás'!$A$2:$A$5</c:f>
              <c:strCache>
                <c:ptCount val="4"/>
                <c:pt idx="0">
                  <c:v>repüléshez közvetlenül kötődő, légiforgalomból származó bevétel</c:v>
                </c:pt>
                <c:pt idx="1">
                  <c:v>bérleti díj</c:v>
                </c:pt>
                <c:pt idx="2">
                  <c:v>üzemanyag értékesítés eredménye</c:v>
                </c:pt>
                <c:pt idx="3">
                  <c:v>közvetített, továbbszámlázott bevételek eredménye</c:v>
                </c:pt>
              </c:strCache>
            </c:strRef>
          </c:cat>
          <c:val>
            <c:numRef>
              <c:f>'bevétel összehasonlítás'!$E$2:$E$5</c:f>
              <c:numCache>
                <c:formatCode>#,##0</c:formatCode>
                <c:ptCount val="4"/>
                <c:pt idx="0">
                  <c:v>177070</c:v>
                </c:pt>
                <c:pt idx="1">
                  <c:v>89624</c:v>
                </c:pt>
                <c:pt idx="2">
                  <c:v>26931</c:v>
                </c:pt>
                <c:pt idx="3">
                  <c:v>4590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26BB-48FE-BF76-62A988AAC13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80"/>
        <c:overlap val="25"/>
        <c:axId val="851143503"/>
        <c:axId val="851101471"/>
      </c:barChart>
      <c:catAx>
        <c:axId val="851143503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low"/>
        <c:spPr>
          <a:noFill/>
          <a:ln w="1587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none" spc="20" normalizeH="0" baseline="0">
                <a:solidFill>
                  <a:schemeClr val="bg1"/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851101471"/>
        <c:crosses val="autoZero"/>
        <c:auto val="1"/>
        <c:lblAlgn val="ctr"/>
        <c:lblOffset val="150"/>
        <c:tickLblSkip val="1"/>
        <c:noMultiLvlLbl val="0"/>
      </c:catAx>
      <c:valAx>
        <c:axId val="851101471"/>
        <c:scaling>
          <c:orientation val="minMax"/>
          <c:max val="200000"/>
          <c:min val="-1000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spc="20" baseline="0">
                <a:solidFill>
                  <a:schemeClr val="bg1"/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851143503"/>
        <c:crosses val="autoZero"/>
        <c:crossBetween val="between"/>
        <c:majorUnit val="25000"/>
      </c:valAx>
      <c:spPr>
        <a:gradFill flip="none" rotWithShape="1">
          <a:gsLst>
            <a:gs pos="15000">
              <a:schemeClr val="bg1">
                <a:lumMod val="85000"/>
              </a:schemeClr>
            </a:gs>
            <a:gs pos="100000">
              <a:schemeClr val="tx1">
                <a:lumMod val="65000"/>
                <a:lumOff val="35000"/>
              </a:schemeClr>
            </a:gs>
          </a:gsLst>
          <a:path path="circle">
            <a:fillToRect l="100000" b="100000"/>
          </a:path>
          <a:tileRect t="-100000" r="-100000"/>
        </a:gradFill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bg1"/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>
      <a:gsLst>
        <a:gs pos="9000">
          <a:schemeClr val="tx1">
            <a:lumMod val="50000"/>
            <a:lumOff val="50000"/>
          </a:schemeClr>
        </a:gs>
        <a:gs pos="100000">
          <a:schemeClr val="tx1">
            <a:lumMod val="65000"/>
            <a:lumOff val="35000"/>
          </a:schemeClr>
        </a:gs>
      </a:gsLst>
      <a:lin ang="18900000" scaled="1"/>
    </a:gra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solidFill>
            <a:schemeClr val="bg1"/>
          </a:solidFill>
        </a:defRPr>
      </a:pPr>
      <a:endParaRPr lang="hu-HU"/>
    </a:p>
  </c:txPr>
  <c:externalData r:id="rId3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spc="100" baseline="0">
                <a:solidFill>
                  <a:schemeClr val="lt1">
                    <a:lumMod val="95000"/>
                  </a:schemeClr>
                </a:solidFill>
                <a:effectLst>
                  <a:outerShdw blurRad="50800" dist="38100" dir="5400000" algn="t" rotWithShape="0">
                    <a:prstClr val="black">
                      <a:alpha val="40000"/>
                    </a:prstClr>
                  </a:outerShdw>
                </a:effectLst>
                <a:latin typeface="+mn-lt"/>
                <a:ea typeface="+mn-ea"/>
                <a:cs typeface="+mn-cs"/>
              </a:defRPr>
            </a:pPr>
            <a:r>
              <a:rPr lang="hu-HU"/>
              <a:t>Értékesített üzemanyagmennyiség (liter)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spc="100" baseline="0">
              <a:solidFill>
                <a:schemeClr val="lt1">
                  <a:lumMod val="95000"/>
                </a:schemeClr>
              </a:solidFill>
              <a:effectLst>
                <a:outerShdw blurRad="50800" dist="38100" dir="5400000" algn="t" rotWithShape="0">
                  <a:prstClr val="black">
                    <a:alpha val="40000"/>
                  </a:prstClr>
                </a:outerShdw>
              </a:effectLst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'bevétel összehasonlítás'!$A$41</c:f>
              <c:strCache>
                <c:ptCount val="1"/>
                <c:pt idx="0">
                  <c:v>JET-A1 (kerozin)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atMod val="103000"/>
                    <a:lumMod val="102000"/>
                    <a:tint val="94000"/>
                  </a:schemeClr>
                </a:gs>
                <a:gs pos="50000">
                  <a:schemeClr val="accent1">
                    <a:satMod val="110000"/>
                    <a:lumMod val="100000"/>
                    <a:shade val="100000"/>
                  </a:schemeClr>
                </a:gs>
                <a:gs pos="100000">
                  <a:schemeClr val="accent1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'bevétel összehasonlítás'!$B$40:$E$40</c:f>
              <c:strCache>
                <c:ptCount val="4"/>
                <c:pt idx="0">
                  <c:v>2021. év</c:v>
                </c:pt>
                <c:pt idx="1">
                  <c:v>2022. év</c:v>
                </c:pt>
                <c:pt idx="2">
                  <c:v>2023. év</c:v>
                </c:pt>
                <c:pt idx="3">
                  <c:v>2024.év</c:v>
                </c:pt>
              </c:strCache>
            </c:strRef>
          </c:cat>
          <c:val>
            <c:numRef>
              <c:f>'bevétel összehasonlítás'!$B$41:$E$41</c:f>
              <c:numCache>
                <c:formatCode>#,##0</c:formatCode>
                <c:ptCount val="4"/>
                <c:pt idx="0">
                  <c:v>238462</c:v>
                </c:pt>
                <c:pt idx="1">
                  <c:v>315353</c:v>
                </c:pt>
                <c:pt idx="2">
                  <c:v>264647</c:v>
                </c:pt>
                <c:pt idx="3">
                  <c:v>708346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3B4-4F3A-ACBA-F29336274024}"/>
            </c:ext>
          </c:extLst>
        </c:ser>
        <c:ser>
          <c:idx val="1"/>
          <c:order val="1"/>
          <c:tx>
            <c:strRef>
              <c:f>'bevétel összehasonlítás'!$A$42</c:f>
              <c:strCache>
                <c:ptCount val="1"/>
                <c:pt idx="0">
                  <c:v>AVGAS 100 (rep.benzin)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atMod val="103000"/>
                    <a:lumMod val="102000"/>
                    <a:tint val="94000"/>
                  </a:schemeClr>
                </a:gs>
                <a:gs pos="50000">
                  <a:schemeClr val="accent3">
                    <a:satMod val="110000"/>
                    <a:lumMod val="100000"/>
                    <a:shade val="100000"/>
                  </a:schemeClr>
                </a:gs>
                <a:gs pos="100000">
                  <a:schemeClr val="accent3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'bevétel összehasonlítás'!$B$40:$E$40</c:f>
              <c:strCache>
                <c:ptCount val="4"/>
                <c:pt idx="0">
                  <c:v>2021. év</c:v>
                </c:pt>
                <c:pt idx="1">
                  <c:v>2022. év</c:v>
                </c:pt>
                <c:pt idx="2">
                  <c:v>2023. év</c:v>
                </c:pt>
                <c:pt idx="3">
                  <c:v>2024.év</c:v>
                </c:pt>
              </c:strCache>
            </c:strRef>
          </c:cat>
          <c:val>
            <c:numRef>
              <c:f>'bevétel összehasonlítás'!$B$42:$E$42</c:f>
              <c:numCache>
                <c:formatCode>#,##0</c:formatCode>
                <c:ptCount val="4"/>
                <c:pt idx="0">
                  <c:v>25421</c:v>
                </c:pt>
                <c:pt idx="1">
                  <c:v>26034</c:v>
                </c:pt>
                <c:pt idx="2">
                  <c:v>14721</c:v>
                </c:pt>
                <c:pt idx="3">
                  <c:v>17194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3B4-4F3A-ACBA-F2933627402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5"/>
        <c:overlap val="40"/>
        <c:axId val="976721215"/>
        <c:axId val="964548687"/>
      </c:barChart>
      <c:lineChart>
        <c:grouping val="standard"/>
        <c:varyColors val="0"/>
        <c:ser>
          <c:idx val="2"/>
          <c:order val="2"/>
          <c:tx>
            <c:strRef>
              <c:f>'bevétel összehasonlítás'!$A$43</c:f>
              <c:strCache>
                <c:ptCount val="1"/>
                <c:pt idx="0">
                  <c:v>összesen üzemag.</c:v>
                </c:pt>
              </c:strCache>
            </c:strRef>
          </c:tx>
          <c:spPr>
            <a:ln w="69850" cap="rnd">
              <a:solidFill>
                <a:srgbClr val="FF0000"/>
              </a:solidFill>
              <a:round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</c:spPr>
          <c:marker>
            <c:symbol val="none"/>
          </c:marker>
          <c:dLbls>
            <c:dLbl>
              <c:idx val="0"/>
              <c:layout>
                <c:manualLayout>
                  <c:x val="-7.8239024334450416E-2"/>
                  <c:y val="-4.327101864829122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33B4-4F3A-ACBA-F29336274024}"/>
                </c:ext>
              </c:extLst>
            </c:dLbl>
            <c:dLbl>
              <c:idx val="1"/>
              <c:layout>
                <c:manualLayout>
                  <c:x val="-4.8239266763145203E-2"/>
                  <c:y val="-6.01851851851852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33B4-4F3A-ACBA-F29336274024}"/>
                </c:ext>
              </c:extLst>
            </c:dLbl>
            <c:dLbl>
              <c:idx val="2"/>
              <c:layout>
                <c:manualLayout>
                  <c:x val="0"/>
                  <c:y val="1.254967580004183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33B4-4F3A-ACBA-F29336274024}"/>
                </c:ext>
              </c:extLst>
            </c:dLbl>
            <c:dLbl>
              <c:idx val="3"/>
              <c:layout>
                <c:manualLayout>
                  <c:x val="-8.9230130732517274E-2"/>
                  <c:y val="-2.509935160008366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33B4-4F3A-ACBA-F2933627402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'bevétel összehasonlítás'!$B$40:$E$40</c:f>
              <c:strCache>
                <c:ptCount val="4"/>
                <c:pt idx="0">
                  <c:v>2021. év</c:v>
                </c:pt>
                <c:pt idx="1">
                  <c:v>2022. év</c:v>
                </c:pt>
                <c:pt idx="2">
                  <c:v>2023. év</c:v>
                </c:pt>
                <c:pt idx="3">
                  <c:v>2024.év</c:v>
                </c:pt>
              </c:strCache>
            </c:strRef>
          </c:cat>
          <c:val>
            <c:numRef>
              <c:f>'bevétel összehasonlítás'!$B$43:$E$43</c:f>
              <c:numCache>
                <c:formatCode>#,##0</c:formatCode>
                <c:ptCount val="4"/>
                <c:pt idx="0">
                  <c:v>263883</c:v>
                </c:pt>
                <c:pt idx="1">
                  <c:v>341387</c:v>
                </c:pt>
                <c:pt idx="2">
                  <c:v>279368</c:v>
                </c:pt>
                <c:pt idx="3">
                  <c:v>725540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4-33B4-4F3A-ACBA-F2933627402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976721215"/>
        <c:axId val="964548687"/>
      </c:lineChart>
      <c:catAx>
        <c:axId val="976721215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lt1">
                <a:lumMod val="95000"/>
                <a:alpha val="54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964548687"/>
        <c:crosses val="autoZero"/>
        <c:auto val="1"/>
        <c:lblAlgn val="ctr"/>
        <c:lblOffset val="100"/>
        <c:noMultiLvlLbl val="0"/>
      </c:catAx>
      <c:valAx>
        <c:axId val="964548687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0">
                    <a:schemeClr val="accent1">
                      <a:lumMod val="5000"/>
                      <a:lumOff val="95000"/>
                    </a:schemeClr>
                  </a:gs>
                  <a:gs pos="74000">
                    <a:schemeClr val="accent1">
                      <a:lumMod val="45000"/>
                      <a:lumOff val="55000"/>
                    </a:schemeClr>
                  </a:gs>
                  <a:gs pos="83000">
                    <a:schemeClr val="accent1">
                      <a:lumMod val="45000"/>
                      <a:lumOff val="55000"/>
                    </a:schemeClr>
                  </a:gs>
                  <a:gs pos="100000">
                    <a:schemeClr val="accent1">
                      <a:lumMod val="30000"/>
                      <a:lumOff val="70000"/>
                    </a:schemeClr>
                  </a:gs>
                </a:gsLst>
                <a:lin ang="5400000" scaled="1"/>
              </a:gra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976721215"/>
        <c:crosses val="autoZero"/>
        <c:crossBetween val="between"/>
      </c:valAx>
      <c:dTable>
        <c:showHorzBorder val="1"/>
        <c:showVertBorder val="1"/>
        <c:showOutline val="1"/>
        <c:showKeys val="1"/>
        <c:spPr>
          <a:noFill/>
          <a:ln w="9525">
            <a:solidFill>
              <a:schemeClr val="lt1">
                <a:lumMod val="95000"/>
                <a:alpha val="54000"/>
              </a:schemeClr>
            </a:solidFill>
          </a:ln>
          <a:effectLst/>
        </c:spPr>
        <c:txPr>
          <a:bodyPr rot="0" spcFirstLastPara="1" vertOverflow="ellipsis" vert="horz" wrap="square" anchor="ctr" anchorCtr="1"/>
          <a:lstStyle/>
          <a:p>
            <a:pPr rtl="0"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</c:dTable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 flip="none" rotWithShape="1">
      <a:gsLst>
        <a:gs pos="52000">
          <a:schemeClr val="dk1">
            <a:lumMod val="75000"/>
            <a:lumOff val="25000"/>
          </a:schemeClr>
        </a:gs>
        <a:gs pos="100000">
          <a:schemeClr val="bg1">
            <a:lumMod val="75000"/>
          </a:schemeClr>
        </a:gs>
      </a:gsLst>
      <a:path path="circle">
        <a:fillToRect l="50000" t="50000" r="50000" b="50000"/>
      </a:path>
      <a:tileRect/>
    </a:gradFill>
    <a:ln>
      <a:gradFill flip="none" rotWithShape="1">
        <a:gsLst>
          <a:gs pos="91959">
            <a:schemeClr val="bg1">
              <a:lumMod val="50000"/>
            </a:schemeClr>
          </a:gs>
          <a:gs pos="0">
            <a:schemeClr val="bg1">
              <a:lumMod val="50000"/>
              <a:alpha val="66000"/>
            </a:schemeClr>
          </a:gs>
          <a:gs pos="83000">
            <a:schemeClr val="bg1">
              <a:lumMod val="50000"/>
            </a:schemeClr>
          </a:gs>
          <a:gs pos="100000">
            <a:schemeClr val="bg1">
              <a:lumMod val="50000"/>
            </a:schemeClr>
          </a:gs>
        </a:gsLst>
        <a:path path="circle">
          <a:fillToRect l="100000" t="100000"/>
        </a:path>
        <a:tileRect r="-100000" b="-100000"/>
      </a:gradFill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spc="100" baseline="0">
                <a:solidFill>
                  <a:schemeClr val="lt1">
                    <a:lumMod val="95000"/>
                  </a:schemeClr>
                </a:solidFill>
                <a:effectLst>
                  <a:outerShdw blurRad="50800" dist="38100" dir="5400000" algn="t" rotWithShape="0">
                    <a:prstClr val="black">
                      <a:alpha val="40000"/>
                    </a:prstClr>
                  </a:outerShdw>
                </a:effectLst>
                <a:latin typeface="+mn-lt"/>
                <a:ea typeface="+mn-ea"/>
                <a:cs typeface="+mn-cs"/>
              </a:defRPr>
            </a:pPr>
            <a:r>
              <a:rPr lang="hu-HU"/>
              <a:t>Költségek, ráfordítások teljesülése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spc="100" baseline="0">
              <a:solidFill>
                <a:schemeClr val="lt1">
                  <a:lumMod val="95000"/>
                </a:schemeClr>
              </a:solidFill>
              <a:effectLst>
                <a:outerShdw blurRad="50800" dist="38100" dir="5400000" algn="t" rotWithShape="0">
                  <a:prstClr val="black">
                    <a:alpha val="40000"/>
                  </a:prstClr>
                </a:outerShdw>
              </a:effectLst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'változások a tervezetthez képes'!$B$29</c:f>
              <c:strCache>
                <c:ptCount val="1"/>
                <c:pt idx="0">
                  <c:v>2024. évi terv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atMod val="103000"/>
                    <a:lumMod val="102000"/>
                    <a:tint val="94000"/>
                  </a:schemeClr>
                </a:gs>
                <a:gs pos="50000">
                  <a:schemeClr val="accent1">
                    <a:satMod val="110000"/>
                    <a:lumMod val="100000"/>
                    <a:shade val="100000"/>
                  </a:schemeClr>
                </a:gs>
                <a:gs pos="100000">
                  <a:schemeClr val="accent1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'változások a tervezetthez képes'!$A$30:$A$33</c:f>
              <c:strCache>
                <c:ptCount val="4"/>
                <c:pt idx="0">
                  <c:v>anyagjellegű ráfordítások</c:v>
                </c:pt>
                <c:pt idx="1">
                  <c:v>személyi jellegű ráfordítások</c:v>
                </c:pt>
                <c:pt idx="2">
                  <c:v>értékcsökkenési leírás</c:v>
                </c:pt>
                <c:pt idx="3">
                  <c:v>egyéb ráfordítások</c:v>
                </c:pt>
              </c:strCache>
            </c:strRef>
          </c:cat>
          <c:val>
            <c:numRef>
              <c:f>'változások a tervezetthez képes'!$B$30:$B$33</c:f>
              <c:numCache>
                <c:formatCode>#,##0</c:formatCode>
                <c:ptCount val="4"/>
                <c:pt idx="0">
                  <c:v>431897770</c:v>
                </c:pt>
                <c:pt idx="1">
                  <c:v>378506720</c:v>
                </c:pt>
                <c:pt idx="2">
                  <c:v>119469529</c:v>
                </c:pt>
                <c:pt idx="3">
                  <c:v>7153555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560-4172-8AB2-7C202336130E}"/>
            </c:ext>
          </c:extLst>
        </c:ser>
        <c:ser>
          <c:idx val="1"/>
          <c:order val="1"/>
          <c:tx>
            <c:strRef>
              <c:f>'változások a tervezetthez képes'!$C$29</c:f>
              <c:strCache>
                <c:ptCount val="1"/>
                <c:pt idx="0">
                  <c:v>2024. évi tény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atMod val="103000"/>
                    <a:lumMod val="102000"/>
                    <a:tint val="94000"/>
                  </a:schemeClr>
                </a:gs>
                <a:gs pos="50000">
                  <a:schemeClr val="accent3">
                    <a:satMod val="110000"/>
                    <a:lumMod val="100000"/>
                    <a:shade val="100000"/>
                  </a:schemeClr>
                </a:gs>
                <a:gs pos="100000">
                  <a:schemeClr val="accent3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'változások a tervezetthez képes'!$A$30:$A$33</c:f>
              <c:strCache>
                <c:ptCount val="4"/>
                <c:pt idx="0">
                  <c:v>anyagjellegű ráfordítások</c:v>
                </c:pt>
                <c:pt idx="1">
                  <c:v>személyi jellegű ráfordítások</c:v>
                </c:pt>
                <c:pt idx="2">
                  <c:v>értékcsökkenési leírás</c:v>
                </c:pt>
                <c:pt idx="3">
                  <c:v>egyéb ráfordítások</c:v>
                </c:pt>
              </c:strCache>
            </c:strRef>
          </c:cat>
          <c:val>
            <c:numRef>
              <c:f>'változások a tervezetthez képes'!$C$30:$C$33</c:f>
              <c:numCache>
                <c:formatCode>#,##0</c:formatCode>
                <c:ptCount val="4"/>
                <c:pt idx="0">
                  <c:v>558729314</c:v>
                </c:pt>
                <c:pt idx="1">
                  <c:v>365281382</c:v>
                </c:pt>
                <c:pt idx="2">
                  <c:v>144968193</c:v>
                </c:pt>
                <c:pt idx="3">
                  <c:v>323424766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560-4172-8AB2-7C202336130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-24"/>
        <c:axId val="1085825136"/>
        <c:axId val="1085830896"/>
      </c:barChart>
      <c:catAx>
        <c:axId val="108582513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lt1">
                <a:lumMod val="95000"/>
                <a:alpha val="54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085830896"/>
        <c:crosses val="autoZero"/>
        <c:auto val="1"/>
        <c:lblAlgn val="ctr"/>
        <c:lblOffset val="100"/>
        <c:noMultiLvlLbl val="0"/>
      </c:catAx>
      <c:valAx>
        <c:axId val="108583089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lt1">
                  <a:lumMod val="95000"/>
                  <a:alpha val="10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085825136"/>
        <c:crosses val="autoZero"/>
        <c:crossBetween val="between"/>
        <c:dispUnits>
          <c:builtInUnit val="millions"/>
          <c:dispUnitsLbl>
            <c:spPr>
              <a:noFill/>
              <a:ln>
                <a:noFill/>
              </a:ln>
              <a:effectLst/>
            </c:spPr>
            <c:txPr>
              <a:bodyPr rot="-5400000" spcFirstLastPara="1" vertOverflow="ellipsis" vert="horz" wrap="square" anchor="ctr" anchorCtr="1"/>
              <a:lstStyle/>
              <a:p>
                <a:pPr>
                  <a:defRPr sz="900" b="1" i="0" u="none" strike="noStrike" kern="1200" cap="all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</c:dispUnitsLbl>
        </c:dispUnits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 flip="none" rotWithShape="1">
      <a:gsLst>
        <a:gs pos="0">
          <a:schemeClr val="dk1">
            <a:lumMod val="65000"/>
            <a:lumOff val="35000"/>
          </a:schemeClr>
        </a:gs>
        <a:gs pos="100000">
          <a:schemeClr val="dk1">
            <a:lumMod val="85000"/>
            <a:lumOff val="15000"/>
          </a:schemeClr>
        </a:gs>
      </a:gsLst>
      <a:path path="circle">
        <a:fillToRect l="50000" t="50000" r="50000" b="50000"/>
      </a:path>
      <a:tileRect/>
    </a:gradFill>
    <a:ln>
      <a:noFill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baseline="0">
                <a:solidFill>
                  <a:schemeClr val="bg1"/>
                </a:solidFill>
                <a:latin typeface="+mn-lt"/>
                <a:ea typeface="+mn-ea"/>
                <a:cs typeface="+mn-cs"/>
              </a:defRPr>
            </a:pPr>
            <a:endParaRPr lang="hu-HU" sz="1600">
              <a:solidFill>
                <a:schemeClr val="bg1"/>
              </a:solidFill>
            </a:endParaRPr>
          </a:p>
          <a:p>
            <a:pPr>
              <a:defRPr>
                <a:solidFill>
                  <a:schemeClr val="bg1"/>
                </a:solidFill>
              </a:defRPr>
            </a:pPr>
            <a:r>
              <a:rPr lang="hu-HU" sz="1600">
                <a:solidFill>
                  <a:schemeClr val="bg1"/>
                </a:solidFill>
              </a:rPr>
              <a:t>Költségek és ráfordítások megoszlása 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chemeClr val="bg1"/>
              </a:solidFill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view3D>
      <c:rotX val="40"/>
      <c:rotY val="200"/>
      <c:depthPercent val="100"/>
      <c:rAngAx val="0"/>
      <c:perspective val="4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5.970285444709636E-2"/>
          <c:y val="0.18674881288693876"/>
          <c:w val="0.89319375085997577"/>
          <c:h val="0.75218239375097751"/>
        </c:manualLayout>
      </c:layout>
      <c:pie3DChart>
        <c:varyColors val="1"/>
        <c:ser>
          <c:idx val="1"/>
          <c:order val="1"/>
          <c:dPt>
            <c:idx val="0"/>
            <c:bubble3D val="0"/>
            <c:spPr>
              <a:gradFill rotWithShape="1">
                <a:gsLst>
                  <a:gs pos="0">
                    <a:schemeClr val="accent1">
                      <a:satMod val="103000"/>
                      <a:lumMod val="102000"/>
                      <a:tint val="94000"/>
                    </a:schemeClr>
                  </a:gs>
                  <a:gs pos="50000">
                    <a:schemeClr val="accent1">
                      <a:satMod val="110000"/>
                      <a:lumMod val="100000"/>
                      <a:shade val="100000"/>
                    </a:schemeClr>
                  </a:gs>
                  <a:gs pos="100000">
                    <a:schemeClr val="accent1">
                      <a:lumMod val="99000"/>
                      <a:satMod val="120000"/>
                      <a:shade val="78000"/>
                    </a:schemeClr>
                  </a:gs>
                </a:gsLst>
                <a:lin ang="5400000" scaled="0"/>
              </a:gra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1-5846-4DB5-98FF-A2D09C4BE2AE}"/>
              </c:ext>
            </c:extLst>
          </c:dPt>
          <c:dPt>
            <c:idx val="1"/>
            <c:bubble3D val="0"/>
            <c:spPr>
              <a:gradFill rotWithShape="1">
                <a:gsLst>
                  <a:gs pos="0">
                    <a:schemeClr val="accent2">
                      <a:satMod val="103000"/>
                      <a:lumMod val="102000"/>
                      <a:tint val="94000"/>
                    </a:schemeClr>
                  </a:gs>
                  <a:gs pos="50000">
                    <a:schemeClr val="accent2">
                      <a:satMod val="110000"/>
                      <a:lumMod val="100000"/>
                      <a:shade val="100000"/>
                    </a:schemeClr>
                  </a:gs>
                  <a:gs pos="100000">
                    <a:schemeClr val="accent2">
                      <a:lumMod val="99000"/>
                      <a:satMod val="120000"/>
                      <a:shade val="78000"/>
                    </a:schemeClr>
                  </a:gs>
                </a:gsLst>
                <a:lin ang="5400000" scaled="0"/>
              </a:gra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3-5846-4DB5-98FF-A2D09C4BE2AE}"/>
              </c:ext>
            </c:extLst>
          </c:dPt>
          <c:dPt>
            <c:idx val="2"/>
            <c:bubble3D val="0"/>
            <c:spPr>
              <a:gradFill rotWithShape="1">
                <a:gsLst>
                  <a:gs pos="0">
                    <a:schemeClr val="accent3">
                      <a:satMod val="103000"/>
                      <a:lumMod val="102000"/>
                      <a:tint val="94000"/>
                    </a:schemeClr>
                  </a:gs>
                  <a:gs pos="50000">
                    <a:schemeClr val="accent3">
                      <a:satMod val="110000"/>
                      <a:lumMod val="100000"/>
                      <a:shade val="100000"/>
                    </a:schemeClr>
                  </a:gs>
                  <a:gs pos="100000">
                    <a:schemeClr val="accent3">
                      <a:lumMod val="99000"/>
                      <a:satMod val="120000"/>
                      <a:shade val="78000"/>
                    </a:schemeClr>
                  </a:gs>
                </a:gsLst>
                <a:lin ang="5400000" scaled="0"/>
              </a:gra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5-5846-4DB5-98FF-A2D09C4BE2AE}"/>
              </c:ext>
            </c:extLst>
          </c:dPt>
          <c:dPt>
            <c:idx val="3"/>
            <c:bubble3D val="0"/>
            <c:spPr>
              <a:gradFill rotWithShape="1">
                <a:gsLst>
                  <a:gs pos="0">
                    <a:schemeClr val="accent4">
                      <a:satMod val="103000"/>
                      <a:lumMod val="102000"/>
                      <a:tint val="94000"/>
                    </a:schemeClr>
                  </a:gs>
                  <a:gs pos="50000">
                    <a:schemeClr val="accent4">
                      <a:satMod val="110000"/>
                      <a:lumMod val="100000"/>
                      <a:shade val="100000"/>
                    </a:schemeClr>
                  </a:gs>
                  <a:gs pos="100000">
                    <a:schemeClr val="accent4">
                      <a:lumMod val="99000"/>
                      <a:satMod val="120000"/>
                      <a:shade val="78000"/>
                    </a:schemeClr>
                  </a:gs>
                </a:gsLst>
                <a:lin ang="5400000" scaled="0"/>
              </a:gra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7-5846-4DB5-98FF-A2D09C4BE2AE}"/>
              </c:ext>
            </c:extLst>
          </c:dPt>
          <c:dLbls>
            <c:numFmt formatCode="0.0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tx2">
                      <a:lumMod val="35000"/>
                      <a:lumOff val="65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ráfordítások!$A$2:$A$5</c:f>
              <c:strCache>
                <c:ptCount val="4"/>
                <c:pt idx="0">
                  <c:v>anyagjellegű ráfordítások</c:v>
                </c:pt>
                <c:pt idx="1">
                  <c:v>személyi jellegű ráfordítások</c:v>
                </c:pt>
                <c:pt idx="2">
                  <c:v>értékcsökkenési leírás</c:v>
                </c:pt>
                <c:pt idx="3">
                  <c:v>egyéb ráfordítások</c:v>
                </c:pt>
              </c:strCache>
            </c:strRef>
          </c:cat>
          <c:val>
            <c:numRef>
              <c:f>ráfordítások!$H$2:$H$5</c:f>
              <c:numCache>
                <c:formatCode>#,##0</c:formatCode>
                <c:ptCount val="4"/>
                <c:pt idx="0">
                  <c:v>558729314</c:v>
                </c:pt>
                <c:pt idx="1">
                  <c:v>365281382</c:v>
                </c:pt>
                <c:pt idx="2">
                  <c:v>144968193</c:v>
                </c:pt>
                <c:pt idx="3">
                  <c:v>323424766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5846-4DB5-98FF-A2D09C4BE2AE}"/>
            </c:ext>
          </c:extLst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extLst>
          <c:ext xmlns:c15="http://schemas.microsoft.com/office/drawing/2012/chart" uri="{02D57815-91ED-43cb-92C2-25804820EDAC}">
            <c15:filteredPieSeries>
              <c15:ser>
                <c:idx val="0"/>
                <c:order val="0"/>
                <c:dPt>
                  <c:idx val="0"/>
                  <c:bubble3D val="0"/>
                  <c:spPr>
                    <a:gradFill rotWithShape="1">
                      <a:gsLst>
                        <a:gs pos="0">
                          <a:schemeClr val="accent1">
                            <a:satMod val="103000"/>
                            <a:lumMod val="102000"/>
                            <a:tint val="94000"/>
                          </a:schemeClr>
                        </a:gs>
                        <a:gs pos="50000">
                          <a:schemeClr val="accent1">
                            <a:satMod val="110000"/>
                            <a:lumMod val="100000"/>
                            <a:shade val="100000"/>
                          </a:schemeClr>
                        </a:gs>
                        <a:gs pos="100000">
                          <a:schemeClr val="accent1">
                            <a:lumMod val="99000"/>
                            <a:satMod val="120000"/>
                            <a:shade val="78000"/>
                          </a:schemeClr>
                        </a:gs>
                      </a:gsLst>
                      <a:lin ang="5400000" scaled="0"/>
                    </a:gradFill>
                    <a:ln>
                      <a:noFill/>
                    </a:ln>
                    <a:effectLst/>
                    <a:sp3d/>
                  </c:spPr>
                  <c:extLst>
                    <c:ext xmlns:c16="http://schemas.microsoft.com/office/drawing/2014/chart" uri="{C3380CC4-5D6E-409C-BE32-E72D297353CC}">
                      <c16:uniqueId val="{0000000A-5846-4DB5-98FF-A2D09C4BE2AE}"/>
                    </c:ext>
                  </c:extLst>
                </c:dPt>
                <c:dPt>
                  <c:idx val="1"/>
                  <c:bubble3D val="0"/>
                  <c:spPr>
                    <a:gradFill rotWithShape="1">
                      <a:gsLst>
                        <a:gs pos="0">
                          <a:schemeClr val="accent2">
                            <a:satMod val="103000"/>
                            <a:lumMod val="102000"/>
                            <a:tint val="94000"/>
                          </a:schemeClr>
                        </a:gs>
                        <a:gs pos="50000">
                          <a:schemeClr val="accent2">
                            <a:satMod val="110000"/>
                            <a:lumMod val="100000"/>
                            <a:shade val="100000"/>
                          </a:schemeClr>
                        </a:gs>
                        <a:gs pos="100000">
                          <a:schemeClr val="accent2">
                            <a:lumMod val="99000"/>
                            <a:satMod val="120000"/>
                            <a:shade val="78000"/>
                          </a:schemeClr>
                        </a:gs>
                      </a:gsLst>
                      <a:lin ang="5400000" scaled="0"/>
                    </a:gradFill>
                    <a:ln>
                      <a:noFill/>
                    </a:ln>
                    <a:effectLst/>
                    <a:sp3d/>
                  </c:spPr>
                  <c:extLst>
                    <c:ext xmlns:c16="http://schemas.microsoft.com/office/drawing/2014/chart" uri="{C3380CC4-5D6E-409C-BE32-E72D297353CC}">
                      <c16:uniqueId val="{0000000C-5846-4DB5-98FF-A2D09C4BE2AE}"/>
                    </c:ext>
                  </c:extLst>
                </c:dPt>
                <c:dPt>
                  <c:idx val="2"/>
                  <c:bubble3D val="0"/>
                  <c:spPr>
                    <a:gradFill rotWithShape="1">
                      <a:gsLst>
                        <a:gs pos="0">
                          <a:schemeClr val="accent3">
                            <a:satMod val="103000"/>
                            <a:lumMod val="102000"/>
                            <a:tint val="94000"/>
                          </a:schemeClr>
                        </a:gs>
                        <a:gs pos="50000">
                          <a:schemeClr val="accent3">
                            <a:satMod val="110000"/>
                            <a:lumMod val="100000"/>
                            <a:shade val="100000"/>
                          </a:schemeClr>
                        </a:gs>
                        <a:gs pos="100000">
                          <a:schemeClr val="accent3">
                            <a:lumMod val="99000"/>
                            <a:satMod val="120000"/>
                            <a:shade val="78000"/>
                          </a:schemeClr>
                        </a:gs>
                      </a:gsLst>
                      <a:lin ang="5400000" scaled="0"/>
                    </a:gradFill>
                    <a:ln>
                      <a:noFill/>
                    </a:ln>
                    <a:effectLst/>
                    <a:sp3d/>
                  </c:spPr>
                  <c:extLst>
                    <c:ext xmlns:c16="http://schemas.microsoft.com/office/drawing/2014/chart" uri="{C3380CC4-5D6E-409C-BE32-E72D297353CC}">
                      <c16:uniqueId val="{0000000E-5846-4DB5-98FF-A2D09C4BE2AE}"/>
                    </c:ext>
                  </c:extLst>
                </c:dPt>
                <c:dPt>
                  <c:idx val="3"/>
                  <c:bubble3D val="0"/>
                  <c:spPr>
                    <a:gradFill rotWithShape="1">
                      <a:gsLst>
                        <a:gs pos="0">
                          <a:schemeClr val="accent4">
                            <a:satMod val="103000"/>
                            <a:lumMod val="102000"/>
                            <a:tint val="94000"/>
                          </a:schemeClr>
                        </a:gs>
                        <a:gs pos="50000">
                          <a:schemeClr val="accent4">
                            <a:satMod val="110000"/>
                            <a:lumMod val="100000"/>
                            <a:shade val="100000"/>
                          </a:schemeClr>
                        </a:gs>
                        <a:gs pos="100000">
                          <a:schemeClr val="accent4">
                            <a:lumMod val="99000"/>
                            <a:satMod val="120000"/>
                            <a:shade val="78000"/>
                          </a:schemeClr>
                        </a:gs>
                      </a:gsLst>
                      <a:lin ang="5400000" scaled="0"/>
                    </a:gradFill>
                    <a:ln>
                      <a:noFill/>
                    </a:ln>
                    <a:effectLst/>
                    <a:sp3d/>
                  </c:spPr>
                  <c:extLst>
                    <c:ext xmlns:c16="http://schemas.microsoft.com/office/drawing/2014/chart" uri="{C3380CC4-5D6E-409C-BE32-E72D297353CC}">
                      <c16:uniqueId val="{00000010-5846-4DB5-98FF-A2D09C4BE2AE}"/>
                    </c:ext>
                  </c:extLst>
                </c:dPt>
                <c:dLbls>
                  <c:delete val="1"/>
                </c:dLbls>
                <c:cat>
                  <c:strRef>
                    <c:extLst>
                      <c:ext uri="{02D57815-91ED-43cb-92C2-25804820EDAC}">
                        <c15:formulaRef>
                          <c15:sqref>ráfordítások!$A$2:$A$5</c15:sqref>
                        </c15:formulaRef>
                      </c:ext>
                    </c:extLst>
                    <c:strCache>
                      <c:ptCount val="4"/>
                      <c:pt idx="0">
                        <c:v>anyagjellegű ráfordítások</c:v>
                      </c:pt>
                      <c:pt idx="1">
                        <c:v>személyi jellegű ráfordítások</c:v>
                      </c:pt>
                      <c:pt idx="2">
                        <c:v>értékcsökkenési leírás</c:v>
                      </c:pt>
                      <c:pt idx="3">
                        <c:v>egyéb ráfordítások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ráfordítások!$D$2:$D$5</c15:sqref>
                        </c15:formulaRef>
                      </c:ext>
                    </c:extLst>
                    <c:numCache>
                      <c:formatCode>#,##0</c:formatCode>
                      <c:ptCount val="4"/>
                      <c:pt idx="0">
                        <c:v>396986397</c:v>
                      </c:pt>
                      <c:pt idx="1">
                        <c:v>328869847</c:v>
                      </c:pt>
                      <c:pt idx="2">
                        <c:v>123031199</c:v>
                      </c:pt>
                      <c:pt idx="3">
                        <c:v>218185038</c:v>
                      </c:pt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11-5846-4DB5-98FF-A2D09C4BE2AE}"/>
                  </c:ext>
                </c:extLst>
              </c15:ser>
            </c15:filteredPieSeries>
          </c:ext>
        </c:extLst>
      </c:pie3DChart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2.5764132974649977E-2"/>
          <c:y val="0.87073004763293482"/>
          <c:w val="0.95096549963673493"/>
          <c:h val="0.1107514338485467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1050" b="0" i="0" u="none" strike="noStrike" kern="1200" baseline="0">
              <a:solidFill>
                <a:schemeClr val="bg1"/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>
      <a:gsLst>
        <a:gs pos="0">
          <a:schemeClr val="tx1">
            <a:lumMod val="50000"/>
            <a:lumOff val="50000"/>
          </a:schemeClr>
        </a:gs>
        <a:gs pos="76000">
          <a:schemeClr val="tx1">
            <a:lumMod val="51000"/>
            <a:lumOff val="49000"/>
          </a:schemeClr>
        </a:gs>
        <a:gs pos="91000">
          <a:schemeClr val="tx1">
            <a:lumMod val="75000"/>
            <a:lumOff val="25000"/>
          </a:schemeClr>
        </a:gs>
        <a:gs pos="100000">
          <a:schemeClr val="tx1">
            <a:lumMod val="85000"/>
            <a:lumOff val="15000"/>
          </a:schemeClr>
        </a:gs>
      </a:gsLst>
      <a:path path="circle">
        <a:fillToRect l="50000" t="50000" r="50000" b="50000"/>
      </a:path>
    </a:gradFill>
    <a:ln w="9525" cap="flat" cmpd="sng" algn="ctr">
      <a:solidFill>
        <a:schemeClr val="tx2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chemeClr val="bg1"/>
                </a:solidFill>
                <a:latin typeface="+mn-lt"/>
                <a:ea typeface="+mn-ea"/>
                <a:cs typeface="+mn-cs"/>
              </a:defRPr>
            </a:pPr>
            <a:r>
              <a:rPr lang="hu-HU" sz="1400">
                <a:solidFill>
                  <a:schemeClr val="bg1"/>
                </a:solidFill>
              </a:rPr>
              <a:t>Költségek, ráfordítások alakulása (ezer</a:t>
            </a:r>
            <a:r>
              <a:rPr lang="hu-HU" sz="1400" baseline="0">
                <a:solidFill>
                  <a:schemeClr val="bg1"/>
                </a:solidFill>
              </a:rPr>
              <a:t> Ft)</a:t>
            </a:r>
            <a:endParaRPr lang="en-US" sz="1400">
              <a:solidFill>
                <a:schemeClr val="bg1"/>
              </a:solidFill>
            </a:endParaRPr>
          </a:p>
        </c:rich>
      </c:tx>
      <c:layout>
        <c:manualLayout>
          <c:xMode val="edge"/>
          <c:yMode val="edge"/>
          <c:x val="0.26481689075598791"/>
          <c:y val="4.9284205585543299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baseline="0">
              <a:solidFill>
                <a:schemeClr val="bg1"/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988571675115953"/>
          <c:y val="0.11868216953988472"/>
          <c:w val="0.80114283248840468"/>
          <c:h val="0.82665467978201834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ráfordítások!$B$12</c:f>
              <c:strCache>
                <c:ptCount val="1"/>
                <c:pt idx="0">
                  <c:v>2021. év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numFmt formatCode="#,##0" sourceLinked="0"/>
            <c:spPr>
              <a:noFill/>
              <a:ln>
                <a:noFill/>
              </a:ln>
              <a:effectLst/>
            </c:spPr>
            <c:txPr>
              <a:bodyPr rot="0" spcFirstLastPara="1" vertOverflow="overflow" horzOverflow="overflow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5="http://schemas.microsoft.com/office/drawing/2012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ráfordítások!$A$13:$A$16</c:f>
              <c:strCache>
                <c:ptCount val="4"/>
                <c:pt idx="0">
                  <c:v>anyagjellegű ráfordítások</c:v>
                </c:pt>
                <c:pt idx="1">
                  <c:v>személyi jellegű ráfordítások</c:v>
                </c:pt>
                <c:pt idx="2">
                  <c:v>értékcsökkenési leírás</c:v>
                </c:pt>
                <c:pt idx="3">
                  <c:v>egyéb ráfordítások</c:v>
                </c:pt>
              </c:strCache>
            </c:strRef>
          </c:cat>
          <c:val>
            <c:numRef>
              <c:f>ráfordítások!$B$13:$B$16</c:f>
              <c:numCache>
                <c:formatCode>#,##0</c:formatCode>
                <c:ptCount val="4"/>
                <c:pt idx="0">
                  <c:v>237111</c:v>
                </c:pt>
                <c:pt idx="1">
                  <c:v>221856</c:v>
                </c:pt>
                <c:pt idx="2">
                  <c:v>81387</c:v>
                </c:pt>
                <c:pt idx="3">
                  <c:v>11122</c:v>
                </c:pt>
              </c:numCache>
            </c:numRef>
          </c:val>
          <c:extLst xmlns:c15="http://schemas.microsoft.com/office/drawing/2012/chart">
            <c:ext xmlns:c16="http://schemas.microsoft.com/office/drawing/2014/chart" uri="{C3380CC4-5D6E-409C-BE32-E72D297353CC}">
              <c16:uniqueId val="{00000000-DD11-448F-9185-9290B4E01F38}"/>
            </c:ext>
          </c:extLst>
        </c:ser>
        <c:ser>
          <c:idx val="1"/>
          <c:order val="1"/>
          <c:tx>
            <c:strRef>
              <c:f>ráfordítások!$C$12</c:f>
              <c:strCache>
                <c:ptCount val="1"/>
                <c:pt idx="0">
                  <c:v>2022. év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5="http://schemas.microsoft.com/office/drawing/2012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ráfordítások!$A$13:$A$16</c:f>
              <c:strCache>
                <c:ptCount val="4"/>
                <c:pt idx="0">
                  <c:v>anyagjellegű ráfordítások</c:v>
                </c:pt>
                <c:pt idx="1">
                  <c:v>személyi jellegű ráfordítások</c:v>
                </c:pt>
                <c:pt idx="2">
                  <c:v>értékcsökkenési leírás</c:v>
                </c:pt>
                <c:pt idx="3">
                  <c:v>egyéb ráfordítások</c:v>
                </c:pt>
              </c:strCache>
            </c:strRef>
          </c:cat>
          <c:val>
            <c:numRef>
              <c:f>ráfordítások!$C$13:$C$16</c:f>
              <c:numCache>
                <c:formatCode>#,##0</c:formatCode>
                <c:ptCount val="4"/>
                <c:pt idx="0">
                  <c:v>469944</c:v>
                </c:pt>
                <c:pt idx="1">
                  <c:v>288425</c:v>
                </c:pt>
                <c:pt idx="2">
                  <c:v>108916</c:v>
                </c:pt>
                <c:pt idx="3">
                  <c:v>4048</c:v>
                </c:pt>
              </c:numCache>
            </c:numRef>
          </c:val>
          <c:extLst xmlns:c15="http://schemas.microsoft.com/office/drawing/2012/chart">
            <c:ext xmlns:c16="http://schemas.microsoft.com/office/drawing/2014/chart" uri="{C3380CC4-5D6E-409C-BE32-E72D297353CC}">
              <c16:uniqueId val="{00000001-DD11-448F-9185-9290B4E01F38}"/>
            </c:ext>
          </c:extLst>
        </c:ser>
        <c:ser>
          <c:idx val="2"/>
          <c:order val="2"/>
          <c:tx>
            <c:strRef>
              <c:f>ráfordítások!$D$12</c:f>
              <c:strCache>
                <c:ptCount val="1"/>
                <c:pt idx="0">
                  <c:v>2023. év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5="http://schemas.microsoft.com/office/drawing/2012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ráfordítások!$A$13:$A$16</c:f>
              <c:strCache>
                <c:ptCount val="4"/>
                <c:pt idx="0">
                  <c:v>anyagjellegű ráfordítások</c:v>
                </c:pt>
                <c:pt idx="1">
                  <c:v>személyi jellegű ráfordítások</c:v>
                </c:pt>
                <c:pt idx="2">
                  <c:v>értékcsökkenési leírás</c:v>
                </c:pt>
                <c:pt idx="3">
                  <c:v>egyéb ráfordítások</c:v>
                </c:pt>
              </c:strCache>
            </c:strRef>
          </c:cat>
          <c:val>
            <c:numRef>
              <c:f>ráfordítások!$D$13:$D$16</c:f>
              <c:numCache>
                <c:formatCode>#,##0</c:formatCode>
                <c:ptCount val="4"/>
                <c:pt idx="0">
                  <c:v>396986</c:v>
                </c:pt>
                <c:pt idx="1">
                  <c:v>328870</c:v>
                </c:pt>
                <c:pt idx="2">
                  <c:v>123031</c:v>
                </c:pt>
                <c:pt idx="3">
                  <c:v>218185</c:v>
                </c:pt>
              </c:numCache>
            </c:numRef>
          </c:val>
          <c:extLst xmlns:c15="http://schemas.microsoft.com/office/drawing/2012/chart">
            <c:ext xmlns:c16="http://schemas.microsoft.com/office/drawing/2014/chart" uri="{C3380CC4-5D6E-409C-BE32-E72D297353CC}">
              <c16:uniqueId val="{00000002-DD11-448F-9185-9290B4E01F38}"/>
            </c:ext>
          </c:extLst>
        </c:ser>
        <c:ser>
          <c:idx val="3"/>
          <c:order val="3"/>
          <c:tx>
            <c:strRef>
              <c:f>ráfordítások!$E$12</c:f>
              <c:strCache>
                <c:ptCount val="1"/>
                <c:pt idx="0">
                  <c:v>2024. év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ráfordítások!$A$13:$A$16</c:f>
              <c:strCache>
                <c:ptCount val="4"/>
                <c:pt idx="0">
                  <c:v>anyagjellegű ráfordítások</c:v>
                </c:pt>
                <c:pt idx="1">
                  <c:v>személyi jellegű ráfordítások</c:v>
                </c:pt>
                <c:pt idx="2">
                  <c:v>értékcsökkenési leírás</c:v>
                </c:pt>
                <c:pt idx="3">
                  <c:v>egyéb ráfordítások</c:v>
                </c:pt>
              </c:strCache>
            </c:strRef>
          </c:cat>
          <c:val>
            <c:numRef>
              <c:f>ráfordítások!$E$13:$E$16</c:f>
              <c:numCache>
                <c:formatCode>#,##0</c:formatCode>
                <c:ptCount val="4"/>
                <c:pt idx="0">
                  <c:v>558729</c:v>
                </c:pt>
                <c:pt idx="1">
                  <c:v>365281</c:v>
                </c:pt>
                <c:pt idx="2">
                  <c:v>144968</c:v>
                </c:pt>
                <c:pt idx="3">
                  <c:v>323425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DD11-448F-9185-9290B4E01F38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gapWidth val="79"/>
        <c:overlap val="16"/>
        <c:axId val="1171695535"/>
        <c:axId val="1171692655"/>
        <c:extLst/>
      </c:barChart>
      <c:catAx>
        <c:axId val="1171695535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bg1"/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171692655"/>
        <c:crosses val="autoZero"/>
        <c:auto val="0"/>
        <c:lblAlgn val="ctr"/>
        <c:lblOffset val="100"/>
        <c:noMultiLvlLbl val="0"/>
      </c:catAx>
      <c:valAx>
        <c:axId val="1171692655"/>
        <c:scaling>
          <c:orientation val="minMax"/>
        </c:scaling>
        <c:delete val="1"/>
        <c:axPos val="t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crossAx val="1171695535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36179180656287463"/>
          <c:y val="0.94440694047593077"/>
          <c:w val="0.46736226446656232"/>
          <c:h val="4.1742644011603811E-2"/>
        </c:manualLayout>
      </c:layout>
      <c:overlay val="1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 flip="none" rotWithShape="1">
      <a:gsLst>
        <a:gs pos="0">
          <a:schemeClr val="tx1">
            <a:lumMod val="50000"/>
            <a:lumOff val="50000"/>
          </a:schemeClr>
        </a:gs>
        <a:gs pos="75000">
          <a:schemeClr val="tx1">
            <a:lumMod val="51000"/>
            <a:lumOff val="49000"/>
          </a:schemeClr>
        </a:gs>
        <a:gs pos="83000">
          <a:schemeClr val="tx1">
            <a:lumMod val="75000"/>
            <a:lumOff val="25000"/>
          </a:schemeClr>
        </a:gs>
        <a:gs pos="100000">
          <a:schemeClr val="tx1">
            <a:lumMod val="85000"/>
            <a:lumOff val="15000"/>
          </a:schemeClr>
        </a:gs>
      </a:gsLst>
      <a:path path="circle">
        <a:fillToRect l="50000" t="50000" r="50000" b="5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spc="100" baseline="0">
                <a:solidFill>
                  <a:schemeClr val="lt1">
                    <a:lumMod val="95000"/>
                  </a:schemeClr>
                </a:solidFill>
                <a:effectLst>
                  <a:outerShdw blurRad="50800" dist="38100" dir="5400000" algn="t" rotWithShape="0">
                    <a:prstClr val="black">
                      <a:alpha val="40000"/>
                    </a:prstClr>
                  </a:outerShdw>
                </a:effectLst>
                <a:latin typeface="+mn-lt"/>
                <a:ea typeface="+mn-ea"/>
                <a:cs typeface="+mn-cs"/>
              </a:defRPr>
            </a:pPr>
            <a:r>
              <a:rPr lang="hu-HU"/>
              <a:t>Anyagjellegű ráfordítások teljesülése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spc="100" baseline="0">
              <a:solidFill>
                <a:schemeClr val="lt1">
                  <a:lumMod val="95000"/>
                </a:schemeClr>
              </a:solidFill>
              <a:effectLst>
                <a:outerShdw blurRad="50800" dist="38100" dir="5400000" algn="t" rotWithShape="0">
                  <a:prstClr val="black">
                    <a:alpha val="40000"/>
                  </a:prstClr>
                </a:outerShdw>
              </a:effectLst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'változások a tervezetthez képes'!$B$21</c:f>
              <c:strCache>
                <c:ptCount val="1"/>
                <c:pt idx="0">
                  <c:v>2024. évi terv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atMod val="103000"/>
                    <a:lumMod val="102000"/>
                    <a:tint val="94000"/>
                  </a:schemeClr>
                </a:gs>
                <a:gs pos="50000">
                  <a:schemeClr val="accent1">
                    <a:satMod val="110000"/>
                    <a:lumMod val="100000"/>
                    <a:shade val="100000"/>
                  </a:schemeClr>
                </a:gs>
                <a:gs pos="100000">
                  <a:schemeClr val="accent1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'változások a tervezetthez képes'!$A$22:$A$25</c:f>
              <c:strCache>
                <c:ptCount val="4"/>
                <c:pt idx="0">
                  <c:v>anyagköltség</c:v>
                </c:pt>
                <c:pt idx="1">
                  <c:v>igénybevett szolgáltatások</c:v>
                </c:pt>
                <c:pt idx="2">
                  <c:v>egyéb szolgáltatások</c:v>
                </c:pt>
                <c:pt idx="3">
                  <c:v>ELÁBÉ és közvetített szolgáltatások</c:v>
                </c:pt>
              </c:strCache>
            </c:strRef>
          </c:cat>
          <c:val>
            <c:numRef>
              <c:f>'változások a tervezetthez képes'!$B$22:$B$25</c:f>
              <c:numCache>
                <c:formatCode>#,##0</c:formatCode>
                <c:ptCount val="4"/>
                <c:pt idx="0">
                  <c:v>90005319</c:v>
                </c:pt>
                <c:pt idx="1">
                  <c:v>220340036</c:v>
                </c:pt>
                <c:pt idx="2">
                  <c:v>31685774</c:v>
                </c:pt>
                <c:pt idx="3">
                  <c:v>89866641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27A-47BE-BD9C-CD8F7DE45373}"/>
            </c:ext>
          </c:extLst>
        </c:ser>
        <c:ser>
          <c:idx val="1"/>
          <c:order val="1"/>
          <c:tx>
            <c:strRef>
              <c:f>'változások a tervezetthez képes'!$C$21</c:f>
              <c:strCache>
                <c:ptCount val="1"/>
                <c:pt idx="0">
                  <c:v>2024. évi tény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atMod val="103000"/>
                    <a:lumMod val="102000"/>
                    <a:tint val="94000"/>
                  </a:schemeClr>
                </a:gs>
                <a:gs pos="50000">
                  <a:schemeClr val="accent3">
                    <a:satMod val="110000"/>
                    <a:lumMod val="100000"/>
                    <a:shade val="100000"/>
                  </a:schemeClr>
                </a:gs>
                <a:gs pos="100000">
                  <a:schemeClr val="accent3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'változások a tervezetthez képes'!$A$22:$A$25</c:f>
              <c:strCache>
                <c:ptCount val="4"/>
                <c:pt idx="0">
                  <c:v>anyagköltség</c:v>
                </c:pt>
                <c:pt idx="1">
                  <c:v>igénybevett szolgáltatások</c:v>
                </c:pt>
                <c:pt idx="2">
                  <c:v>egyéb szolgáltatások</c:v>
                </c:pt>
                <c:pt idx="3">
                  <c:v>ELÁBÉ és közvetített szolgáltatások</c:v>
                </c:pt>
              </c:strCache>
            </c:strRef>
          </c:cat>
          <c:val>
            <c:numRef>
              <c:f>'változások a tervezetthez képes'!$C$22:$C$25</c:f>
              <c:numCache>
                <c:formatCode>#,##0</c:formatCode>
                <c:ptCount val="4"/>
                <c:pt idx="0">
                  <c:v>57236562</c:v>
                </c:pt>
                <c:pt idx="1">
                  <c:v>271526696</c:v>
                </c:pt>
                <c:pt idx="2">
                  <c:v>36338949</c:v>
                </c:pt>
                <c:pt idx="3">
                  <c:v>189072098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27A-47BE-BD9C-CD8F7DE4537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-24"/>
        <c:axId val="665488704"/>
        <c:axId val="665486784"/>
      </c:barChart>
      <c:catAx>
        <c:axId val="66548870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lt1">
                <a:lumMod val="95000"/>
                <a:alpha val="54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665486784"/>
        <c:crosses val="autoZero"/>
        <c:auto val="1"/>
        <c:lblAlgn val="ctr"/>
        <c:lblOffset val="100"/>
        <c:noMultiLvlLbl val="0"/>
      </c:catAx>
      <c:valAx>
        <c:axId val="66548678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lt1">
                  <a:lumMod val="95000"/>
                  <a:alpha val="10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665488704"/>
        <c:crosses val="autoZero"/>
        <c:crossBetween val="between"/>
        <c:dispUnits>
          <c:builtInUnit val="millions"/>
          <c:dispUnitsLbl>
            <c:spPr>
              <a:noFill/>
              <a:ln>
                <a:noFill/>
              </a:ln>
              <a:effectLst/>
            </c:spPr>
            <c:txPr>
              <a:bodyPr rot="-5400000" spcFirstLastPara="1" vertOverflow="ellipsis" vert="horz" wrap="square" anchor="ctr" anchorCtr="1"/>
              <a:lstStyle/>
              <a:p>
                <a:pPr>
                  <a:defRPr sz="900" b="1" i="0" u="none" strike="noStrike" kern="1200" cap="all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</c:dispUnitsLbl>
        </c:dispUnits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 flip="none" rotWithShape="1">
      <a:gsLst>
        <a:gs pos="0">
          <a:schemeClr val="dk1">
            <a:lumMod val="65000"/>
            <a:lumOff val="35000"/>
          </a:schemeClr>
        </a:gs>
        <a:gs pos="100000">
          <a:schemeClr val="dk1">
            <a:lumMod val="85000"/>
            <a:lumOff val="15000"/>
          </a:schemeClr>
        </a:gs>
      </a:gsLst>
      <a:path path="circle">
        <a:fillToRect l="50000" t="50000" r="50000" b="50000"/>
      </a:path>
      <a:tileRect/>
    </a:gradFill>
    <a:ln>
      <a:noFill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bg1"/>
                </a:solidFill>
                <a:latin typeface="+mn-lt"/>
                <a:ea typeface="+mn-ea"/>
                <a:cs typeface="+mn-cs"/>
              </a:defRPr>
            </a:pPr>
            <a:r>
              <a:rPr lang="hu-HU">
                <a:solidFill>
                  <a:schemeClr val="bg1"/>
                </a:solidFill>
              </a:rPr>
              <a:t>Anyagjellegű ráfordítások alakulása (ezer Ft)</a:t>
            </a:r>
            <a:endParaRPr lang="en-US">
              <a:solidFill>
                <a:schemeClr val="bg1"/>
              </a:solidFill>
            </a:endParaRP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baseline="0">
              <a:solidFill>
                <a:schemeClr val="bg1"/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5891084012921294"/>
          <c:y val="0.10579858891838589"/>
          <c:w val="0.82520060848380672"/>
          <c:h val="0.79867272400986922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'ráfordítások (2)'!$B$10</c:f>
              <c:strCache>
                <c:ptCount val="1"/>
                <c:pt idx="0">
                  <c:v>2021. év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numFmt formatCode="#,##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5="http://schemas.microsoft.com/office/drawing/2012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'ráfordítások (2)'!$A$11:$A$14</c:f>
              <c:strCache>
                <c:ptCount val="4"/>
                <c:pt idx="0">
                  <c:v>anyagköltség</c:v>
                </c:pt>
                <c:pt idx="1">
                  <c:v>igénybevett szolgáltatások</c:v>
                </c:pt>
                <c:pt idx="2">
                  <c:v>egyéb szolgáltatások</c:v>
                </c:pt>
                <c:pt idx="3">
                  <c:v>ELÁBÉ és közvetített szolgáltatások</c:v>
                </c:pt>
              </c:strCache>
            </c:strRef>
          </c:cat>
          <c:val>
            <c:numRef>
              <c:f>'ráfordítások (2)'!$B$11:$B$14</c:f>
              <c:numCache>
                <c:formatCode>#,##0</c:formatCode>
                <c:ptCount val="4"/>
                <c:pt idx="0">
                  <c:v>26678</c:v>
                </c:pt>
                <c:pt idx="1">
                  <c:v>148363</c:v>
                </c:pt>
                <c:pt idx="2">
                  <c:v>13688</c:v>
                </c:pt>
                <c:pt idx="3">
                  <c:v>48383</c:v>
                </c:pt>
              </c:numCache>
            </c:numRef>
          </c:val>
          <c:extLst xmlns:c15="http://schemas.microsoft.com/office/drawing/2012/chart">
            <c:ext xmlns:c16="http://schemas.microsoft.com/office/drawing/2014/chart" uri="{C3380CC4-5D6E-409C-BE32-E72D297353CC}">
              <c16:uniqueId val="{00000000-A9AF-42F9-AFDB-FEF4911765B8}"/>
            </c:ext>
          </c:extLst>
        </c:ser>
        <c:ser>
          <c:idx val="1"/>
          <c:order val="1"/>
          <c:tx>
            <c:strRef>
              <c:f>'ráfordítások (2)'!$C$10</c:f>
              <c:strCache>
                <c:ptCount val="1"/>
                <c:pt idx="0">
                  <c:v>2022. év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5="http://schemas.microsoft.com/office/drawing/2012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'ráfordítások (2)'!$A$11:$A$14</c:f>
              <c:strCache>
                <c:ptCount val="4"/>
                <c:pt idx="0">
                  <c:v>anyagköltség</c:v>
                </c:pt>
                <c:pt idx="1">
                  <c:v>igénybevett szolgáltatások</c:v>
                </c:pt>
                <c:pt idx="2">
                  <c:v>egyéb szolgáltatások</c:v>
                </c:pt>
                <c:pt idx="3">
                  <c:v>ELÁBÉ és közvetített szolgáltatások</c:v>
                </c:pt>
              </c:strCache>
            </c:strRef>
          </c:cat>
          <c:val>
            <c:numRef>
              <c:f>'ráfordítások (2)'!$C$11:$C$14</c:f>
              <c:numCache>
                <c:formatCode>#,##0</c:formatCode>
                <c:ptCount val="4"/>
                <c:pt idx="0">
                  <c:v>88968</c:v>
                </c:pt>
                <c:pt idx="1">
                  <c:v>224581</c:v>
                </c:pt>
                <c:pt idx="2">
                  <c:v>21513</c:v>
                </c:pt>
                <c:pt idx="3">
                  <c:v>134882</c:v>
                </c:pt>
              </c:numCache>
            </c:numRef>
          </c:val>
          <c:extLst xmlns:c15="http://schemas.microsoft.com/office/drawing/2012/chart">
            <c:ext xmlns:c16="http://schemas.microsoft.com/office/drawing/2014/chart" uri="{C3380CC4-5D6E-409C-BE32-E72D297353CC}">
              <c16:uniqueId val="{00000001-A9AF-42F9-AFDB-FEF4911765B8}"/>
            </c:ext>
          </c:extLst>
        </c:ser>
        <c:ser>
          <c:idx val="2"/>
          <c:order val="2"/>
          <c:tx>
            <c:strRef>
              <c:f>'ráfordítások (2)'!$D$10</c:f>
              <c:strCache>
                <c:ptCount val="1"/>
                <c:pt idx="0">
                  <c:v>2023. év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5="http://schemas.microsoft.com/office/drawing/2012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'ráfordítások (2)'!$A$11:$A$14</c:f>
              <c:strCache>
                <c:ptCount val="4"/>
                <c:pt idx="0">
                  <c:v>anyagköltség</c:v>
                </c:pt>
                <c:pt idx="1">
                  <c:v>igénybevett szolgáltatások</c:v>
                </c:pt>
                <c:pt idx="2">
                  <c:v>egyéb szolgáltatások</c:v>
                </c:pt>
                <c:pt idx="3">
                  <c:v>ELÁBÉ és közvetített szolgáltatások</c:v>
                </c:pt>
              </c:strCache>
            </c:strRef>
          </c:cat>
          <c:val>
            <c:numRef>
              <c:f>'ráfordítások (2)'!$D$11:$D$14</c:f>
              <c:numCache>
                <c:formatCode>#,##0</c:formatCode>
                <c:ptCount val="4"/>
                <c:pt idx="0">
                  <c:v>80996</c:v>
                </c:pt>
                <c:pt idx="1">
                  <c:v>203521</c:v>
                </c:pt>
                <c:pt idx="2">
                  <c:v>392</c:v>
                </c:pt>
                <c:pt idx="3">
                  <c:v>3800</c:v>
                </c:pt>
              </c:numCache>
            </c:numRef>
          </c:val>
          <c:extLst xmlns:c15="http://schemas.microsoft.com/office/drawing/2012/chart">
            <c:ext xmlns:c16="http://schemas.microsoft.com/office/drawing/2014/chart" uri="{C3380CC4-5D6E-409C-BE32-E72D297353CC}">
              <c16:uniqueId val="{00000002-A9AF-42F9-AFDB-FEF4911765B8}"/>
            </c:ext>
          </c:extLst>
        </c:ser>
        <c:ser>
          <c:idx val="3"/>
          <c:order val="3"/>
          <c:tx>
            <c:strRef>
              <c:f>'ráfordítások (2)'!$E$10</c:f>
              <c:strCache>
                <c:ptCount val="1"/>
                <c:pt idx="0">
                  <c:v>2024. év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'ráfordítások (2)'!$A$11:$A$14</c:f>
              <c:strCache>
                <c:ptCount val="4"/>
                <c:pt idx="0">
                  <c:v>anyagköltség</c:v>
                </c:pt>
                <c:pt idx="1">
                  <c:v>igénybevett szolgáltatások</c:v>
                </c:pt>
                <c:pt idx="2">
                  <c:v>egyéb szolgáltatások</c:v>
                </c:pt>
                <c:pt idx="3">
                  <c:v>ELÁBÉ és közvetített szolgáltatások</c:v>
                </c:pt>
              </c:strCache>
            </c:strRef>
          </c:cat>
          <c:val>
            <c:numRef>
              <c:f>'ráfordítások (2)'!$E$11:$E$14</c:f>
              <c:numCache>
                <c:formatCode>#,##0</c:formatCode>
                <c:ptCount val="4"/>
                <c:pt idx="0">
                  <c:v>57237</c:v>
                </c:pt>
                <c:pt idx="1">
                  <c:v>271527</c:v>
                </c:pt>
                <c:pt idx="2">
                  <c:v>36339</c:v>
                </c:pt>
                <c:pt idx="3">
                  <c:v>189072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A9AF-42F9-AFDB-FEF4911765B8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gapWidth val="61"/>
        <c:overlap val="-4"/>
        <c:axId val="1171695535"/>
        <c:axId val="1171692655"/>
        <c:extLst/>
      </c:barChart>
      <c:catAx>
        <c:axId val="1171695535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bg1"/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171692655"/>
        <c:crosses val="autoZero"/>
        <c:auto val="0"/>
        <c:lblAlgn val="ctr"/>
        <c:lblOffset val="100"/>
        <c:noMultiLvlLbl val="0"/>
      </c:catAx>
      <c:valAx>
        <c:axId val="1171692655"/>
        <c:scaling>
          <c:orientation val="minMax"/>
        </c:scaling>
        <c:delete val="1"/>
        <c:axPos val="t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crossAx val="1171695535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22382729011354885"/>
          <c:y val="0.94163766268596449"/>
          <c:w val="0.64728905827628103"/>
          <c:h val="4.3054262304467968E-2"/>
        </c:manualLayout>
      </c:layout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 flip="none" rotWithShape="1">
      <a:gsLst>
        <a:gs pos="8000">
          <a:schemeClr val="bg1">
            <a:lumMod val="85000"/>
          </a:schemeClr>
        </a:gs>
        <a:gs pos="50000">
          <a:schemeClr val="tx1">
            <a:lumMod val="50000"/>
            <a:lumOff val="50000"/>
          </a:schemeClr>
        </a:gs>
        <a:gs pos="100000">
          <a:schemeClr val="tx1">
            <a:lumMod val="65000"/>
            <a:lumOff val="35000"/>
          </a:schemeClr>
        </a:gs>
      </a:gsLst>
      <a:path path="circle">
        <a:fillToRect l="50000" t="50000" r="50000" b="5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 baseline="0"/>
      </a:pPr>
      <a:endParaRPr lang="hu-HU"/>
    </a:p>
  </c:txPr>
  <c:externalData r:id="rId3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spc="100" baseline="0">
                <a:solidFill>
                  <a:schemeClr val="lt1">
                    <a:lumMod val="95000"/>
                  </a:schemeClr>
                </a:solidFill>
                <a:effectLst>
                  <a:outerShdw blurRad="50800" dist="38100" dir="5400000" algn="t" rotWithShape="0">
                    <a:prstClr val="black">
                      <a:alpha val="40000"/>
                    </a:prstClr>
                  </a:outerShdw>
                </a:effectLst>
                <a:latin typeface="+mn-lt"/>
                <a:ea typeface="+mn-ea"/>
                <a:cs typeface="+mn-cs"/>
              </a:defRPr>
            </a:pPr>
            <a:r>
              <a:rPr lang="hu-HU"/>
              <a:t>Átlagjövedelem alakulása (Ft)</a:t>
            </a:r>
          </a:p>
          <a:p>
            <a:pPr>
              <a:defRPr/>
            </a:pPr>
            <a:r>
              <a:rPr lang="hu-HU"/>
              <a:t>2021. - 2024. évek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spc="100" baseline="0">
              <a:solidFill>
                <a:schemeClr val="lt1">
                  <a:lumMod val="95000"/>
                </a:schemeClr>
              </a:solidFill>
              <a:effectLst>
                <a:outerShdw blurRad="50800" dist="38100" dir="5400000" algn="t" rotWithShape="0">
                  <a:prstClr val="black">
                    <a:alpha val="40000"/>
                  </a:prstClr>
                </a:outerShdw>
              </a:effectLst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bérek!$H$3</c:f>
              <c:strCache>
                <c:ptCount val="1"/>
                <c:pt idx="0">
                  <c:v>átlagkereset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atMod val="103000"/>
                    <a:lumMod val="102000"/>
                    <a:tint val="94000"/>
                  </a:schemeClr>
                </a:gs>
                <a:gs pos="50000">
                  <a:schemeClr val="accent1">
                    <a:satMod val="110000"/>
                    <a:lumMod val="100000"/>
                    <a:shade val="100000"/>
                  </a:schemeClr>
                </a:gs>
                <a:gs pos="100000">
                  <a:schemeClr val="accent1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solidFill>
                <a:schemeClr val="lt1"/>
              </a:solidFill>
              <a:ln>
                <a:noFill/>
              </a:ln>
              <a:effectLst/>
            </c:spPr>
            <c:txPr>
              <a:bodyPr rot="0" spcFirstLastPara="1" vertOverflow="clip" horzOverflow="clip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pPr xmlns:c15="http://schemas.microsoft.com/office/drawing/2012/chart">
                  <a:prstGeom prst="roundRect">
                    <a:avLst/>
                  </a:prstGeom>
                  <a:noFill/>
                  <a:ln>
                    <a:noFill/>
                  </a:ln>
                </c15:spPr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bérek!$I$2:$L$2</c:f>
              <c:strCache>
                <c:ptCount val="4"/>
                <c:pt idx="0">
                  <c:v>2021. év</c:v>
                </c:pt>
                <c:pt idx="1">
                  <c:v>2022. év</c:v>
                </c:pt>
                <c:pt idx="2">
                  <c:v>2023. év</c:v>
                </c:pt>
                <c:pt idx="3">
                  <c:v>2024. év</c:v>
                </c:pt>
              </c:strCache>
            </c:strRef>
          </c:cat>
          <c:val>
            <c:numRef>
              <c:f>bérek!$I$3:$L$3</c:f>
              <c:numCache>
                <c:formatCode>#\ ##0\ "Ft"</c:formatCode>
                <c:ptCount val="4"/>
                <c:pt idx="0">
                  <c:v>395807.51458333334</c:v>
                </c:pt>
                <c:pt idx="1">
                  <c:v>478905.56746031746</c:v>
                </c:pt>
                <c:pt idx="2">
                  <c:v>502173.16485507245</c:v>
                </c:pt>
                <c:pt idx="3">
                  <c:v>602996.36363636365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8FC-4FDE-84F0-5464D1C6FE26}"/>
            </c:ext>
          </c:extLst>
        </c:ser>
        <c:ser>
          <c:idx val="1"/>
          <c:order val="1"/>
          <c:tx>
            <c:strRef>
              <c:f>bérek!$H$4</c:f>
              <c:strCache>
                <c:ptCount val="1"/>
                <c:pt idx="0">
                  <c:v>egyéb jövedelem átl.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satMod val="103000"/>
                    <a:lumMod val="102000"/>
                    <a:tint val="94000"/>
                  </a:schemeClr>
                </a:gs>
                <a:gs pos="50000">
                  <a:schemeClr val="accent2">
                    <a:satMod val="110000"/>
                    <a:lumMod val="100000"/>
                    <a:shade val="100000"/>
                  </a:schemeClr>
                </a:gs>
                <a:gs pos="100000">
                  <a:schemeClr val="accent2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bérek!$I$2:$L$2</c:f>
              <c:strCache>
                <c:ptCount val="4"/>
                <c:pt idx="0">
                  <c:v>2021. év</c:v>
                </c:pt>
                <c:pt idx="1">
                  <c:v>2022. év</c:v>
                </c:pt>
                <c:pt idx="2">
                  <c:v>2023. év</c:v>
                </c:pt>
                <c:pt idx="3">
                  <c:v>2024. év</c:v>
                </c:pt>
              </c:strCache>
            </c:strRef>
          </c:cat>
          <c:val>
            <c:numRef>
              <c:f>bérek!$I$4:$L$4</c:f>
              <c:numCache>
                <c:formatCode>#\ ##0\ "Ft"</c:formatCode>
                <c:ptCount val="4"/>
                <c:pt idx="0">
                  <c:v>22404.693749999999</c:v>
                </c:pt>
                <c:pt idx="1">
                  <c:v>34545.599206349209</c:v>
                </c:pt>
                <c:pt idx="2">
                  <c:v>51844.670289855079</c:v>
                </c:pt>
                <c:pt idx="3">
                  <c:v>53603.254769921441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8FC-4FDE-84F0-5464D1C6FE2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939507359"/>
        <c:axId val="939507839"/>
      </c:barChart>
      <c:lineChart>
        <c:grouping val="standard"/>
        <c:varyColors val="0"/>
        <c:ser>
          <c:idx val="2"/>
          <c:order val="2"/>
          <c:tx>
            <c:strRef>
              <c:f>bérek!$H$5</c:f>
              <c:strCache>
                <c:ptCount val="1"/>
                <c:pt idx="0">
                  <c:v>átlagjövedelem</c:v>
                </c:pt>
              </c:strCache>
            </c:strRef>
          </c:tx>
          <c:spPr>
            <a:ln w="34925" cap="rnd">
              <a:solidFill>
                <a:schemeClr val="accent3"/>
              </a:solidFill>
              <a:round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</c:spPr>
          <c:marker>
            <c:symbol val="none"/>
          </c:marker>
          <c:dLbls>
            <c:dLbl>
              <c:idx val="0"/>
              <c:layout>
                <c:manualLayout>
                  <c:x val="-0.11194137041689591"/>
                  <c:y val="-2.513741599749282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B8FC-4FDE-84F0-5464D1C6FE26}"/>
                </c:ext>
              </c:extLst>
            </c:dLbl>
            <c:dLbl>
              <c:idx val="1"/>
              <c:layout>
                <c:manualLayout>
                  <c:x val="-0.10949936844445052"/>
                  <c:y val="-2.248928706739318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B8FC-4FDE-84F0-5464D1C6FE26}"/>
                </c:ext>
              </c:extLst>
            </c:dLbl>
            <c:dLbl>
              <c:idx val="2"/>
              <c:layout>
                <c:manualLayout>
                  <c:x val="-9.484735660977818E-2"/>
                  <c:y val="-2.778554492759243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B8FC-4FDE-84F0-5464D1C6FE26}"/>
                </c:ext>
              </c:extLst>
            </c:dLbl>
            <c:dLbl>
              <c:idx val="3"/>
              <c:layout>
                <c:manualLayout>
                  <c:x val="-3.8722269526714148E-2"/>
                  <c:y val="-6.672987661841722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B8FC-4FDE-84F0-5464D1C6FE2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bérek!$I$2:$L$2</c:f>
              <c:strCache>
                <c:ptCount val="4"/>
                <c:pt idx="0">
                  <c:v>2021. év</c:v>
                </c:pt>
                <c:pt idx="1">
                  <c:v>2022. év</c:v>
                </c:pt>
                <c:pt idx="2">
                  <c:v>2023. év</c:v>
                </c:pt>
                <c:pt idx="3">
                  <c:v>2024. év</c:v>
                </c:pt>
              </c:strCache>
            </c:strRef>
          </c:cat>
          <c:val>
            <c:numRef>
              <c:f>bérek!$I$5:$L$5</c:f>
              <c:numCache>
                <c:formatCode>#\ ##0\ "Ft"</c:formatCode>
                <c:ptCount val="4"/>
                <c:pt idx="0">
                  <c:v>418212.20833333331</c:v>
                </c:pt>
                <c:pt idx="1">
                  <c:v>513451.16666666669</c:v>
                </c:pt>
                <c:pt idx="2">
                  <c:v>554017.83514492749</c:v>
                </c:pt>
                <c:pt idx="3">
                  <c:v>656599.61840628507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6-B8FC-4FDE-84F0-5464D1C6FE2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939507359"/>
        <c:axId val="939507839"/>
      </c:lineChart>
      <c:catAx>
        <c:axId val="93950735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lt1">
                <a:lumMod val="95000"/>
                <a:alpha val="54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bg1"/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939507839"/>
        <c:crosses val="autoZero"/>
        <c:auto val="1"/>
        <c:lblAlgn val="ctr"/>
        <c:lblOffset val="100"/>
        <c:noMultiLvlLbl val="0"/>
      </c:catAx>
      <c:valAx>
        <c:axId val="939507839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lt1">
                  <a:lumMod val="95000"/>
                  <a:alpha val="10000"/>
                </a:schemeClr>
              </a:solidFill>
              <a:round/>
            </a:ln>
            <a:effectLst/>
          </c:spPr>
        </c:majorGridlines>
        <c:numFmt formatCode="#\ ##0\ &quot;Ft&quot;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bg1"/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939507359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bg1"/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bg1">
            <a:lumMod val="85000"/>
          </a:schemeClr>
        </a:gs>
        <a:gs pos="53000">
          <a:schemeClr val="tx1">
            <a:lumMod val="50000"/>
            <a:lumOff val="50000"/>
          </a:schemeClr>
        </a:gs>
        <a:gs pos="100000">
          <a:schemeClr val="tx1">
            <a:lumMod val="65000"/>
            <a:lumOff val="35000"/>
          </a:schemeClr>
        </a:gs>
      </a:gsLst>
      <a:path path="circle">
        <a:fillToRect l="50000" t="50000" r="50000" b="50000"/>
      </a:path>
      <a:tileRect/>
    </a:gradFill>
    <a:ln>
      <a:noFill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spc="100" baseline="0">
                <a:solidFill>
                  <a:schemeClr val="bg1"/>
                </a:solidFill>
                <a:effectLst>
                  <a:outerShdw blurRad="50800" dist="38100" dir="5400000" algn="t" rotWithShape="0">
                    <a:prstClr val="black">
                      <a:alpha val="40000"/>
                    </a:prstClr>
                  </a:outerShdw>
                </a:effectLst>
                <a:latin typeface="+mn-lt"/>
                <a:ea typeface="+mn-ea"/>
                <a:cs typeface="+mn-cs"/>
              </a:defRPr>
            </a:pPr>
            <a:r>
              <a:rPr lang="hu-HU">
                <a:solidFill>
                  <a:schemeClr val="bg1"/>
                </a:solidFill>
              </a:rPr>
              <a:t>Fluktuáció</a:t>
            </a:r>
          </a:p>
          <a:p>
            <a:pPr>
              <a:defRPr>
                <a:solidFill>
                  <a:schemeClr val="bg1"/>
                </a:solidFill>
              </a:defRPr>
            </a:pPr>
            <a:r>
              <a:rPr lang="hu-HU">
                <a:solidFill>
                  <a:schemeClr val="bg1"/>
                </a:solidFill>
              </a:rPr>
              <a:t>2021. - 2024. évek</a:t>
            </a:r>
          </a:p>
        </c:rich>
      </c:tx>
      <c:layout>
        <c:manualLayout>
          <c:xMode val="edge"/>
          <c:yMode val="edge"/>
          <c:x val="0.35944609820113949"/>
          <c:y val="1.9711367050931156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spc="100" baseline="0">
              <a:solidFill>
                <a:schemeClr val="bg1"/>
              </a:solidFill>
              <a:effectLst>
                <a:outerShdw blurRad="50800" dist="38100" dir="5400000" algn="t" rotWithShape="0">
                  <a:prstClr val="black">
                    <a:alpha val="40000"/>
                  </a:prstClr>
                </a:outerShdw>
              </a:effectLst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plotArea>
      <c:layout/>
      <c:areaChart>
        <c:grouping val="stacked"/>
        <c:varyColors val="0"/>
        <c:ser>
          <c:idx val="0"/>
          <c:order val="0"/>
          <c:tx>
            <c:strRef>
              <c:f>'létszám, fluktuáció'!$A$10</c:f>
              <c:strCache>
                <c:ptCount val="1"/>
                <c:pt idx="0">
                  <c:v>belépési forgalom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atMod val="103000"/>
                    <a:lumMod val="102000"/>
                    <a:tint val="94000"/>
                  </a:schemeClr>
                </a:gs>
                <a:gs pos="50000">
                  <a:schemeClr val="accent1">
                    <a:satMod val="110000"/>
                    <a:lumMod val="100000"/>
                    <a:shade val="100000"/>
                  </a:schemeClr>
                </a:gs>
                <a:gs pos="100000">
                  <a:schemeClr val="accent1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cat>
            <c:strRef>
              <c:f>'létszám, fluktuáció'!$B$2:$E$2</c:f>
              <c:strCache>
                <c:ptCount val="4"/>
                <c:pt idx="0">
                  <c:v>2021. év</c:v>
                </c:pt>
                <c:pt idx="1">
                  <c:v>2022. év</c:v>
                </c:pt>
                <c:pt idx="2">
                  <c:v>2023. év</c:v>
                </c:pt>
                <c:pt idx="3">
                  <c:v>2024. év</c:v>
                </c:pt>
              </c:strCache>
            </c:strRef>
          </c:cat>
          <c:val>
            <c:numRef>
              <c:f>'létszám, fluktuáció'!$B$10:$E$10</c:f>
              <c:numCache>
                <c:formatCode>0.0%</c:formatCode>
                <c:ptCount val="4"/>
                <c:pt idx="0">
                  <c:v>0.20833333333333334</c:v>
                </c:pt>
                <c:pt idx="1">
                  <c:v>0.3455723542116631</c:v>
                </c:pt>
                <c:pt idx="2">
                  <c:v>0.10438413361169102</c:v>
                </c:pt>
                <c:pt idx="3">
                  <c:v>0.4656319290465632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F83-4604-A92B-A50C9C9535DA}"/>
            </c:ext>
          </c:extLst>
        </c:ser>
        <c:ser>
          <c:idx val="1"/>
          <c:order val="1"/>
          <c:tx>
            <c:strRef>
              <c:f>'létszám, fluktuáció'!$A$11</c:f>
              <c:strCache>
                <c:ptCount val="1"/>
                <c:pt idx="0">
                  <c:v>kilépési forgalom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atMod val="103000"/>
                    <a:lumMod val="102000"/>
                    <a:tint val="94000"/>
                  </a:schemeClr>
                </a:gs>
                <a:gs pos="50000">
                  <a:schemeClr val="accent3">
                    <a:satMod val="110000"/>
                    <a:lumMod val="100000"/>
                    <a:shade val="100000"/>
                  </a:schemeClr>
                </a:gs>
                <a:gs pos="100000">
                  <a:schemeClr val="accent3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cat>
            <c:strRef>
              <c:f>'létszám, fluktuáció'!$B$2:$E$2</c:f>
              <c:strCache>
                <c:ptCount val="4"/>
                <c:pt idx="0">
                  <c:v>2021. év</c:v>
                </c:pt>
                <c:pt idx="1">
                  <c:v>2022. év</c:v>
                </c:pt>
                <c:pt idx="2">
                  <c:v>2023. év</c:v>
                </c:pt>
                <c:pt idx="3">
                  <c:v>2024. év</c:v>
                </c:pt>
              </c:strCache>
            </c:strRef>
          </c:cat>
          <c:val>
            <c:numRef>
              <c:f>'létszám, fluktuáció'!$B$11:$E$11</c:f>
              <c:numCache>
                <c:formatCode>0.0%</c:formatCode>
                <c:ptCount val="4"/>
                <c:pt idx="0">
                  <c:v>0.10416666666666667</c:v>
                </c:pt>
                <c:pt idx="1">
                  <c:v>0.25917926565874733</c:v>
                </c:pt>
                <c:pt idx="2">
                  <c:v>0.12526096033402923</c:v>
                </c:pt>
                <c:pt idx="3">
                  <c:v>0.44345898004434586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F83-4604-A92B-A50C9C9535DA}"/>
            </c:ext>
          </c:extLst>
        </c:ser>
        <c:ser>
          <c:idx val="2"/>
          <c:order val="2"/>
          <c:tx>
            <c:strRef>
              <c:f>'létszám, fluktuáció'!$A$12</c:f>
              <c:strCache>
                <c:ptCount val="1"/>
                <c:pt idx="0">
                  <c:v>fluktuáció</c:v>
                </c:pt>
              </c:strCache>
            </c:strRef>
          </c:tx>
          <c:spPr>
            <a:solidFill>
              <a:srgbClr val="276D1D"/>
            </a:soli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dLbl>
              <c:idx val="0"/>
              <c:layout>
                <c:manualLayout>
                  <c:x val="0"/>
                  <c:y val="-8.228630555248198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49D9-42A9-8E60-8957D46DB3D2}"/>
                </c:ext>
              </c:extLst>
            </c:dLbl>
            <c:dLbl>
              <c:idx val="1"/>
              <c:layout>
                <c:manualLayout>
                  <c:x val="-6.599790888346047E-4"/>
                  <c:y val="-9.684381457634924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49D9-42A9-8E60-8957D46DB3D2}"/>
                </c:ext>
              </c:extLst>
            </c:dLbl>
            <c:dLbl>
              <c:idx val="2"/>
              <c:layout>
                <c:manualLayout>
                  <c:x val="1.5077801835956166E-3"/>
                  <c:y val="-0.1120356110062770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49D9-42A9-8E60-8957D46DB3D2}"/>
                </c:ext>
              </c:extLst>
            </c:dLbl>
            <c:dLbl>
              <c:idx val="3"/>
              <c:layout>
                <c:manualLayout>
                  <c:x val="-2.1677866897897246E-3"/>
                  <c:y val="-0.1529961750956225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49D9-42A9-8E60-8957D46DB3D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'létszám, fluktuáció'!$B$2:$E$2</c:f>
              <c:strCache>
                <c:ptCount val="4"/>
                <c:pt idx="0">
                  <c:v>2021. év</c:v>
                </c:pt>
                <c:pt idx="1">
                  <c:v>2022. év</c:v>
                </c:pt>
                <c:pt idx="2">
                  <c:v>2023. év</c:v>
                </c:pt>
                <c:pt idx="3">
                  <c:v>2024. év</c:v>
                </c:pt>
              </c:strCache>
            </c:strRef>
          </c:cat>
          <c:val>
            <c:numRef>
              <c:f>'létszám, fluktuáció'!$B$12:$E$12</c:f>
              <c:numCache>
                <c:formatCode>0.0%</c:formatCode>
                <c:ptCount val="4"/>
                <c:pt idx="0">
                  <c:v>0.3125</c:v>
                </c:pt>
                <c:pt idx="1">
                  <c:v>0.60475161987041037</c:v>
                </c:pt>
                <c:pt idx="2">
                  <c:v>0.22964509394572025</c:v>
                </c:pt>
                <c:pt idx="3">
                  <c:v>0.90909090909090906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2F83-4604-A92B-A50C9C9535D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960731839"/>
        <c:axId val="960731359"/>
      </c:areaChart>
      <c:catAx>
        <c:axId val="96073183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lt1">
                <a:lumMod val="95000"/>
                <a:alpha val="54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960731359"/>
        <c:crosses val="autoZero"/>
        <c:auto val="1"/>
        <c:lblAlgn val="ctr"/>
        <c:lblOffset val="100"/>
        <c:noMultiLvlLbl val="0"/>
      </c:catAx>
      <c:valAx>
        <c:axId val="960731359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lt1">
                  <a:lumMod val="95000"/>
                  <a:alpha val="10000"/>
                </a:schemeClr>
              </a:solidFill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bg1"/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960731839"/>
        <c:crosses val="autoZero"/>
        <c:crossBetween val="between"/>
        <c:majorUnit val="0.5"/>
      </c:valAx>
      <c:dTable>
        <c:showHorzBorder val="1"/>
        <c:showVertBorder val="1"/>
        <c:showOutline val="1"/>
        <c:showKeys val="1"/>
        <c:spPr>
          <a:noFill/>
          <a:ln w="25400">
            <a:noFill/>
          </a:ln>
          <a:effectLst/>
        </c:spPr>
        <c:txPr>
          <a:bodyPr rot="0" spcFirstLastPara="1" vertOverflow="ellipsis" vert="horz" wrap="square" anchor="ctr" anchorCtr="1"/>
          <a:lstStyle/>
          <a:p>
            <a:pPr rtl="0">
              <a:defRPr sz="900" b="0" i="0" u="none" strike="noStrike" kern="1200" baseline="0">
                <a:solidFill>
                  <a:schemeClr val="bg1"/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</c:dTable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 flip="none" rotWithShape="1">
      <a:gsLst>
        <a:gs pos="0">
          <a:schemeClr val="bg1">
            <a:lumMod val="85000"/>
          </a:schemeClr>
        </a:gs>
        <a:gs pos="42000">
          <a:schemeClr val="tx1">
            <a:lumMod val="50000"/>
            <a:lumOff val="50000"/>
          </a:schemeClr>
        </a:gs>
        <a:gs pos="100000">
          <a:schemeClr val="tx1">
            <a:lumMod val="65000"/>
            <a:lumOff val="35000"/>
          </a:schemeClr>
        </a:gs>
      </a:gsLst>
      <a:path path="circle">
        <a:fillToRect r="100000" b="100000"/>
      </a:path>
      <a:tileRect l="-100000" t="-100000"/>
    </a:gradFill>
    <a:ln>
      <a:noFill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spc="100" baseline="0">
                <a:solidFill>
                  <a:schemeClr val="bg1"/>
                </a:solidFill>
                <a:effectLst>
                  <a:outerShdw blurRad="50800" dist="38100" dir="5400000" algn="t" rotWithShape="0">
                    <a:prstClr val="black">
                      <a:alpha val="40000"/>
                    </a:prstClr>
                  </a:outerShdw>
                </a:effectLst>
                <a:latin typeface="+mn-lt"/>
                <a:ea typeface="+mn-ea"/>
                <a:cs typeface="+mn-cs"/>
              </a:defRPr>
            </a:pPr>
            <a:r>
              <a:rPr lang="hu-HU"/>
              <a:t>Eredmény alakulása (millió Ft)</a:t>
            </a:r>
          </a:p>
          <a:p>
            <a:pPr>
              <a:defRPr/>
            </a:pPr>
            <a:r>
              <a:rPr lang="hu-HU"/>
              <a:t>2021. - 2024. év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spc="100" baseline="0">
              <a:solidFill>
                <a:schemeClr val="bg1"/>
              </a:solidFill>
              <a:effectLst>
                <a:outerShdw blurRad="50800" dist="38100" dir="5400000" algn="t" rotWithShape="0">
                  <a:prstClr val="black">
                    <a:alpha val="40000"/>
                  </a:prstClr>
                </a:outerShdw>
              </a:effectLst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plotArea>
      <c:layout/>
      <c:barChart>
        <c:barDir val="col"/>
        <c:grouping val="clustered"/>
        <c:varyColors val="0"/>
        <c:ser>
          <c:idx val="3"/>
          <c:order val="3"/>
          <c:tx>
            <c:strRef>
              <c:f>eredményelemzés!$A$13</c:f>
              <c:strCache>
                <c:ptCount val="1"/>
                <c:pt idx="0">
                  <c:v>ADÓZOTT EREDMÉNY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satMod val="103000"/>
                    <a:lumMod val="102000"/>
                    <a:tint val="94000"/>
                  </a:schemeClr>
                </a:gs>
                <a:gs pos="50000">
                  <a:schemeClr val="accent4">
                    <a:satMod val="110000"/>
                    <a:lumMod val="100000"/>
                    <a:shade val="100000"/>
                  </a:schemeClr>
                </a:gs>
                <a:gs pos="100000">
                  <a:schemeClr val="accent4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eredményelemzés!$B$9:$E$9</c:f>
              <c:strCache>
                <c:ptCount val="4"/>
                <c:pt idx="0">
                  <c:v>2021. év</c:v>
                </c:pt>
                <c:pt idx="1">
                  <c:v>2022. év</c:v>
                </c:pt>
                <c:pt idx="2">
                  <c:v>2023. év</c:v>
                </c:pt>
                <c:pt idx="3">
                  <c:v>2024. év</c:v>
                </c:pt>
              </c:strCache>
            </c:strRef>
          </c:cat>
          <c:val>
            <c:numRef>
              <c:f>eredményelemzés!$B$13:$E$13</c:f>
              <c:numCache>
                <c:formatCode>0.0</c:formatCode>
                <c:ptCount val="4"/>
                <c:pt idx="0">
                  <c:v>-0.6</c:v>
                </c:pt>
                <c:pt idx="1">
                  <c:v>17.2</c:v>
                </c:pt>
                <c:pt idx="2">
                  <c:v>30.9</c:v>
                </c:pt>
                <c:pt idx="3">
                  <c:v>15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713D-49EF-87B6-B89C061E138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968993343"/>
        <c:axId val="968988543"/>
      </c:barChart>
      <c:lineChart>
        <c:grouping val="standard"/>
        <c:varyColors val="0"/>
        <c:ser>
          <c:idx val="0"/>
          <c:order val="0"/>
          <c:tx>
            <c:strRef>
              <c:f>eredményelemzés!$A$10</c:f>
              <c:strCache>
                <c:ptCount val="1"/>
                <c:pt idx="0">
                  <c:v>ÜZEMI (ÜZLETI) TEVÉKENYSÉG EREDMÉNYE</c:v>
                </c:pt>
              </c:strCache>
            </c:strRef>
          </c:tx>
          <c:spPr>
            <a:ln w="34925" cap="rnd">
              <a:solidFill>
                <a:schemeClr val="accent1"/>
              </a:solidFill>
              <a:round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</c:spPr>
          <c:marker>
            <c:symbol val="none"/>
          </c:marker>
          <c:cat>
            <c:strRef>
              <c:f>eredményelemzés!$B$9:$E$9</c:f>
              <c:strCache>
                <c:ptCount val="4"/>
                <c:pt idx="0">
                  <c:v>2021. év</c:v>
                </c:pt>
                <c:pt idx="1">
                  <c:v>2022. év</c:v>
                </c:pt>
                <c:pt idx="2">
                  <c:v>2023. év</c:v>
                </c:pt>
                <c:pt idx="3">
                  <c:v>2024. év</c:v>
                </c:pt>
              </c:strCache>
            </c:strRef>
          </c:cat>
          <c:val>
            <c:numRef>
              <c:f>eredményelemzés!$B$10:$E$10</c:f>
              <c:numCache>
                <c:formatCode>0.0</c:formatCode>
                <c:ptCount val="4"/>
                <c:pt idx="0">
                  <c:v>21.6</c:v>
                </c:pt>
                <c:pt idx="1">
                  <c:v>11.9</c:v>
                </c:pt>
                <c:pt idx="2">
                  <c:v>-15.4</c:v>
                </c:pt>
                <c:pt idx="3">
                  <c:v>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8-713D-49EF-87B6-B89C061E138B}"/>
            </c:ext>
          </c:extLst>
        </c:ser>
        <c:ser>
          <c:idx val="1"/>
          <c:order val="1"/>
          <c:tx>
            <c:strRef>
              <c:f>eredményelemzés!$A$11</c:f>
              <c:strCache>
                <c:ptCount val="1"/>
                <c:pt idx="0">
                  <c:v>PÉNZÜGYI MŰVELETEK EREDMÉNYE</c:v>
                </c:pt>
              </c:strCache>
            </c:strRef>
          </c:tx>
          <c:spPr>
            <a:ln w="34925" cap="rnd">
              <a:solidFill>
                <a:schemeClr val="accent2"/>
              </a:solidFill>
              <a:round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</c:spPr>
          <c:marker>
            <c:symbol val="none"/>
          </c:marker>
          <c:cat>
            <c:strRef>
              <c:f>eredményelemzés!$B$9:$E$9</c:f>
              <c:strCache>
                <c:ptCount val="4"/>
                <c:pt idx="0">
                  <c:v>2021. év</c:v>
                </c:pt>
                <c:pt idx="1">
                  <c:v>2022. év</c:v>
                </c:pt>
                <c:pt idx="2">
                  <c:v>2023. év</c:v>
                </c:pt>
                <c:pt idx="3">
                  <c:v>2024. év</c:v>
                </c:pt>
              </c:strCache>
            </c:strRef>
          </c:cat>
          <c:val>
            <c:numRef>
              <c:f>eredményelemzés!$B$11:$E$11</c:f>
              <c:numCache>
                <c:formatCode>0.0</c:formatCode>
                <c:ptCount val="4"/>
                <c:pt idx="0">
                  <c:v>-1.9</c:v>
                </c:pt>
                <c:pt idx="1">
                  <c:v>5.3</c:v>
                </c:pt>
                <c:pt idx="2">
                  <c:v>46.4</c:v>
                </c:pt>
                <c:pt idx="3">
                  <c:v>13.7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D-713D-49EF-87B6-B89C061E138B}"/>
            </c:ext>
          </c:extLst>
        </c:ser>
        <c:ser>
          <c:idx val="2"/>
          <c:order val="2"/>
          <c:tx>
            <c:strRef>
              <c:f>eredményelemzés!$A$12</c:f>
              <c:strCache>
                <c:ptCount val="1"/>
                <c:pt idx="0">
                  <c:v>ADÓZÁS ELŐTTI EREDMÉNY</c:v>
                </c:pt>
              </c:strCache>
            </c:strRef>
          </c:tx>
          <c:spPr>
            <a:ln w="34925" cap="rnd">
              <a:solidFill>
                <a:schemeClr val="accent3"/>
              </a:solidFill>
              <a:round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</c:spPr>
          <c:marker>
            <c:symbol val="none"/>
          </c:marker>
          <c:cat>
            <c:strRef>
              <c:f>eredményelemzés!$B$9:$E$9</c:f>
              <c:strCache>
                <c:ptCount val="4"/>
                <c:pt idx="0">
                  <c:v>2021. év</c:v>
                </c:pt>
                <c:pt idx="1">
                  <c:v>2022. év</c:v>
                </c:pt>
                <c:pt idx="2">
                  <c:v>2023. év</c:v>
                </c:pt>
                <c:pt idx="3">
                  <c:v>2024. év</c:v>
                </c:pt>
              </c:strCache>
            </c:strRef>
          </c:cat>
          <c:val>
            <c:numRef>
              <c:f>eredményelemzés!$B$12:$E$12</c:f>
              <c:numCache>
                <c:formatCode>0.0</c:formatCode>
                <c:ptCount val="4"/>
                <c:pt idx="0">
                  <c:v>19.7</c:v>
                </c:pt>
                <c:pt idx="1">
                  <c:v>17.2</c:v>
                </c:pt>
                <c:pt idx="2">
                  <c:v>30.9</c:v>
                </c:pt>
                <c:pt idx="3">
                  <c:v>20.7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2-713D-49EF-87B6-B89C061E138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968993343"/>
        <c:axId val="968988543"/>
      </c:lineChart>
      <c:catAx>
        <c:axId val="968993343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low"/>
        <c:spPr>
          <a:noFill/>
          <a:ln w="12700" cap="flat" cmpd="sng" algn="ctr">
            <a:solidFill>
              <a:schemeClr val="lt1">
                <a:lumMod val="95000"/>
                <a:alpha val="54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bg1"/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968988543"/>
        <c:crosses val="autoZero"/>
        <c:auto val="1"/>
        <c:lblAlgn val="ctr"/>
        <c:lblOffset val="100"/>
        <c:noMultiLvlLbl val="0"/>
      </c:catAx>
      <c:valAx>
        <c:axId val="968988543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lt1">
                  <a:lumMod val="95000"/>
                  <a:alpha val="10000"/>
                </a:schemeClr>
              </a:solidFill>
              <a:round/>
            </a:ln>
            <a:effectLst/>
          </c:spPr>
        </c:majorGridlines>
        <c:title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900" b="1" i="0" u="none" strike="noStrike" kern="1200" cap="all" baseline="0">
                  <a:solidFill>
                    <a:schemeClr val="bg1"/>
                  </a:solidFill>
                  <a:latin typeface="+mn-lt"/>
                  <a:ea typeface="+mn-ea"/>
                  <a:cs typeface="+mn-cs"/>
                </a:defRPr>
              </a:pPr>
              <a:endParaRPr lang="hu-HU"/>
            </a:p>
          </c:txPr>
        </c:title>
        <c:numFmt formatCode="0.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bg1"/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968993343"/>
        <c:crosses val="autoZero"/>
        <c:crossBetween val="between"/>
      </c:valAx>
      <c:dTable>
        <c:showHorzBorder val="1"/>
        <c:showVertBorder val="1"/>
        <c:showOutline val="0"/>
        <c:showKeys val="1"/>
        <c:spPr>
          <a:noFill/>
          <a:ln w="9525">
            <a:solidFill>
              <a:schemeClr val="lt1">
                <a:lumMod val="95000"/>
                <a:alpha val="54000"/>
              </a:schemeClr>
            </a:solidFill>
          </a:ln>
          <a:effectLst/>
        </c:spPr>
        <c:txPr>
          <a:bodyPr rot="0" spcFirstLastPara="1" vertOverflow="ellipsis" vert="horz" wrap="square" anchor="ctr" anchorCtr="1"/>
          <a:lstStyle/>
          <a:p>
            <a:pPr rtl="0">
              <a:defRPr sz="900" b="0" i="0" u="none" strike="noStrike" kern="1200" baseline="0">
                <a:solidFill>
                  <a:schemeClr val="bg1"/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</c:dTable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 flip="none" rotWithShape="1">
      <a:gsLst>
        <a:gs pos="0">
          <a:schemeClr val="tx1">
            <a:lumMod val="50000"/>
            <a:lumOff val="50000"/>
          </a:schemeClr>
        </a:gs>
        <a:gs pos="25000">
          <a:schemeClr val="tx1">
            <a:lumMod val="51000"/>
            <a:lumOff val="49000"/>
          </a:schemeClr>
        </a:gs>
        <a:gs pos="91000">
          <a:schemeClr val="tx1">
            <a:lumMod val="75000"/>
            <a:lumOff val="25000"/>
          </a:schemeClr>
        </a:gs>
        <a:gs pos="100000">
          <a:schemeClr val="tx1">
            <a:lumMod val="85000"/>
            <a:lumOff val="15000"/>
          </a:schemeClr>
        </a:gs>
      </a:gsLst>
      <a:path path="circle">
        <a:fillToRect l="50000" t="50000" r="50000" b="50000"/>
      </a:path>
      <a:tileRect/>
    </a:gradFill>
    <a:ln>
      <a:noFill/>
    </a:ln>
    <a:effectLst/>
  </c:spPr>
  <c:txPr>
    <a:bodyPr/>
    <a:lstStyle/>
    <a:p>
      <a:pPr>
        <a:defRPr>
          <a:solidFill>
            <a:schemeClr val="bg1"/>
          </a:solidFill>
        </a:defRPr>
      </a:pPr>
      <a:endParaRPr lang="hu-HU"/>
    </a:p>
  </c:txPr>
  <c:externalData r:id="rId3">
    <c:autoUpdate val="0"/>
  </c:externalData>
</c:chartSpace>
</file>

<file path=word/charts/chartEx1.xml><?xml version="1.0" encoding="utf-8"?>
<cx:chartSpace xmlns:a="http://schemas.openxmlformats.org/drawingml/2006/main" xmlns:r="http://schemas.openxmlformats.org/officeDocument/2006/relationships" xmlns:cx="http://schemas.microsoft.com/office/drawing/2014/chartex">
  <cx:chartData>
    <cx:externalData r:id="rId1" cx:autoUpdate="0"/>
    <cx:data id="0">
      <cx:strDim type="cat">
        <cx:f>bevétel!$B$9:$E$9</cx:f>
        <cx:lvl ptCount="4">
          <cx:pt idx="0">2021.év</cx:pt>
          <cx:pt idx="1">2022.év</cx:pt>
          <cx:pt idx="2">2023.év</cx:pt>
          <cx:pt idx="3">2024.év</cx:pt>
        </cx:lvl>
      </cx:strDim>
      <cx:numDim type="val">
        <cx:f>bevétel!$B$15:$E$15</cx:f>
        <cx:lvl ptCount="4" formatCode="0,0%">
          <cx:pt idx="0">0.86739038762235643</cx:pt>
          <cx:pt idx="1">0.73458224595021937</cx:pt>
          <cx:pt idx="2">0.66953943721193065</cx:pt>
          <cx:pt idx="3">0.58907940664728675</cx:pt>
        </cx:lvl>
      </cx:numDim>
    </cx:data>
  </cx:chartData>
  <cx:chart>
    <cx:title pos="t" align="ctr" overlay="0">
      <cx:tx>
        <cx:txData>
          <cx:v>Működési támogatás aránya*</cx:v>
        </cx:txData>
      </cx:tx>
      <cx:txPr>
        <a:bodyPr spcFirstLastPara="1" vertOverflow="ellipsis" horzOverflow="overflow" wrap="square" lIns="0" tIns="0" rIns="0" bIns="0" anchor="ctr" anchorCtr="1"/>
        <a:lstStyle/>
        <a:p>
          <a:pPr algn="ctr" rtl="0">
            <a:defRPr>
              <a:solidFill>
                <a:schemeClr val="bg1"/>
              </a:solidFill>
            </a:defRPr>
          </a:pPr>
          <a:r>
            <a:rPr lang="hu-HU" sz="1400" b="1" i="0" u="none" strike="noStrike" baseline="0">
              <a:solidFill>
                <a:schemeClr val="bg1"/>
              </a:solidFill>
              <a:latin typeface="Calibri" panose="020F0502020204030204"/>
            </a:rPr>
            <a:t>Működési támogatás aránya*</a:t>
          </a:r>
        </a:p>
      </cx:txPr>
    </cx:title>
    <cx:plotArea>
      <cx:plotAreaRegion>
        <cx:series layoutId="funnel" uniqueId="{4B9D7C30-3A7D-4094-B661-8E4761BB9097}">
          <cx:dataLabels>
            <cx:txPr>
              <a:bodyPr spcFirstLastPara="1" vertOverflow="ellipsis" horzOverflow="overflow" wrap="square" lIns="0" tIns="0" rIns="0" bIns="0" anchor="ctr" anchorCtr="1"/>
              <a:lstStyle/>
              <a:p>
                <a:pPr algn="ctr" rtl="0">
                  <a:defRPr sz="1200" b="1">
                    <a:solidFill>
                      <a:schemeClr val="bg1"/>
                    </a:solidFill>
                  </a:defRPr>
                </a:pPr>
                <a:endParaRPr lang="hu-HU" sz="1200" b="1" i="0" u="none" strike="noStrike" baseline="0">
                  <a:solidFill>
                    <a:schemeClr val="bg1"/>
                  </a:solidFill>
                  <a:latin typeface="Calibri" panose="020F0502020204030204"/>
                </a:endParaRPr>
              </a:p>
            </cx:txPr>
          </cx:dataLabels>
          <cx:dataId val="0"/>
        </cx:series>
      </cx:plotAreaRegion>
      <cx:axis id="0">
        <cx:catScaling gapWidth="0.5"/>
        <cx:tickLabels/>
        <cx:txPr>
          <a:bodyPr spcFirstLastPara="1" vertOverflow="ellipsis" horzOverflow="overflow" wrap="square" lIns="0" tIns="0" rIns="0" bIns="0" anchor="ctr" anchorCtr="1"/>
          <a:lstStyle/>
          <a:p>
            <a:pPr algn="ctr" rtl="0">
              <a:defRPr sz="1100"/>
            </a:pPr>
            <a:endParaRPr lang="hu-HU" sz="1100" b="0" i="0" u="none" strike="noStrike" baseline="0">
              <a:solidFill>
                <a:sysClr val="window" lastClr="FFFFFF">
                  <a:lumMod val="95000"/>
                </a:sysClr>
              </a:solidFill>
              <a:latin typeface="Calibri" panose="020F0502020204030204"/>
            </a:endParaRPr>
          </a:p>
        </cx:txPr>
      </cx:axis>
    </cx:plotArea>
  </cx:chart>
  <cx:spPr>
    <a:gradFill flip="none" rotWithShape="1">
      <a:gsLst>
        <a:gs pos="0">
          <a:schemeClr val="tx1">
            <a:lumMod val="50000"/>
            <a:lumOff val="50000"/>
          </a:schemeClr>
        </a:gs>
        <a:gs pos="27000">
          <a:schemeClr val="tx1">
            <a:lumMod val="50000"/>
            <a:lumOff val="50000"/>
          </a:schemeClr>
        </a:gs>
        <a:gs pos="83000">
          <a:schemeClr val="tx1">
            <a:lumMod val="75000"/>
            <a:lumOff val="25000"/>
          </a:schemeClr>
        </a:gs>
        <a:gs pos="100000">
          <a:schemeClr val="tx1">
            <a:lumMod val="85000"/>
            <a:lumOff val="15000"/>
          </a:schemeClr>
        </a:gs>
      </a:gsLst>
      <a:path path="circle">
        <a:fillToRect l="50000" t="50000" r="50000" b="50000"/>
      </a:path>
      <a:tileRect/>
    </a:gradFill>
  </cx:spPr>
</cx:chartSpace>
</file>

<file path=word/charts/colors1.xml><?xml version="1.0" encoding="utf-8"?>
<cs:colorStyle xmlns:cs="http://schemas.microsoft.com/office/drawing/2012/chartStyle" xmlns:a="http://schemas.openxmlformats.org/drawingml/2006/main" meth="withinLinearReversed" id="21">
  <a:schemeClr val="accent1"/>
</cs:colorStyle>
</file>

<file path=word/charts/colors2.xml><?xml version="1.0" encoding="utf-8"?>
<cs:colorStyle xmlns:cs="http://schemas.microsoft.com/office/drawing/2012/chartStyle" xmlns:a="http://schemas.openxmlformats.org/drawingml/2006/main" meth="withinLinear" id="16">
  <a:schemeClr val="accent3"/>
</cs:colorStyle>
</file>

<file path=word/charts/colors3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4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5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withinLinear" id="16">
  <a:schemeClr val="accent3"/>
</cs:colorStyle>
</file>

<file path=word/charts/colors7.xml><?xml version="1.0" encoding="utf-8"?>
<cs:colorStyle xmlns:cs="http://schemas.microsoft.com/office/drawing/2012/chartStyle" xmlns:a="http://schemas.openxmlformats.org/drawingml/2006/main" meth="cycle" id="12">
  <a:schemeClr val="accent2"/>
  <a:schemeClr val="accent4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3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4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7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0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305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  <a:headEnd type="none" w="sm" len="sm"/>
        <a:tailEnd type="none" w="sm" len="sm"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bg1"/>
    </cs:fontRef>
    <cs:spPr>
      <a:solidFill>
        <a:schemeClr val="tx1">
          <a:lumMod val="50000"/>
          <a:lumOff val="50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tx1"/>
    </cs:fontRef>
    <cs:spPr>
      <a:solidFill>
        <a:schemeClr val="phClr">
          <a:alpha val="70000"/>
        </a:schemeClr>
      </a:solidFill>
    </cs:spPr>
  </cs:dataPoint>
  <cs:dataPoint3D>
    <cs:lnRef idx="0"/>
    <cs:fillRef idx="0">
      <cs:styleClr val="auto"/>
    </cs:fillRef>
    <cs:effectRef idx="0"/>
    <cs:fontRef idx="minor">
      <a:schemeClr val="tx1"/>
    </cs:fontRef>
    <cs:spPr>
      <a:solidFill>
        <a:schemeClr val="phClr">
          <a:alpha val="70000"/>
        </a:schemeClr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46000">
            <a:schemeClr val="phClr"/>
          </a:gs>
          <a:gs pos="100000">
            <a:schemeClr val="phClr">
              <a:lumMod val="20000"/>
              <a:lumOff val="80000"/>
              <a:alpha val="0"/>
            </a:schemeClr>
          </a:gs>
        </a:gsLst>
        <a:path path="circle">
          <a:fillToRect l="50000" t="-80000" r="50000" b="180000"/>
        </a:path>
      </a:gradFill>
      <a:ln w="9525" cap="flat" cmpd="sng" algn="ctr">
        <a:solidFill>
          <a:schemeClr val="phClr">
            <a:shade val="95000"/>
          </a:schemeClr>
        </a:solidFill>
        <a:round/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dropLine>
  <cs:errorBar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0">
              <a:schemeClr val="tx1">
                <a:lumMod val="5000"/>
                <a:lumOff val="95000"/>
              </a:schemeClr>
            </a:gs>
            <a:gs pos="100000">
              <a:schemeClr val="tx1">
                <a:lumMod val="15000"/>
                <a:lumOff val="8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0">
              <a:schemeClr val="tx1">
                <a:lumMod val="5000"/>
                <a:lumOff val="95000"/>
              </a:schemeClr>
            </a:gs>
            <a:gs pos="100000">
              <a:schemeClr val="tx1">
                <a:lumMod val="15000"/>
                <a:lumOff val="8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  <a:headEnd type="none" w="sm" len="sm"/>
        <a:tailEnd type="none" w="sm" len="sm"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800" b="1" kern="1200" cap="all" spc="5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4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6.xml><?xml version="1.0" encoding="utf-8"?>
<cs:chartStyle xmlns:cs="http://schemas.microsoft.com/office/drawing/2012/chartStyle" xmlns:a="http://schemas.openxmlformats.org/drawingml/2006/main" id="264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7.xml><?xml version="1.0" encoding="utf-8"?>
<cs:chartStyle xmlns:cs="http://schemas.microsoft.com/office/drawing/2012/chartStyle" xmlns:a="http://schemas.openxmlformats.org/drawingml/2006/main" id="209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lt1"/>
    </cs:fontRef>
  </cs:dataPoint>
  <cs:dataPoint3D>
    <cs:lnRef idx="0"/>
    <cs:fillRef idx="3">
      <cs:styleClr val="auto"/>
    </cs:fillRef>
    <cs:effectRef idx="3"/>
    <cs:fontRef idx="minor">
      <a:schemeClr val="lt1"/>
    </cs:fontRef>
  </cs:dataPoint3D>
  <cs:dataPointLine>
    <cs:lnRef idx="0">
      <cs:styleClr val="auto"/>
    </cs:lnRef>
    <cs:fillRef idx="3"/>
    <cs:effectRef idx="3"/>
    <cs:fontRef idx="minor">
      <a:schemeClr val="lt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lt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lt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75000"/>
          <a:lumOff val="25000"/>
        </a:schemeClr>
      </a:solidFill>
      <a:ln w="9525">
        <a:solidFill>
          <a:schemeClr val="lt1">
            <a:lumMod val="95000"/>
            <a:alpha val="54000"/>
          </a:schemeClr>
        </a:solidFill>
      </a:ln>
    </cs:spPr>
  </cs:downBar>
  <cs:dropLine>
    <cs:lnRef idx="0"/>
    <cs:fillRef idx="0"/>
    <cs:effectRef idx="0"/>
    <cs:fontRef idx="minor">
      <a:schemeClr val="lt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lt1"/>
    </cs:fontRef>
    <cs:spPr>
      <a:ln>
        <a:solidFill>
          <a:schemeClr val="lt1">
            <a:lumMod val="95000"/>
            <a:alpha val="5000"/>
          </a:schemeClr>
        </a:solidFill>
      </a:ln>
    </cs:spPr>
  </cs:gridlineMinor>
  <cs:hiLoLine>
    <cs:lnRef idx="0"/>
    <cs:fillRef idx="0"/>
    <cs:effectRef idx="0"/>
    <cs:fontRef idx="minor">
      <a:schemeClr val="lt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lt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lt1"/>
    </cs:fontRef>
    <cs:spPr>
      <a:solidFill>
        <a:schemeClr val="lt1"/>
      </a:solidFill>
      <a:ln w="9525">
        <a:solidFill>
          <a:schemeClr val="lt1">
            <a:lumMod val="95000"/>
            <a:alpha val="54000"/>
          </a:schemeClr>
        </a:solidFill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lt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427">
  <cs:axisTitle>
    <cs:lnRef idx="0"/>
    <cs:fillRef idx="0"/>
    <cs:effectRef idx="0"/>
    <cs:fontRef idx="minor">
      <a:schemeClr val="lt1">
        <a:lumMod val="95000"/>
      </a:schemeClr>
    </cs:fontRef>
    <cs:defRPr sz="900"/>
  </cs:axisTitle>
  <cs:categoryAxis>
    <cs:lnRef idx="0"/>
    <cs:fillRef idx="0"/>
    <cs:effectRef idx="0"/>
    <cs:fontRef idx="minor">
      <a:schemeClr val="lt1">
        <a:lumMod val="9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/>
  </cs:chartArea>
  <cs:dataLabel>
    <cs:lnRef idx="0"/>
    <cs:fillRef idx="0"/>
    <cs:effectRef idx="0"/>
    <cs:fontRef idx="minor">
      <a:schemeClr val="lt1">
        <a:lumMod val="95000"/>
      </a:schemeClr>
    </cs:fontRef>
    <cs:defRPr sz="9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lt1"/>
    </cs:fontRef>
    <cs:spPr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  <a:ln>
        <a:solidFill>
          <a:schemeClr val="tx1"/>
        </a:solidFill>
      </a:ln>
    </cs:spPr>
  </cs:dataPoint>
  <cs:dataPoint3D>
    <cs:lnRef idx="0"/>
    <cs:fillRef idx="0">
      <cs:styleClr val="auto"/>
    </cs:fillRef>
    <cs:effectRef idx="0"/>
    <cs:fontRef idx="minor">
      <a:schemeClr val="lt1"/>
    </cs:fontRef>
    <cs:spPr>
      <a:solidFill>
        <a:schemeClr val="phClr"/>
      </a:solidFill>
    </cs:spPr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lt1"/>
    </cs:fontRef>
    <cs:spPr>
      <a:solidFill>
        <a:schemeClr val="phClr"/>
      </a:solidFill>
      <a:ln w="9525">
        <a:solidFill>
          <a:schemeClr val="lt1"/>
        </a:solidFill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lt1"/>
    </cs:fontRef>
    <cs:spPr>
      <a:ln w="2857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9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>
        <a:solidFill>
          <a:schemeClr val="lt1">
            <a:lumMod val="95000"/>
            <a:alpha val="54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lt1"/>
    </cs:fontRef>
    <cs:spPr>
      <a:ln>
        <a:solidFill>
          <a:schemeClr val="lt1">
            <a:lumMod val="95000"/>
            <a:alpha val="10000"/>
            <a:lumOff val="10000"/>
          </a:schemeClr>
        </a:solidFill>
      </a:ln>
    </cs:spPr>
  </cs:gridlineMinor>
  <cs:hiLo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lt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95000"/>
      </a:schemeClr>
    </cs:fontRef>
    <cs:defRPr sz="9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lt1">
        <a:lumMod val="9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/>
  </cs:seriesAxis>
  <cs:seriesLine>
    <cs:lnRef idx="0"/>
    <cs:fillRef idx="0"/>
    <cs:effectRef idx="0"/>
    <cs:fontRef idx="minor">
      <a:schemeClr val="lt1"/>
    </cs:fontRef>
    <cs:spPr>
      <a:ln w="9525" cap="flat">
        <a:solidFill>
          <a:srgbClr val="D9D9D9"/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spc="10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lt1">
        <a:lumMod val="95000"/>
      </a:schemeClr>
    </cs:fontRef>
    <cs:defRPr sz="9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>
        <a:solidFill>
          <a:schemeClr val="lt1">
            <a:lumMod val="95000"/>
            <a:alpha val="54000"/>
          </a:schemeClr>
        </a:solidFill>
      </a:ln>
    </cs:spPr>
  </cs:upBar>
  <cs:valueAxis>
    <cs:lnRef idx="0"/>
    <cs:fillRef idx="0"/>
    <cs:effectRef idx="0"/>
    <cs:fontRef idx="minor">
      <a:schemeClr val="lt1">
        <a:lumMod val="95000"/>
      </a:schemeClr>
    </cs:fontRef>
    <cs:defRPr sz="900"/>
  </cs:valueAxis>
  <cs:wall>
    <cs:lnRef idx="0"/>
    <cs:fillRef idx="0"/>
    <cs:effectRef idx="0"/>
    <cs:fontRef idx="minor">
      <a:schemeClr val="lt1"/>
    </cs:fontRef>
  </cs:wall>
</cs:chartStyle>
</file>

<file path=word/charts/style9.xml><?xml version="1.0" encoding="utf-8"?>
<cs:chartStyle xmlns:cs="http://schemas.microsoft.com/office/drawing/2012/chartStyle" xmlns:a="http://schemas.openxmlformats.org/drawingml/2006/main" id="294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/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>
        <a:solidFill>
          <a:schemeClr val="lt1">
            <a:lumMod val="95000"/>
            <a:alpha val="54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>
        <a:solidFill>
          <a:schemeClr val="dk1">
            <a:lumMod val="60000"/>
            <a:lumOff val="40000"/>
          </a:schemeClr>
        </a:solidFill>
      </a:ln>
    </cs:spPr>
  </cs:gridlineMinor>
  <cs:hiLo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/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>
        <a:solidFill>
          <a:schemeClr val="lt1">
            <a:lumMod val="95000"/>
            <a:alpha val="54000"/>
          </a:schemeClr>
        </a:solidFill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tx1"/>
    </cs:fontRef>
  </cs:wall>
</cs:chartStyle>
</file>

<file path=word/charts/style10.xml><?xml version="1.0" encoding="utf-8"?>
<cs:chartStyle xmlns:cs="http://schemas.microsoft.com/office/drawing/2012/chartStyle" xmlns:a="http://schemas.openxmlformats.org/drawingml/2006/main" id="215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587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 cap="none" spc="20" normalizeH="0" baseline="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bg1"/>
    </cs:fontRef>
    <cs:spPr>
      <a:solidFill>
        <a:schemeClr val="tx1">
          <a:lumMod val="50000"/>
          <a:lumOff val="50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70000"/>
        </a:schemeClr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70000"/>
        </a:schemeClr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>
            <a:alpha val="70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70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 baseline="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ajor">
      <a:schemeClr val="tx1">
        <a:lumMod val="65000"/>
        <a:lumOff val="35000"/>
      </a:schemeClr>
    </cs:fontRef>
    <cs:defRPr sz="1600" b="0" i="0" kern="1200" cap="none" spc="5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5875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 spc="20" baseline="0"/>
  </cs:valueAxis>
  <cs:wall>
    <cs:lnRef idx="0"/>
    <cs:fillRef idx="0"/>
    <cs:effectRef idx="0"/>
    <cs:fontRef idx="minor">
      <a:schemeClr val="dk1"/>
    </cs:fontRef>
  </cs:wall>
</cs:chartStyle>
</file>

<file path=word/charts/style11.xml><?xml version="1.0" encoding="utf-8"?>
<cs:chartStyle xmlns:cs="http://schemas.microsoft.com/office/drawing/2012/chartStyle" xmlns:a="http://schemas.openxmlformats.org/drawingml/2006/main" id="264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12.xml><?xml version="1.0" encoding="utf-8"?>
<cs:chartStyle xmlns:cs="http://schemas.microsoft.com/office/drawing/2012/chartStyle" xmlns:a="http://schemas.openxmlformats.org/drawingml/2006/main" id="215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587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 cap="none" spc="20" normalizeH="0" baseline="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bg1"/>
    </cs:fontRef>
    <cs:spPr>
      <a:solidFill>
        <a:schemeClr val="tx1">
          <a:lumMod val="50000"/>
          <a:lumOff val="50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70000"/>
        </a:schemeClr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70000"/>
        </a:schemeClr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>
            <a:alpha val="70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70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 baseline="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ajor">
      <a:schemeClr val="tx1">
        <a:lumMod val="65000"/>
        <a:lumOff val="35000"/>
      </a:schemeClr>
    </cs:fontRef>
    <cs:defRPr sz="1600" b="0" i="0" kern="1200" cap="none" spc="5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5875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 spc="20" baseline="0"/>
  </cs:valueAxis>
  <cs:wall>
    <cs:lnRef idx="0"/>
    <cs:fillRef idx="0"/>
    <cs:effectRef idx="0"/>
    <cs:fontRef idx="minor">
      <a:schemeClr val="dk1"/>
    </cs:fontRef>
  </cs:wall>
</cs:chartStyle>
</file>

<file path=word/charts/style13.xml><?xml version="1.0" encoding="utf-8"?>
<cs:chartStyle xmlns:cs="http://schemas.microsoft.com/office/drawing/2012/chartStyle" xmlns:a="http://schemas.openxmlformats.org/drawingml/2006/main" id="328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gradFill>
        <a:gsLst>
          <a:gs pos="100000">
            <a:schemeClr val="dk1">
              <a:lumMod val="95000"/>
              <a:lumOff val="5000"/>
            </a:schemeClr>
          </a:gs>
          <a:gs pos="0">
            <a:schemeClr val="dk1">
              <a:lumMod val="75000"/>
              <a:lumOff val="25000"/>
            </a:schemeClr>
          </a:gs>
        </a:gsLst>
        <a:path path="circle">
          <a:fillToRect l="50000" t="50000" r="50000" b="50000"/>
        </a:path>
      </a:gradFill>
      <a:ln w="9525">
        <a:solidFill>
          <a:schemeClr val="dk1">
            <a:lumMod val="75000"/>
            <a:lumOff val="2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>
        <a:solidFill>
          <a:schemeClr val="lt1">
            <a:lumMod val="95000"/>
            <a:alpha val="5000"/>
          </a:schemeClr>
        </a:solidFill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gradFill>
        <a:gsLst>
          <a:gs pos="100000">
            <a:schemeClr val="lt1">
              <a:lumMod val="85000"/>
            </a:schemeClr>
          </a:gs>
          <a:gs pos="0">
            <a:schemeClr val="lt1"/>
          </a:gs>
        </a:gsLst>
        <a:path path="circle">
          <a:fillToRect l="50000" t="50000" r="50000" b="50000"/>
        </a:path>
      </a:gradFill>
      <a:ln w="9525" cap="flat" cmpd="sng" algn="ctr">
        <a:solidFill>
          <a:schemeClr val="lt1"/>
        </a:solidFill>
        <a:round/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tx1"/>
    </cs:fontRef>
  </cs:wall>
</cs:chartStyle>
</file>

<file path=word/charts/style14.xml><?xml version="1.0" encoding="utf-8"?>
<cs:chartStyle xmlns:cs="http://schemas.microsoft.com/office/drawing/2012/chartStyle" xmlns:a="http://schemas.openxmlformats.org/drawingml/2006/main" id="209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lt1"/>
    </cs:fontRef>
  </cs:dataPoint>
  <cs:dataPoint3D>
    <cs:lnRef idx="0"/>
    <cs:fillRef idx="3">
      <cs:styleClr val="auto"/>
    </cs:fillRef>
    <cs:effectRef idx="3"/>
    <cs:fontRef idx="minor">
      <a:schemeClr val="lt1"/>
    </cs:fontRef>
  </cs:dataPoint3D>
  <cs:dataPointLine>
    <cs:lnRef idx="0">
      <cs:styleClr val="auto"/>
    </cs:lnRef>
    <cs:fillRef idx="3"/>
    <cs:effectRef idx="3"/>
    <cs:fontRef idx="minor">
      <a:schemeClr val="lt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lt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lt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75000"/>
          <a:lumOff val="25000"/>
        </a:schemeClr>
      </a:solidFill>
      <a:ln w="9525">
        <a:solidFill>
          <a:schemeClr val="lt1">
            <a:lumMod val="95000"/>
            <a:alpha val="54000"/>
          </a:schemeClr>
        </a:solidFill>
      </a:ln>
    </cs:spPr>
  </cs:downBar>
  <cs:dropLine>
    <cs:lnRef idx="0"/>
    <cs:fillRef idx="0"/>
    <cs:effectRef idx="0"/>
    <cs:fontRef idx="minor">
      <a:schemeClr val="lt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lt1"/>
    </cs:fontRef>
    <cs:spPr>
      <a:ln>
        <a:solidFill>
          <a:schemeClr val="lt1">
            <a:lumMod val="95000"/>
            <a:alpha val="5000"/>
          </a:schemeClr>
        </a:solidFill>
      </a:ln>
    </cs:spPr>
  </cs:gridlineMinor>
  <cs:hiLoLine>
    <cs:lnRef idx="0"/>
    <cs:fillRef idx="0"/>
    <cs:effectRef idx="0"/>
    <cs:fontRef idx="minor">
      <a:schemeClr val="lt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lt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lt1"/>
    </cs:fontRef>
    <cs:spPr>
      <a:solidFill>
        <a:schemeClr val="lt1"/>
      </a:solidFill>
      <a:ln w="9525">
        <a:solidFill>
          <a:schemeClr val="lt1">
            <a:lumMod val="95000"/>
            <a:alpha val="54000"/>
          </a:schemeClr>
        </a:solidFill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lt1"/>
    </cs:fontRef>
  </cs:wall>
</cs:chartStyle>
</file>

<file path=word/charts/style15.xml><?xml version="1.0" encoding="utf-8"?>
<cs:chartStyle xmlns:cs="http://schemas.microsoft.com/office/drawing/2012/chartStyle" xmlns:a="http://schemas.openxmlformats.org/drawingml/2006/main" id="266">
  <cs:axisTitle>
    <cs:lnRef idx="0"/>
    <cs:fillRef idx="0"/>
    <cs:effectRef idx="0"/>
    <cs:fontRef idx="minor">
      <a:schemeClr val="tx2"/>
    </cs:fontRef>
    <cs:defRPr sz="900" b="1" kern="1200"/>
  </cs:axisTitle>
  <cs:category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2"/>
    </cs:fontRef>
    <cs:defRPr sz="900" kern="1200"/>
  </cs:dataLabel>
  <cs:dataLabelCallout>
    <cs:lnRef idx="0"/>
    <cs:fillRef idx="0"/>
    <cs:effectRef idx="0"/>
    <cs:fontRef idx="minor">
      <a:schemeClr val="dk2">
        <a:lumMod val="7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2"/>
    <cs:fontRef idx="minor">
      <a:schemeClr val="tx2"/>
    </cs:fontRef>
  </cs:dataPoint>
  <cs:dataPoint3D>
    <cs:lnRef idx="0"/>
    <cs:fillRef idx="3">
      <cs:styleClr val="auto"/>
    </cs:fillRef>
    <cs:effectRef idx="2"/>
    <cs:fontRef idx="minor">
      <a:schemeClr val="tx2"/>
    </cs:fontRef>
  </cs:dataPoint3D>
  <cs:dataPointLine>
    <cs:lnRef idx="0">
      <cs:styleClr val="auto"/>
    </cs:lnRef>
    <cs:fillRef idx="3"/>
    <cs:effectRef idx="2"/>
    <cs:fontRef idx="minor">
      <a:schemeClr val="tx2"/>
    </cs:fontRef>
    <cs:spPr>
      <a:ln w="31750" cap="rnd">
        <a:solidFill>
          <a:schemeClr val="phClr"/>
        </a:solidFill>
        <a:round/>
      </a:ln>
    </cs:spPr>
  </cs:dataPointLine>
  <cs:dataPointMarker>
    <cs:lnRef idx="0"/>
    <cs:fillRef idx="3">
      <cs:styleClr val="auto"/>
    </cs:fillRef>
    <cs:effectRef idx="2"/>
    <cs:fontRef idx="minor">
      <a:schemeClr val="tx2"/>
    </cs:fontRef>
    <cs:spPr>
      <a:ln w="12700">
        <a:solidFill>
          <a:schemeClr val="lt2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2"/>
    <cs:fontRef idx="minor">
      <a:schemeClr val="tx2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2"/>
    </cs:fontRef>
    <cs:spPr>
      <a:ln w="9525">
        <a:solidFill>
          <a:schemeClr val="tx2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tx2"/>
    </cs:fontRef>
    <cs:spPr>
      <a:ln w="9525">
        <a:solidFill>
          <a:schemeClr val="tx2">
            <a:lumMod val="75000"/>
          </a:schemeClr>
        </a:solidFill>
        <a:round/>
      </a:ln>
    </cs:spPr>
  </cs:errorBar>
  <cs:floor>
    <cs:lnRef idx="0"/>
    <cs:fillRef idx="0"/>
    <cs:effectRef idx="0"/>
    <cs:fontRef idx="minor">
      <a:schemeClr val="tx2"/>
    </cs:fontRef>
  </cs:floor>
  <cs:gridlineMajor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2"/>
    </cs:fontRef>
    <cs:spPr>
      <a:ln>
        <a:solidFill>
          <a:schemeClr val="tx2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2"/>
    </cs:fontRef>
    <cs:defRPr sz="900" kern="1200"/>
  </cs:legend>
  <cs:plotArea>
    <cs:lnRef idx="0"/>
    <cs:fillRef idx="0"/>
    <cs:effectRef idx="0"/>
    <cs:fontRef idx="minor">
      <a:schemeClr val="tx2"/>
    </cs:fontRef>
  </cs:plotArea>
  <cs:plotArea3D>
    <cs:lnRef idx="0"/>
    <cs:fillRef idx="0"/>
    <cs:effectRef idx="0"/>
    <cs:fontRef idx="minor">
      <a:schemeClr val="tx2"/>
    </cs:fontRef>
  </cs:plotArea3D>
  <cs:series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seriesLine>
  <cs:title>
    <cs:lnRef idx="0"/>
    <cs:fillRef idx="0"/>
    <cs:effectRef idx="0"/>
    <cs:fontRef idx="minor">
      <a:schemeClr val="tx2"/>
    </cs:fontRef>
    <cs:defRPr sz="1600" b="1" kern="1200"/>
  </cs:title>
  <cs:trendline>
    <cs:lnRef idx="0">
      <cs:styleClr val="auto"/>
    </cs:lnRef>
    <cs:fillRef idx="0"/>
    <cs:effectRef idx="0"/>
    <cs:fontRef idx="minor">
      <a:schemeClr val="tx2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2"/>
    </cs:fontRef>
    <cs:defRPr sz="900" kern="1200"/>
  </cs:trendlineLabel>
  <cs:upBar>
    <cs:lnRef idx="0"/>
    <cs:fillRef idx="0"/>
    <cs:effectRef idx="0"/>
    <cs:fontRef idx="minor">
      <a:schemeClr val="tx2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2"/>
    </cs:fontRef>
    <cs:defRPr sz="900" kern="1200"/>
  </cs:valueAxis>
  <cs:wall>
    <cs:lnRef idx="0"/>
    <cs:fillRef idx="0"/>
    <cs:effectRef idx="0"/>
    <cs:fontRef idx="minor">
      <a:schemeClr val="tx2"/>
    </cs:fontRef>
  </cs:wall>
</cs:chartStyle>
</file>

<file path=word/charts/style16.xml><?xml version="1.0" encoding="utf-8"?>
<cs:chartStyle xmlns:cs="http://schemas.microsoft.com/office/drawing/2012/chartStyle" xmlns:a="http://schemas.openxmlformats.org/drawingml/2006/main" id="22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>
      <cs:styleClr val="auto"/>
    </cs:fillRef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17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17.xml><?xml version="1.0" encoding="utf-8"?>
<cs:chartStyle xmlns:cs="http://schemas.microsoft.com/office/drawing/2012/chartStyle" xmlns:a="http://schemas.openxmlformats.org/drawingml/2006/main" id="209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lt1"/>
    </cs:fontRef>
  </cs:dataPoint>
  <cs:dataPoint3D>
    <cs:lnRef idx="0"/>
    <cs:fillRef idx="3">
      <cs:styleClr val="auto"/>
    </cs:fillRef>
    <cs:effectRef idx="3"/>
    <cs:fontRef idx="minor">
      <a:schemeClr val="lt1"/>
    </cs:fontRef>
  </cs:dataPoint3D>
  <cs:dataPointLine>
    <cs:lnRef idx="0">
      <cs:styleClr val="auto"/>
    </cs:lnRef>
    <cs:fillRef idx="3"/>
    <cs:effectRef idx="3"/>
    <cs:fontRef idx="minor">
      <a:schemeClr val="lt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lt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lt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75000"/>
          <a:lumOff val="25000"/>
        </a:schemeClr>
      </a:solidFill>
      <a:ln w="9525">
        <a:solidFill>
          <a:schemeClr val="lt1">
            <a:lumMod val="95000"/>
            <a:alpha val="54000"/>
          </a:schemeClr>
        </a:solidFill>
      </a:ln>
    </cs:spPr>
  </cs:downBar>
  <cs:dropLine>
    <cs:lnRef idx="0"/>
    <cs:fillRef idx="0"/>
    <cs:effectRef idx="0"/>
    <cs:fontRef idx="minor">
      <a:schemeClr val="lt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lt1"/>
    </cs:fontRef>
    <cs:spPr>
      <a:ln>
        <a:solidFill>
          <a:schemeClr val="lt1">
            <a:lumMod val="95000"/>
            <a:alpha val="5000"/>
          </a:schemeClr>
        </a:solidFill>
      </a:ln>
    </cs:spPr>
  </cs:gridlineMinor>
  <cs:hiLoLine>
    <cs:lnRef idx="0"/>
    <cs:fillRef idx="0"/>
    <cs:effectRef idx="0"/>
    <cs:fontRef idx="minor">
      <a:schemeClr val="lt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lt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lt1"/>
    </cs:fontRef>
    <cs:spPr>
      <a:solidFill>
        <a:schemeClr val="lt1"/>
      </a:solidFill>
      <a:ln w="9525">
        <a:solidFill>
          <a:schemeClr val="lt1">
            <a:lumMod val="95000"/>
            <a:alpha val="54000"/>
          </a:schemeClr>
        </a:solidFill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lt1"/>
    </cs:fontRef>
  </cs:wall>
</cs:chartStyle>
</file>

<file path=word/charts/style18.xml><?xml version="1.0" encoding="utf-8"?>
<cs:chartStyle xmlns:cs="http://schemas.microsoft.com/office/drawing/2012/chartStyle" xmlns:a="http://schemas.openxmlformats.org/drawingml/2006/main" id="22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>
      <cs:styleClr val="auto"/>
    </cs:fillRef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17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19.xml><?xml version="1.0" encoding="utf-8"?>
<cs:chartStyle xmlns:cs="http://schemas.microsoft.com/office/drawing/2012/chartStyle" xmlns:a="http://schemas.openxmlformats.org/drawingml/2006/main" id="328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gradFill>
        <a:gsLst>
          <a:gs pos="100000">
            <a:schemeClr val="dk1">
              <a:lumMod val="95000"/>
              <a:lumOff val="5000"/>
            </a:schemeClr>
          </a:gs>
          <a:gs pos="0">
            <a:schemeClr val="dk1">
              <a:lumMod val="75000"/>
              <a:lumOff val="25000"/>
            </a:schemeClr>
          </a:gs>
        </a:gsLst>
        <a:path path="circle">
          <a:fillToRect l="50000" t="50000" r="50000" b="50000"/>
        </a:path>
      </a:gradFill>
      <a:ln w="9525">
        <a:solidFill>
          <a:schemeClr val="dk1">
            <a:lumMod val="75000"/>
            <a:lumOff val="2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>
        <a:solidFill>
          <a:schemeClr val="lt1">
            <a:lumMod val="95000"/>
            <a:alpha val="5000"/>
          </a:schemeClr>
        </a:solidFill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gradFill>
        <a:gsLst>
          <a:gs pos="100000">
            <a:schemeClr val="lt1">
              <a:lumMod val="85000"/>
            </a:schemeClr>
          </a:gs>
          <a:gs pos="0">
            <a:schemeClr val="lt1"/>
          </a:gs>
        </a:gsLst>
        <a:path path="circle">
          <a:fillToRect l="50000" t="50000" r="50000" b="50000"/>
        </a:path>
      </a:gradFill>
      <a:ln w="9525" cap="flat" cmpd="sng" algn="ctr">
        <a:solidFill>
          <a:schemeClr val="lt1"/>
        </a:solidFill>
        <a:round/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tx1"/>
    </cs:fontRef>
  </cs:wall>
</cs:chartStyle>
</file>

<file path=word/charts/style20.xml><?xml version="1.0" encoding="utf-8"?>
<cs:chartStyle xmlns:cs="http://schemas.microsoft.com/office/drawing/2012/chartStyle" xmlns:a="http://schemas.openxmlformats.org/drawingml/2006/main" id="328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gradFill>
        <a:gsLst>
          <a:gs pos="100000">
            <a:schemeClr val="dk1">
              <a:lumMod val="95000"/>
              <a:lumOff val="5000"/>
            </a:schemeClr>
          </a:gs>
          <a:gs pos="0">
            <a:schemeClr val="dk1">
              <a:lumMod val="75000"/>
              <a:lumOff val="25000"/>
            </a:schemeClr>
          </a:gs>
        </a:gsLst>
        <a:path path="circle">
          <a:fillToRect l="50000" t="50000" r="50000" b="50000"/>
        </a:path>
      </a:gradFill>
      <a:ln w="9525">
        <a:solidFill>
          <a:schemeClr val="dk1">
            <a:lumMod val="75000"/>
            <a:lumOff val="2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>
        <a:solidFill>
          <a:schemeClr val="lt1">
            <a:lumMod val="95000"/>
            <a:alpha val="5000"/>
          </a:schemeClr>
        </a:solidFill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gradFill>
        <a:gsLst>
          <a:gs pos="100000">
            <a:schemeClr val="lt1">
              <a:lumMod val="85000"/>
            </a:schemeClr>
          </a:gs>
          <a:gs pos="0">
            <a:schemeClr val="lt1"/>
          </a:gs>
        </a:gsLst>
        <a:path path="circle">
          <a:fillToRect l="50000" t="50000" r="50000" b="50000"/>
        </a:path>
      </a:gradFill>
      <a:ln w="9525" cap="flat" cmpd="sng" algn="ctr">
        <a:solidFill>
          <a:schemeClr val="lt1"/>
        </a:solidFill>
        <a:round/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tx1"/>
    </cs:fontRef>
  </cs:wall>
</cs:chartStyle>
</file>

<file path=word/charts/style21.xml><?xml version="1.0" encoding="utf-8"?>
<cs:chartStyle xmlns:cs="http://schemas.microsoft.com/office/drawing/2012/chartStyle" xmlns:a="http://schemas.openxmlformats.org/drawingml/2006/main" id="328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gradFill>
        <a:gsLst>
          <a:gs pos="100000">
            <a:schemeClr val="dk1">
              <a:lumMod val="95000"/>
              <a:lumOff val="5000"/>
            </a:schemeClr>
          </a:gs>
          <a:gs pos="0">
            <a:schemeClr val="dk1">
              <a:lumMod val="75000"/>
              <a:lumOff val="25000"/>
            </a:schemeClr>
          </a:gs>
        </a:gsLst>
        <a:path path="circle">
          <a:fillToRect l="50000" t="50000" r="50000" b="50000"/>
        </a:path>
      </a:gradFill>
      <a:ln w="9525">
        <a:solidFill>
          <a:schemeClr val="dk1">
            <a:lumMod val="75000"/>
            <a:lumOff val="2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>
        <a:solidFill>
          <a:schemeClr val="lt1">
            <a:lumMod val="95000"/>
            <a:alpha val="5000"/>
          </a:schemeClr>
        </a:solidFill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gradFill>
        <a:gsLst>
          <a:gs pos="100000">
            <a:schemeClr val="lt1">
              <a:lumMod val="85000"/>
            </a:schemeClr>
          </a:gs>
          <a:gs pos="0">
            <a:schemeClr val="lt1"/>
          </a:gs>
        </a:gsLst>
        <a:path path="circle">
          <a:fillToRect l="50000" t="50000" r="50000" b="50000"/>
        </a:path>
      </a:gradFill>
      <a:ln w="9525" cap="flat" cmpd="sng" algn="ctr">
        <a:solidFill>
          <a:schemeClr val="lt1"/>
        </a:solidFill>
        <a:round/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tx1"/>
    </cs:fontRef>
  </cs:wall>
</cs:chartStyle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 2007 - 2010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 2013 - 2022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 2013 - 2022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4AEBE8-CE4E-406E-A996-21EC43D3A7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29</Pages>
  <Words>4391</Words>
  <Characters>30304</Characters>
  <Application>Microsoft Office Word</Application>
  <DocSecurity>0</DocSecurity>
  <Lines>252</Lines>
  <Paragraphs>69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34626</CharactersWithSpaces>
  <SharedDoc>false</SharedDoc>
  <HLinks>
    <vt:vector size="12" baseType="variant">
      <vt:variant>
        <vt:i4>4849754</vt:i4>
      </vt:variant>
      <vt:variant>
        <vt:i4>3</vt:i4>
      </vt:variant>
      <vt:variant>
        <vt:i4>0</vt:i4>
      </vt:variant>
      <vt:variant>
        <vt:i4>5</vt:i4>
      </vt:variant>
      <vt:variant>
        <vt:lpwstr>http://www.hevizairport.com/</vt:lpwstr>
      </vt:variant>
      <vt:variant>
        <vt:lpwstr/>
      </vt:variant>
      <vt:variant>
        <vt:i4>7405595</vt:i4>
      </vt:variant>
      <vt:variant>
        <vt:i4>0</vt:i4>
      </vt:variant>
      <vt:variant>
        <vt:i4>0</vt:i4>
      </vt:variant>
      <vt:variant>
        <vt:i4>5</vt:i4>
      </vt:variant>
      <vt:variant>
        <vt:lpwstr>mailto:attila.benko@hevizairport.com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Csiga</dc:creator>
  <cp:keywords/>
  <dc:description/>
  <cp:lastModifiedBy>Judit HJ.</cp:lastModifiedBy>
  <cp:revision>5</cp:revision>
  <cp:lastPrinted>2025-04-24T13:54:00Z</cp:lastPrinted>
  <dcterms:created xsi:type="dcterms:W3CDTF">2025-05-08T08:23:00Z</dcterms:created>
  <dcterms:modified xsi:type="dcterms:W3CDTF">2025-05-08T08:28:00Z</dcterms:modified>
</cp:coreProperties>
</file>