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50EF" w:rsidRDefault="00B250EF" w:rsidP="00B250EF">
      <w:pPr>
        <w:rPr>
          <w:rFonts w:ascii="Times New Roman" w:hAnsi="Times New Roman"/>
          <w:sz w:val="28"/>
          <w:szCs w:val="28"/>
        </w:rPr>
      </w:pPr>
      <w:bookmarkStart w:id="0" w:name="_GoBack"/>
      <w:bookmarkEnd w:id="0"/>
    </w:p>
    <w:p w:rsidR="00B250EF" w:rsidRPr="00400F5A" w:rsidRDefault="00B250EF" w:rsidP="00B250EF">
      <w:pPr>
        <w:rPr>
          <w:rFonts w:ascii="Times New Roman" w:eastAsia="Times New Roman" w:hAnsi="Times New Roman"/>
          <w:bCs/>
          <w:kern w:val="36"/>
          <w:sz w:val="28"/>
          <w:szCs w:val="28"/>
          <w:lang w:eastAsia="hu-HU"/>
        </w:rPr>
      </w:pPr>
    </w:p>
    <w:p w:rsidR="00B250EF" w:rsidRDefault="00B250EF" w:rsidP="00B250EF">
      <w:pPr>
        <w:rPr>
          <w:rFonts w:ascii="Times New Roman" w:eastAsia="Times New Roman" w:hAnsi="Times New Roman"/>
          <w:bCs/>
          <w:kern w:val="36"/>
          <w:sz w:val="28"/>
          <w:szCs w:val="28"/>
          <w:lang w:eastAsia="hu-HU"/>
        </w:rPr>
      </w:pPr>
    </w:p>
    <w:p w:rsidR="00B250EF" w:rsidRDefault="00B250EF" w:rsidP="00B250EF">
      <w:pPr>
        <w:rPr>
          <w:rFonts w:ascii="Times New Roman" w:eastAsia="Times New Roman" w:hAnsi="Times New Roman"/>
          <w:bCs/>
          <w:kern w:val="36"/>
          <w:sz w:val="28"/>
          <w:szCs w:val="28"/>
          <w:lang w:eastAsia="hu-HU"/>
        </w:rPr>
      </w:pPr>
    </w:p>
    <w:p w:rsidR="00B250EF" w:rsidRDefault="00B250EF" w:rsidP="00B250EF">
      <w:pPr>
        <w:rPr>
          <w:rFonts w:ascii="Times New Roman" w:eastAsia="Times New Roman" w:hAnsi="Times New Roman"/>
          <w:bCs/>
          <w:kern w:val="36"/>
          <w:sz w:val="28"/>
          <w:szCs w:val="28"/>
          <w:lang w:eastAsia="hu-HU"/>
        </w:rPr>
      </w:pPr>
    </w:p>
    <w:p w:rsidR="00B250EF" w:rsidRDefault="00B250EF" w:rsidP="00B250EF">
      <w:pPr>
        <w:rPr>
          <w:rFonts w:ascii="Times New Roman" w:eastAsia="Times New Roman" w:hAnsi="Times New Roman"/>
          <w:bCs/>
          <w:kern w:val="36"/>
          <w:sz w:val="28"/>
          <w:szCs w:val="28"/>
          <w:lang w:eastAsia="hu-HU"/>
        </w:rPr>
      </w:pPr>
    </w:p>
    <w:p w:rsidR="00B250EF" w:rsidRPr="00822837" w:rsidRDefault="00B250EF" w:rsidP="00B250EF">
      <w:pPr>
        <w:rPr>
          <w:rFonts w:eastAsia="Times New Roman"/>
          <w:b/>
          <w:bCs/>
          <w:kern w:val="36"/>
          <w:sz w:val="32"/>
          <w:szCs w:val="32"/>
          <w:lang w:eastAsia="hu-HU"/>
        </w:rPr>
      </w:pPr>
    </w:p>
    <w:p w:rsidR="00D21C20" w:rsidRPr="00D21C20" w:rsidRDefault="00D21C20" w:rsidP="00D21C20">
      <w:pPr>
        <w:autoSpaceDE w:val="0"/>
        <w:autoSpaceDN w:val="0"/>
        <w:adjustRightInd w:val="0"/>
        <w:spacing w:after="0" w:line="240" w:lineRule="auto"/>
        <w:rPr>
          <w:rFonts w:eastAsiaTheme="minorHAnsi" w:cs="Calibri"/>
          <w:color w:val="000000"/>
          <w:sz w:val="24"/>
          <w:szCs w:val="24"/>
        </w:rPr>
      </w:pPr>
    </w:p>
    <w:p w:rsidR="00D21C20" w:rsidRPr="00D21C20" w:rsidRDefault="00D21C20" w:rsidP="00D21C20">
      <w:pPr>
        <w:autoSpaceDE w:val="0"/>
        <w:autoSpaceDN w:val="0"/>
        <w:adjustRightInd w:val="0"/>
        <w:spacing w:after="0" w:line="240" w:lineRule="auto"/>
        <w:jc w:val="center"/>
        <w:rPr>
          <w:rFonts w:eastAsiaTheme="minorHAnsi" w:cs="Calibri"/>
          <w:color w:val="000000"/>
          <w:sz w:val="32"/>
          <w:szCs w:val="32"/>
        </w:rPr>
      </w:pPr>
      <w:r w:rsidRPr="00D21C20">
        <w:rPr>
          <w:rFonts w:eastAsiaTheme="minorHAnsi" w:cs="Calibri"/>
          <w:b/>
          <w:bCs/>
          <w:color w:val="000000"/>
          <w:sz w:val="32"/>
          <w:szCs w:val="32"/>
        </w:rPr>
        <w:t>Hévízi Turisztikai Nonprofit Kft.</w:t>
      </w:r>
    </w:p>
    <w:p w:rsidR="00D21C20" w:rsidRPr="00D21C20" w:rsidRDefault="00D21C20" w:rsidP="00D21C20">
      <w:pPr>
        <w:autoSpaceDE w:val="0"/>
        <w:autoSpaceDN w:val="0"/>
        <w:adjustRightInd w:val="0"/>
        <w:spacing w:after="0" w:line="240" w:lineRule="auto"/>
        <w:jc w:val="center"/>
        <w:rPr>
          <w:rFonts w:eastAsiaTheme="minorHAnsi" w:cs="Calibri"/>
          <w:color w:val="000000"/>
          <w:sz w:val="32"/>
          <w:szCs w:val="32"/>
        </w:rPr>
      </w:pPr>
      <w:r w:rsidRPr="00D21C20">
        <w:rPr>
          <w:rFonts w:eastAsiaTheme="minorHAnsi" w:cs="Calibri"/>
          <w:b/>
          <w:bCs/>
          <w:color w:val="000000"/>
          <w:sz w:val="32"/>
          <w:szCs w:val="32"/>
        </w:rPr>
        <w:t>Üzleti terve</w:t>
      </w:r>
    </w:p>
    <w:p w:rsidR="00D21C20" w:rsidRPr="00D21C20" w:rsidRDefault="00D21C20" w:rsidP="00D21C20">
      <w:pPr>
        <w:autoSpaceDE w:val="0"/>
        <w:autoSpaceDN w:val="0"/>
        <w:adjustRightInd w:val="0"/>
        <w:spacing w:after="0" w:line="240" w:lineRule="auto"/>
        <w:jc w:val="center"/>
        <w:rPr>
          <w:rFonts w:eastAsiaTheme="minorHAnsi" w:cs="Calibri"/>
          <w:color w:val="000000"/>
          <w:sz w:val="32"/>
          <w:szCs w:val="32"/>
        </w:rPr>
      </w:pPr>
      <w:r w:rsidRPr="00D21C20">
        <w:rPr>
          <w:rFonts w:eastAsiaTheme="minorHAnsi" w:cs="Calibri"/>
          <w:b/>
          <w:bCs/>
          <w:color w:val="000000"/>
          <w:sz w:val="32"/>
          <w:szCs w:val="32"/>
        </w:rPr>
        <w:t>1. számú módosítás</w:t>
      </w:r>
      <w:r w:rsidR="00F81A43">
        <w:rPr>
          <w:rFonts w:eastAsiaTheme="minorHAnsi" w:cs="Calibri"/>
          <w:b/>
          <w:bCs/>
          <w:color w:val="000000"/>
          <w:sz w:val="32"/>
          <w:szCs w:val="32"/>
        </w:rPr>
        <w:t xml:space="preserve"> </w:t>
      </w:r>
    </w:p>
    <w:p w:rsidR="00B250EF" w:rsidRDefault="00D21C20" w:rsidP="00D21C20">
      <w:pPr>
        <w:jc w:val="center"/>
        <w:rPr>
          <w:rFonts w:eastAsia="Times New Roman"/>
          <w:bCs/>
          <w:kern w:val="36"/>
          <w:sz w:val="28"/>
          <w:szCs w:val="28"/>
          <w:lang w:eastAsia="hu-HU"/>
        </w:rPr>
      </w:pPr>
      <w:r w:rsidRPr="00D21C20">
        <w:rPr>
          <w:rFonts w:eastAsiaTheme="minorHAnsi" w:cs="Calibri"/>
          <w:b/>
          <w:bCs/>
          <w:color w:val="000000"/>
          <w:sz w:val="32"/>
          <w:szCs w:val="32"/>
        </w:rPr>
        <w:t>20</w:t>
      </w:r>
      <w:r>
        <w:rPr>
          <w:rFonts w:eastAsiaTheme="minorHAnsi" w:cs="Calibri"/>
          <w:b/>
          <w:bCs/>
          <w:color w:val="000000"/>
          <w:sz w:val="32"/>
          <w:szCs w:val="32"/>
        </w:rPr>
        <w:t>20</w:t>
      </w:r>
      <w:r w:rsidRPr="00D21C20">
        <w:rPr>
          <w:rFonts w:eastAsiaTheme="minorHAnsi" w:cs="Calibri"/>
          <w:b/>
          <w:bCs/>
          <w:color w:val="000000"/>
          <w:sz w:val="32"/>
          <w:szCs w:val="32"/>
        </w:rPr>
        <w:t>. év</w:t>
      </w:r>
    </w:p>
    <w:p w:rsidR="00B250EF" w:rsidRPr="00822837" w:rsidRDefault="00B250EF" w:rsidP="00B250EF">
      <w:pPr>
        <w:jc w:val="center"/>
        <w:rPr>
          <w:rFonts w:eastAsia="Times New Roman"/>
          <w:bCs/>
          <w:kern w:val="36"/>
          <w:sz w:val="28"/>
          <w:szCs w:val="28"/>
          <w:lang w:eastAsia="hu-HU"/>
        </w:rPr>
      </w:pPr>
    </w:p>
    <w:p w:rsidR="00B250EF" w:rsidRPr="00822837" w:rsidRDefault="00B250EF" w:rsidP="00B250EF">
      <w:pPr>
        <w:jc w:val="center"/>
        <w:rPr>
          <w:rFonts w:eastAsia="Times New Roman"/>
          <w:bCs/>
          <w:kern w:val="36"/>
          <w:sz w:val="28"/>
          <w:szCs w:val="28"/>
          <w:lang w:eastAsia="hu-HU"/>
        </w:rPr>
      </w:pPr>
    </w:p>
    <w:p w:rsidR="00B250EF" w:rsidRPr="00822837" w:rsidRDefault="00B250EF" w:rsidP="00B250EF">
      <w:pPr>
        <w:jc w:val="center"/>
        <w:rPr>
          <w:rFonts w:eastAsia="Times New Roman"/>
          <w:bCs/>
          <w:kern w:val="36"/>
          <w:sz w:val="28"/>
          <w:szCs w:val="28"/>
          <w:lang w:eastAsia="hu-HU"/>
        </w:rPr>
      </w:pPr>
    </w:p>
    <w:p w:rsidR="00B250EF" w:rsidRPr="00822837" w:rsidRDefault="00B250EF" w:rsidP="00B250EF">
      <w:pPr>
        <w:jc w:val="center"/>
        <w:rPr>
          <w:rFonts w:eastAsia="Times New Roman"/>
          <w:bCs/>
          <w:kern w:val="36"/>
          <w:sz w:val="28"/>
          <w:szCs w:val="28"/>
          <w:lang w:eastAsia="hu-HU"/>
        </w:rPr>
      </w:pPr>
    </w:p>
    <w:p w:rsidR="00B250EF" w:rsidRPr="00822837" w:rsidRDefault="00B250EF" w:rsidP="00B250EF">
      <w:pPr>
        <w:jc w:val="center"/>
        <w:rPr>
          <w:rFonts w:eastAsia="Times New Roman"/>
          <w:bCs/>
          <w:kern w:val="36"/>
          <w:sz w:val="28"/>
          <w:szCs w:val="28"/>
          <w:lang w:eastAsia="hu-HU"/>
        </w:rPr>
      </w:pPr>
    </w:p>
    <w:p w:rsidR="00B250EF" w:rsidRDefault="00B250EF" w:rsidP="00B250EF">
      <w:pPr>
        <w:jc w:val="center"/>
        <w:rPr>
          <w:rFonts w:eastAsia="Times New Roman"/>
          <w:bCs/>
          <w:kern w:val="36"/>
          <w:sz w:val="28"/>
          <w:szCs w:val="28"/>
          <w:lang w:eastAsia="hu-HU"/>
        </w:rPr>
      </w:pPr>
    </w:p>
    <w:p w:rsidR="00B250EF" w:rsidRPr="00822837" w:rsidRDefault="00B250EF" w:rsidP="00B250EF">
      <w:pPr>
        <w:jc w:val="center"/>
        <w:rPr>
          <w:rFonts w:eastAsia="Times New Roman"/>
          <w:bCs/>
          <w:kern w:val="36"/>
          <w:sz w:val="28"/>
          <w:szCs w:val="28"/>
          <w:lang w:eastAsia="hu-HU"/>
        </w:rPr>
      </w:pPr>
    </w:p>
    <w:p w:rsidR="00B250EF" w:rsidRPr="00822837" w:rsidRDefault="00B250EF" w:rsidP="00B250EF">
      <w:pPr>
        <w:jc w:val="center"/>
        <w:rPr>
          <w:rFonts w:eastAsia="Times New Roman"/>
          <w:bCs/>
          <w:kern w:val="36"/>
          <w:sz w:val="28"/>
          <w:szCs w:val="28"/>
          <w:lang w:eastAsia="hu-HU"/>
        </w:rPr>
      </w:pPr>
    </w:p>
    <w:p w:rsidR="00B250EF" w:rsidRPr="00822837" w:rsidRDefault="00B250EF" w:rsidP="00B250EF">
      <w:pPr>
        <w:jc w:val="center"/>
        <w:rPr>
          <w:rFonts w:eastAsia="Times New Roman"/>
          <w:bCs/>
          <w:kern w:val="36"/>
          <w:sz w:val="28"/>
          <w:szCs w:val="28"/>
          <w:lang w:eastAsia="hu-HU"/>
        </w:rPr>
      </w:pPr>
    </w:p>
    <w:p w:rsidR="00B250EF" w:rsidRPr="00822837" w:rsidRDefault="00B250EF" w:rsidP="00B250EF">
      <w:pPr>
        <w:rPr>
          <w:rFonts w:eastAsia="Times New Roman"/>
          <w:bCs/>
          <w:kern w:val="36"/>
          <w:sz w:val="28"/>
          <w:szCs w:val="28"/>
          <w:lang w:eastAsia="hu-HU"/>
        </w:rPr>
      </w:pPr>
    </w:p>
    <w:p w:rsidR="00B250EF" w:rsidRPr="00822837" w:rsidRDefault="00B250EF" w:rsidP="00B250EF">
      <w:pPr>
        <w:jc w:val="center"/>
        <w:rPr>
          <w:rFonts w:eastAsia="Times New Roman"/>
          <w:bCs/>
          <w:kern w:val="36"/>
          <w:sz w:val="24"/>
          <w:szCs w:val="24"/>
          <w:lang w:eastAsia="hu-HU"/>
        </w:rPr>
      </w:pPr>
      <w:r w:rsidRPr="00822837">
        <w:rPr>
          <w:rFonts w:eastAsia="Times New Roman"/>
          <w:bCs/>
          <w:kern w:val="36"/>
          <w:sz w:val="24"/>
          <w:szCs w:val="24"/>
          <w:lang w:eastAsia="hu-HU"/>
        </w:rPr>
        <w:t>Készítette:</w:t>
      </w:r>
    </w:p>
    <w:p w:rsidR="00B250EF" w:rsidRPr="00D21C20" w:rsidRDefault="00447428" w:rsidP="00B250EF">
      <w:pPr>
        <w:jc w:val="center"/>
        <w:rPr>
          <w:rFonts w:eastAsia="Times New Roman"/>
          <w:bCs/>
          <w:color w:val="FF0000"/>
          <w:kern w:val="36"/>
          <w:sz w:val="24"/>
          <w:szCs w:val="24"/>
          <w:lang w:eastAsia="hu-HU"/>
        </w:rPr>
      </w:pPr>
      <w:r>
        <w:rPr>
          <w:rFonts w:eastAsia="Times New Roman"/>
          <w:bCs/>
          <w:color w:val="FF0000"/>
          <w:kern w:val="36"/>
          <w:sz w:val="24"/>
          <w:szCs w:val="24"/>
          <w:lang w:eastAsia="hu-HU"/>
        </w:rPr>
        <w:t>Berta-Tóth Manuéla, mb. ügyvezető igazgató</w:t>
      </w:r>
    </w:p>
    <w:p w:rsidR="00B250EF" w:rsidRPr="00D21C20" w:rsidRDefault="008F7FF8" w:rsidP="00B250EF">
      <w:pPr>
        <w:jc w:val="center"/>
        <w:rPr>
          <w:rFonts w:eastAsia="Times New Roman"/>
          <w:color w:val="FF0000"/>
          <w:sz w:val="24"/>
          <w:szCs w:val="24"/>
          <w:lang w:eastAsia="hu-HU"/>
        </w:rPr>
      </w:pPr>
      <w:r w:rsidRPr="00D21C20">
        <w:rPr>
          <w:rFonts w:eastAsia="Times New Roman"/>
          <w:bCs/>
          <w:color w:val="FF0000"/>
          <w:kern w:val="36"/>
          <w:sz w:val="24"/>
          <w:szCs w:val="24"/>
          <w:lang w:eastAsia="hu-HU"/>
        </w:rPr>
        <w:t>2020</w:t>
      </w:r>
      <w:r w:rsidR="00B250EF" w:rsidRPr="00D21C20">
        <w:rPr>
          <w:rFonts w:eastAsia="Times New Roman"/>
          <w:bCs/>
          <w:color w:val="FF0000"/>
          <w:kern w:val="36"/>
          <w:sz w:val="24"/>
          <w:szCs w:val="24"/>
          <w:lang w:eastAsia="hu-HU"/>
        </w:rPr>
        <w:t>.</w:t>
      </w:r>
      <w:r w:rsidRPr="00D21C20">
        <w:rPr>
          <w:rFonts w:eastAsia="Times New Roman"/>
          <w:bCs/>
          <w:color w:val="FF0000"/>
          <w:kern w:val="36"/>
          <w:sz w:val="24"/>
          <w:szCs w:val="24"/>
          <w:lang w:eastAsia="hu-HU"/>
        </w:rPr>
        <w:t xml:space="preserve"> </w:t>
      </w:r>
      <w:r w:rsidR="00387EA3" w:rsidRPr="00D21C20">
        <w:rPr>
          <w:rFonts w:eastAsia="Times New Roman"/>
          <w:bCs/>
          <w:color w:val="FF0000"/>
          <w:kern w:val="36"/>
          <w:sz w:val="24"/>
          <w:szCs w:val="24"/>
          <w:lang w:eastAsia="hu-HU"/>
        </w:rPr>
        <w:t xml:space="preserve">április </w:t>
      </w:r>
      <w:r w:rsidR="000112C1">
        <w:rPr>
          <w:rFonts w:eastAsia="Times New Roman"/>
          <w:bCs/>
          <w:color w:val="FF0000"/>
          <w:kern w:val="36"/>
          <w:sz w:val="24"/>
          <w:szCs w:val="24"/>
          <w:lang w:eastAsia="hu-HU"/>
        </w:rPr>
        <w:t>2</w:t>
      </w:r>
      <w:r w:rsidR="009A2BE0">
        <w:rPr>
          <w:rFonts w:eastAsia="Times New Roman"/>
          <w:bCs/>
          <w:color w:val="FF0000"/>
          <w:kern w:val="36"/>
          <w:sz w:val="24"/>
          <w:szCs w:val="24"/>
          <w:lang w:eastAsia="hu-HU"/>
        </w:rPr>
        <w:t>0</w:t>
      </w:r>
      <w:r w:rsidR="00387EA3" w:rsidRPr="00D21C20">
        <w:rPr>
          <w:rFonts w:eastAsia="Times New Roman"/>
          <w:bCs/>
          <w:color w:val="FF0000"/>
          <w:kern w:val="36"/>
          <w:sz w:val="24"/>
          <w:szCs w:val="24"/>
          <w:lang w:eastAsia="hu-HU"/>
        </w:rPr>
        <w:t>.</w:t>
      </w:r>
    </w:p>
    <w:p w:rsidR="00B250EF" w:rsidRPr="00822837" w:rsidRDefault="00B250EF" w:rsidP="00B250EF">
      <w:pPr>
        <w:spacing w:after="0" w:line="240" w:lineRule="auto"/>
        <w:jc w:val="center"/>
        <w:outlineLvl w:val="0"/>
        <w:rPr>
          <w:b/>
          <w:sz w:val="32"/>
          <w:szCs w:val="32"/>
        </w:rPr>
      </w:pPr>
      <w:r>
        <w:rPr>
          <w:rFonts w:ascii="Times New Roman" w:eastAsia="Times New Roman" w:hAnsi="Times New Roman"/>
          <w:b/>
          <w:bCs/>
          <w:kern w:val="36"/>
          <w:sz w:val="24"/>
          <w:szCs w:val="24"/>
          <w:lang w:eastAsia="hu-HU"/>
        </w:rPr>
        <w:br w:type="page"/>
      </w:r>
      <w:bookmarkStart w:id="1" w:name="_Toc347841104"/>
      <w:bookmarkStart w:id="2" w:name="_Toc38281826"/>
      <w:r w:rsidRPr="00822837">
        <w:rPr>
          <w:b/>
          <w:sz w:val="32"/>
          <w:szCs w:val="32"/>
        </w:rPr>
        <w:lastRenderedPageBreak/>
        <w:t>Tartalom</w:t>
      </w:r>
      <w:bookmarkEnd w:id="1"/>
      <w:r>
        <w:rPr>
          <w:b/>
          <w:sz w:val="32"/>
          <w:szCs w:val="32"/>
        </w:rPr>
        <w:t>jegyzék</w:t>
      </w:r>
      <w:bookmarkEnd w:id="2"/>
    </w:p>
    <w:p w:rsidR="00B250EF" w:rsidRPr="00822837" w:rsidRDefault="00B250EF" w:rsidP="00B250EF">
      <w:pPr>
        <w:spacing w:after="0" w:line="240" w:lineRule="auto"/>
        <w:jc w:val="center"/>
        <w:outlineLvl w:val="0"/>
      </w:pPr>
    </w:p>
    <w:p w:rsidR="00B250EF" w:rsidRPr="00822837" w:rsidRDefault="00B250EF" w:rsidP="00B250EF">
      <w:pPr>
        <w:spacing w:after="0" w:line="240" w:lineRule="auto"/>
        <w:jc w:val="center"/>
        <w:outlineLvl w:val="0"/>
      </w:pPr>
    </w:p>
    <w:p w:rsidR="001459F4" w:rsidRDefault="00D0254C">
      <w:pPr>
        <w:pStyle w:val="TJ1"/>
        <w:rPr>
          <w:rFonts w:asciiTheme="minorHAnsi" w:eastAsiaTheme="minorEastAsia" w:hAnsiTheme="minorHAnsi" w:cstheme="minorBidi"/>
          <w:lang w:eastAsia="hu-HU"/>
        </w:rPr>
      </w:pPr>
      <w:r>
        <w:fldChar w:fldCharType="begin"/>
      </w:r>
      <w:r w:rsidR="00B250EF">
        <w:instrText xml:space="preserve"> TOC \o "1-3" \h \z \u </w:instrText>
      </w:r>
      <w:r>
        <w:fldChar w:fldCharType="separate"/>
      </w:r>
      <w:hyperlink w:anchor="_Toc38281826" w:history="1">
        <w:r w:rsidR="001459F4" w:rsidRPr="00485AFA">
          <w:rPr>
            <w:rStyle w:val="Hiperhivatkozs"/>
            <w:b/>
          </w:rPr>
          <w:t>Tartalomjegyzék</w:t>
        </w:r>
        <w:r w:rsidR="001459F4">
          <w:rPr>
            <w:webHidden/>
          </w:rPr>
          <w:tab/>
        </w:r>
        <w:r>
          <w:rPr>
            <w:webHidden/>
          </w:rPr>
          <w:fldChar w:fldCharType="begin"/>
        </w:r>
        <w:r w:rsidR="001459F4">
          <w:rPr>
            <w:webHidden/>
          </w:rPr>
          <w:instrText xml:space="preserve"> PAGEREF _Toc38281826 \h </w:instrText>
        </w:r>
        <w:r>
          <w:rPr>
            <w:webHidden/>
          </w:rPr>
        </w:r>
        <w:r>
          <w:rPr>
            <w:webHidden/>
          </w:rPr>
          <w:fldChar w:fldCharType="separate"/>
        </w:r>
        <w:r w:rsidR="001459F4">
          <w:rPr>
            <w:webHidden/>
          </w:rPr>
          <w:t>2</w:t>
        </w:r>
        <w:r>
          <w:rPr>
            <w:webHidden/>
          </w:rPr>
          <w:fldChar w:fldCharType="end"/>
        </w:r>
      </w:hyperlink>
    </w:p>
    <w:p w:rsidR="001459F4" w:rsidRDefault="004754CA">
      <w:pPr>
        <w:pStyle w:val="TJ1"/>
        <w:rPr>
          <w:rFonts w:asciiTheme="minorHAnsi" w:eastAsiaTheme="minorEastAsia" w:hAnsiTheme="minorHAnsi" w:cstheme="minorBidi"/>
          <w:lang w:eastAsia="hu-HU"/>
        </w:rPr>
      </w:pPr>
      <w:hyperlink w:anchor="_Toc38281827" w:history="1">
        <w:r w:rsidR="001459F4" w:rsidRPr="00485AFA">
          <w:rPr>
            <w:rStyle w:val="Hiperhivatkozs"/>
          </w:rPr>
          <w:t>I. A TÁRSASÁG ÁLTALÁNOS BEMUTATÁSA</w:t>
        </w:r>
        <w:r w:rsidR="001459F4">
          <w:rPr>
            <w:webHidden/>
          </w:rPr>
          <w:tab/>
        </w:r>
        <w:r w:rsidR="00D0254C">
          <w:rPr>
            <w:webHidden/>
          </w:rPr>
          <w:fldChar w:fldCharType="begin"/>
        </w:r>
        <w:r w:rsidR="001459F4">
          <w:rPr>
            <w:webHidden/>
          </w:rPr>
          <w:instrText xml:space="preserve"> PAGEREF _Toc38281827 \h </w:instrText>
        </w:r>
        <w:r w:rsidR="00D0254C">
          <w:rPr>
            <w:webHidden/>
          </w:rPr>
        </w:r>
        <w:r w:rsidR="00D0254C">
          <w:rPr>
            <w:webHidden/>
          </w:rPr>
          <w:fldChar w:fldCharType="separate"/>
        </w:r>
        <w:r w:rsidR="001459F4">
          <w:rPr>
            <w:webHidden/>
          </w:rPr>
          <w:t>3</w:t>
        </w:r>
        <w:r w:rsidR="00D0254C">
          <w:rPr>
            <w:webHidden/>
          </w:rPr>
          <w:fldChar w:fldCharType="end"/>
        </w:r>
      </w:hyperlink>
    </w:p>
    <w:p w:rsidR="001459F4" w:rsidRDefault="004754CA">
      <w:pPr>
        <w:pStyle w:val="TJ2"/>
        <w:tabs>
          <w:tab w:val="right" w:leader="dot" w:pos="9062"/>
        </w:tabs>
        <w:rPr>
          <w:rFonts w:asciiTheme="minorHAnsi" w:eastAsiaTheme="minorEastAsia" w:hAnsiTheme="minorHAnsi" w:cstheme="minorBidi"/>
          <w:noProof/>
          <w:lang w:eastAsia="hu-HU"/>
        </w:rPr>
      </w:pPr>
      <w:hyperlink w:anchor="_Toc38281828" w:history="1">
        <w:r w:rsidR="001459F4" w:rsidRPr="00485AFA">
          <w:rPr>
            <w:rStyle w:val="Hiperhivatkozs"/>
            <w:noProof/>
          </w:rPr>
          <w:t>I.1.) A Társaság alapadatai</w:t>
        </w:r>
        <w:r w:rsidR="001459F4">
          <w:rPr>
            <w:noProof/>
            <w:webHidden/>
          </w:rPr>
          <w:tab/>
        </w:r>
        <w:r w:rsidR="00D0254C">
          <w:rPr>
            <w:noProof/>
            <w:webHidden/>
          </w:rPr>
          <w:fldChar w:fldCharType="begin"/>
        </w:r>
        <w:r w:rsidR="001459F4">
          <w:rPr>
            <w:noProof/>
            <w:webHidden/>
          </w:rPr>
          <w:instrText xml:space="preserve"> PAGEREF _Toc38281828 \h </w:instrText>
        </w:r>
        <w:r w:rsidR="00D0254C">
          <w:rPr>
            <w:noProof/>
            <w:webHidden/>
          </w:rPr>
        </w:r>
        <w:r w:rsidR="00D0254C">
          <w:rPr>
            <w:noProof/>
            <w:webHidden/>
          </w:rPr>
          <w:fldChar w:fldCharType="separate"/>
        </w:r>
        <w:r w:rsidR="001459F4">
          <w:rPr>
            <w:noProof/>
            <w:webHidden/>
          </w:rPr>
          <w:t>3</w:t>
        </w:r>
        <w:r w:rsidR="00D0254C">
          <w:rPr>
            <w:noProof/>
            <w:webHidden/>
          </w:rPr>
          <w:fldChar w:fldCharType="end"/>
        </w:r>
      </w:hyperlink>
    </w:p>
    <w:p w:rsidR="001459F4" w:rsidRDefault="004754CA">
      <w:pPr>
        <w:pStyle w:val="TJ2"/>
        <w:tabs>
          <w:tab w:val="right" w:leader="dot" w:pos="9062"/>
        </w:tabs>
        <w:rPr>
          <w:rFonts w:asciiTheme="minorHAnsi" w:eastAsiaTheme="minorEastAsia" w:hAnsiTheme="minorHAnsi" w:cstheme="minorBidi"/>
          <w:noProof/>
          <w:lang w:eastAsia="hu-HU"/>
        </w:rPr>
      </w:pPr>
      <w:hyperlink w:anchor="_Toc38281829" w:history="1">
        <w:r w:rsidR="001459F4" w:rsidRPr="00485AFA">
          <w:rPr>
            <w:rStyle w:val="Hiperhivatkozs"/>
            <w:noProof/>
          </w:rPr>
          <w:t>I.2.) A vállalkozás története, céljai</w:t>
        </w:r>
        <w:r w:rsidR="001459F4">
          <w:rPr>
            <w:noProof/>
            <w:webHidden/>
          </w:rPr>
          <w:tab/>
        </w:r>
        <w:r w:rsidR="00D0254C">
          <w:rPr>
            <w:noProof/>
            <w:webHidden/>
          </w:rPr>
          <w:fldChar w:fldCharType="begin"/>
        </w:r>
        <w:r w:rsidR="001459F4">
          <w:rPr>
            <w:noProof/>
            <w:webHidden/>
          </w:rPr>
          <w:instrText xml:space="preserve"> PAGEREF _Toc38281829 \h </w:instrText>
        </w:r>
        <w:r w:rsidR="00D0254C">
          <w:rPr>
            <w:noProof/>
            <w:webHidden/>
          </w:rPr>
        </w:r>
        <w:r w:rsidR="00D0254C">
          <w:rPr>
            <w:noProof/>
            <w:webHidden/>
          </w:rPr>
          <w:fldChar w:fldCharType="separate"/>
        </w:r>
        <w:r w:rsidR="001459F4">
          <w:rPr>
            <w:noProof/>
            <w:webHidden/>
          </w:rPr>
          <w:t>4</w:t>
        </w:r>
        <w:r w:rsidR="00D0254C">
          <w:rPr>
            <w:noProof/>
            <w:webHidden/>
          </w:rPr>
          <w:fldChar w:fldCharType="end"/>
        </w:r>
      </w:hyperlink>
    </w:p>
    <w:p w:rsidR="001459F4" w:rsidRDefault="004754CA">
      <w:pPr>
        <w:pStyle w:val="TJ1"/>
        <w:rPr>
          <w:rFonts w:asciiTheme="minorHAnsi" w:eastAsiaTheme="minorEastAsia" w:hAnsiTheme="minorHAnsi" w:cstheme="minorBidi"/>
          <w:lang w:eastAsia="hu-HU"/>
        </w:rPr>
      </w:pPr>
      <w:hyperlink w:anchor="_Toc38281830" w:history="1">
        <w:r w:rsidR="001459F4" w:rsidRPr="00485AFA">
          <w:rPr>
            <w:rStyle w:val="Hiperhivatkozs"/>
          </w:rPr>
          <w:t>II. MARKETING TERV</w:t>
        </w:r>
        <w:r w:rsidR="001459F4">
          <w:rPr>
            <w:webHidden/>
          </w:rPr>
          <w:tab/>
        </w:r>
        <w:r w:rsidR="00D0254C">
          <w:rPr>
            <w:webHidden/>
          </w:rPr>
          <w:fldChar w:fldCharType="begin"/>
        </w:r>
        <w:r w:rsidR="001459F4">
          <w:rPr>
            <w:webHidden/>
          </w:rPr>
          <w:instrText xml:space="preserve"> PAGEREF _Toc38281830 \h </w:instrText>
        </w:r>
        <w:r w:rsidR="00D0254C">
          <w:rPr>
            <w:webHidden/>
          </w:rPr>
        </w:r>
        <w:r w:rsidR="00D0254C">
          <w:rPr>
            <w:webHidden/>
          </w:rPr>
          <w:fldChar w:fldCharType="separate"/>
        </w:r>
        <w:r w:rsidR="001459F4">
          <w:rPr>
            <w:webHidden/>
          </w:rPr>
          <w:t>5</w:t>
        </w:r>
        <w:r w:rsidR="00D0254C">
          <w:rPr>
            <w:webHidden/>
          </w:rPr>
          <w:fldChar w:fldCharType="end"/>
        </w:r>
      </w:hyperlink>
    </w:p>
    <w:p w:rsidR="001459F4" w:rsidRDefault="004754CA">
      <w:pPr>
        <w:pStyle w:val="TJ2"/>
        <w:tabs>
          <w:tab w:val="right" w:leader="dot" w:pos="9062"/>
        </w:tabs>
        <w:rPr>
          <w:rFonts w:asciiTheme="minorHAnsi" w:eastAsiaTheme="minorEastAsia" w:hAnsiTheme="minorHAnsi" w:cstheme="minorBidi"/>
          <w:noProof/>
          <w:lang w:eastAsia="hu-HU"/>
        </w:rPr>
      </w:pPr>
      <w:hyperlink w:anchor="_Toc38281831" w:history="1">
        <w:r w:rsidR="001459F4" w:rsidRPr="00485AFA">
          <w:rPr>
            <w:rStyle w:val="Hiperhivatkozs"/>
            <w:noProof/>
          </w:rPr>
          <w:t>II. 1.) Ágazati áttekintés, a turizmus általános helyzete 2019-ben</w:t>
        </w:r>
        <w:r w:rsidR="001459F4">
          <w:rPr>
            <w:noProof/>
            <w:webHidden/>
          </w:rPr>
          <w:tab/>
        </w:r>
        <w:r w:rsidR="00D0254C">
          <w:rPr>
            <w:noProof/>
            <w:webHidden/>
          </w:rPr>
          <w:fldChar w:fldCharType="begin"/>
        </w:r>
        <w:r w:rsidR="001459F4">
          <w:rPr>
            <w:noProof/>
            <w:webHidden/>
          </w:rPr>
          <w:instrText xml:space="preserve"> PAGEREF _Toc38281831 \h </w:instrText>
        </w:r>
        <w:r w:rsidR="00D0254C">
          <w:rPr>
            <w:noProof/>
            <w:webHidden/>
          </w:rPr>
        </w:r>
        <w:r w:rsidR="00D0254C">
          <w:rPr>
            <w:noProof/>
            <w:webHidden/>
          </w:rPr>
          <w:fldChar w:fldCharType="separate"/>
        </w:r>
        <w:r w:rsidR="001459F4">
          <w:rPr>
            <w:noProof/>
            <w:webHidden/>
          </w:rPr>
          <w:t>5</w:t>
        </w:r>
        <w:r w:rsidR="00D0254C">
          <w:rPr>
            <w:noProof/>
            <w:webHidden/>
          </w:rPr>
          <w:fldChar w:fldCharType="end"/>
        </w:r>
      </w:hyperlink>
    </w:p>
    <w:p w:rsidR="001459F4" w:rsidRDefault="004754CA">
      <w:pPr>
        <w:pStyle w:val="TJ2"/>
        <w:tabs>
          <w:tab w:val="right" w:leader="dot" w:pos="9062"/>
        </w:tabs>
        <w:rPr>
          <w:rFonts w:asciiTheme="minorHAnsi" w:eastAsiaTheme="minorEastAsia" w:hAnsiTheme="minorHAnsi" w:cstheme="minorBidi"/>
          <w:noProof/>
          <w:lang w:eastAsia="hu-HU"/>
        </w:rPr>
      </w:pPr>
      <w:hyperlink w:anchor="_Toc38281832" w:history="1">
        <w:r w:rsidR="001459F4" w:rsidRPr="00485AFA">
          <w:rPr>
            <w:rStyle w:val="Hiperhivatkozs"/>
            <w:noProof/>
          </w:rPr>
          <w:t>II. 2.) Termékek, szolgáltatások pozícionálása, célcsoportok meghatározása</w:t>
        </w:r>
        <w:r w:rsidR="001459F4">
          <w:rPr>
            <w:noProof/>
            <w:webHidden/>
          </w:rPr>
          <w:tab/>
        </w:r>
        <w:r w:rsidR="00D0254C">
          <w:rPr>
            <w:noProof/>
            <w:webHidden/>
          </w:rPr>
          <w:fldChar w:fldCharType="begin"/>
        </w:r>
        <w:r w:rsidR="001459F4">
          <w:rPr>
            <w:noProof/>
            <w:webHidden/>
          </w:rPr>
          <w:instrText xml:space="preserve"> PAGEREF _Toc38281832 \h </w:instrText>
        </w:r>
        <w:r w:rsidR="00D0254C">
          <w:rPr>
            <w:noProof/>
            <w:webHidden/>
          </w:rPr>
        </w:r>
        <w:r w:rsidR="00D0254C">
          <w:rPr>
            <w:noProof/>
            <w:webHidden/>
          </w:rPr>
          <w:fldChar w:fldCharType="separate"/>
        </w:r>
        <w:r w:rsidR="001459F4">
          <w:rPr>
            <w:noProof/>
            <w:webHidden/>
          </w:rPr>
          <w:t>9</w:t>
        </w:r>
        <w:r w:rsidR="00D0254C">
          <w:rPr>
            <w:noProof/>
            <w:webHidden/>
          </w:rPr>
          <w:fldChar w:fldCharType="end"/>
        </w:r>
      </w:hyperlink>
    </w:p>
    <w:p w:rsidR="001459F4" w:rsidRDefault="004754CA">
      <w:pPr>
        <w:pStyle w:val="TJ2"/>
        <w:tabs>
          <w:tab w:val="right" w:leader="dot" w:pos="9062"/>
        </w:tabs>
        <w:rPr>
          <w:rFonts w:asciiTheme="minorHAnsi" w:eastAsiaTheme="minorEastAsia" w:hAnsiTheme="minorHAnsi" w:cstheme="minorBidi"/>
          <w:noProof/>
          <w:lang w:eastAsia="hu-HU"/>
        </w:rPr>
      </w:pPr>
      <w:hyperlink w:anchor="_Toc38281833" w:history="1">
        <w:r w:rsidR="001459F4" w:rsidRPr="00485AFA">
          <w:rPr>
            <w:rStyle w:val="Hiperhivatkozs"/>
            <w:rFonts w:cs="Calibri"/>
            <w:noProof/>
          </w:rPr>
          <w:t>II. 3.) A hévízi vendégkör nemzetiségi összetétel változása 2019. I. – XII. hó</w:t>
        </w:r>
        <w:r w:rsidR="001459F4">
          <w:rPr>
            <w:noProof/>
            <w:webHidden/>
          </w:rPr>
          <w:tab/>
        </w:r>
        <w:r w:rsidR="00D0254C">
          <w:rPr>
            <w:noProof/>
            <w:webHidden/>
          </w:rPr>
          <w:fldChar w:fldCharType="begin"/>
        </w:r>
        <w:r w:rsidR="001459F4">
          <w:rPr>
            <w:noProof/>
            <w:webHidden/>
          </w:rPr>
          <w:instrText xml:space="preserve"> PAGEREF _Toc38281833 \h </w:instrText>
        </w:r>
        <w:r w:rsidR="00D0254C">
          <w:rPr>
            <w:noProof/>
            <w:webHidden/>
          </w:rPr>
        </w:r>
        <w:r w:rsidR="00D0254C">
          <w:rPr>
            <w:noProof/>
            <w:webHidden/>
          </w:rPr>
          <w:fldChar w:fldCharType="separate"/>
        </w:r>
        <w:r w:rsidR="001459F4">
          <w:rPr>
            <w:noProof/>
            <w:webHidden/>
          </w:rPr>
          <w:t>11</w:t>
        </w:r>
        <w:r w:rsidR="00D0254C">
          <w:rPr>
            <w:noProof/>
            <w:webHidden/>
          </w:rPr>
          <w:fldChar w:fldCharType="end"/>
        </w:r>
      </w:hyperlink>
    </w:p>
    <w:p w:rsidR="001459F4" w:rsidRDefault="004754CA">
      <w:pPr>
        <w:pStyle w:val="TJ2"/>
        <w:tabs>
          <w:tab w:val="right" w:leader="dot" w:pos="9062"/>
        </w:tabs>
        <w:rPr>
          <w:rFonts w:asciiTheme="minorHAnsi" w:eastAsiaTheme="minorEastAsia" w:hAnsiTheme="minorHAnsi" w:cstheme="minorBidi"/>
          <w:noProof/>
          <w:lang w:eastAsia="hu-HU"/>
        </w:rPr>
      </w:pPr>
      <w:hyperlink w:anchor="_Toc38281834" w:history="1">
        <w:r w:rsidR="001459F4" w:rsidRPr="00485AFA">
          <w:rPr>
            <w:rStyle w:val="Hiperhivatkozs"/>
            <w:noProof/>
          </w:rPr>
          <w:t>II. 4.) Versenytársak vizsgálata</w:t>
        </w:r>
        <w:r w:rsidR="001459F4">
          <w:rPr>
            <w:noProof/>
            <w:webHidden/>
          </w:rPr>
          <w:tab/>
        </w:r>
        <w:r w:rsidR="00D0254C">
          <w:rPr>
            <w:noProof/>
            <w:webHidden/>
          </w:rPr>
          <w:fldChar w:fldCharType="begin"/>
        </w:r>
        <w:r w:rsidR="001459F4">
          <w:rPr>
            <w:noProof/>
            <w:webHidden/>
          </w:rPr>
          <w:instrText xml:space="preserve"> PAGEREF _Toc38281834 \h </w:instrText>
        </w:r>
        <w:r w:rsidR="00D0254C">
          <w:rPr>
            <w:noProof/>
            <w:webHidden/>
          </w:rPr>
        </w:r>
        <w:r w:rsidR="00D0254C">
          <w:rPr>
            <w:noProof/>
            <w:webHidden/>
          </w:rPr>
          <w:fldChar w:fldCharType="separate"/>
        </w:r>
        <w:r w:rsidR="001459F4">
          <w:rPr>
            <w:noProof/>
            <w:webHidden/>
          </w:rPr>
          <w:t>14</w:t>
        </w:r>
        <w:r w:rsidR="00D0254C">
          <w:rPr>
            <w:noProof/>
            <w:webHidden/>
          </w:rPr>
          <w:fldChar w:fldCharType="end"/>
        </w:r>
      </w:hyperlink>
    </w:p>
    <w:p w:rsidR="001459F4" w:rsidRDefault="004754CA">
      <w:pPr>
        <w:pStyle w:val="TJ2"/>
        <w:tabs>
          <w:tab w:val="right" w:leader="dot" w:pos="9062"/>
        </w:tabs>
        <w:rPr>
          <w:rFonts w:asciiTheme="minorHAnsi" w:eastAsiaTheme="minorEastAsia" w:hAnsiTheme="minorHAnsi" w:cstheme="minorBidi"/>
          <w:noProof/>
          <w:lang w:eastAsia="hu-HU"/>
        </w:rPr>
      </w:pPr>
      <w:hyperlink w:anchor="_Toc38281835" w:history="1">
        <w:r w:rsidR="001459F4" w:rsidRPr="00485AFA">
          <w:rPr>
            <w:rStyle w:val="Hiperhivatkozs"/>
            <w:noProof/>
          </w:rPr>
          <w:t>II. 5.) Marketing akciók</w:t>
        </w:r>
        <w:r w:rsidR="001459F4">
          <w:rPr>
            <w:noProof/>
            <w:webHidden/>
          </w:rPr>
          <w:tab/>
        </w:r>
        <w:r w:rsidR="00D0254C">
          <w:rPr>
            <w:noProof/>
            <w:webHidden/>
          </w:rPr>
          <w:fldChar w:fldCharType="begin"/>
        </w:r>
        <w:r w:rsidR="001459F4">
          <w:rPr>
            <w:noProof/>
            <w:webHidden/>
          </w:rPr>
          <w:instrText xml:space="preserve"> PAGEREF _Toc38281835 \h </w:instrText>
        </w:r>
        <w:r w:rsidR="00D0254C">
          <w:rPr>
            <w:noProof/>
            <w:webHidden/>
          </w:rPr>
        </w:r>
        <w:r w:rsidR="00D0254C">
          <w:rPr>
            <w:noProof/>
            <w:webHidden/>
          </w:rPr>
          <w:fldChar w:fldCharType="separate"/>
        </w:r>
        <w:r w:rsidR="001459F4">
          <w:rPr>
            <w:noProof/>
            <w:webHidden/>
          </w:rPr>
          <w:t>17</w:t>
        </w:r>
        <w:r w:rsidR="00D0254C">
          <w:rPr>
            <w:noProof/>
            <w:webHidden/>
          </w:rPr>
          <w:fldChar w:fldCharType="end"/>
        </w:r>
      </w:hyperlink>
    </w:p>
    <w:p w:rsidR="001459F4" w:rsidRDefault="004754CA">
      <w:pPr>
        <w:pStyle w:val="TJ1"/>
        <w:rPr>
          <w:rFonts w:asciiTheme="minorHAnsi" w:eastAsiaTheme="minorEastAsia" w:hAnsiTheme="minorHAnsi" w:cstheme="minorBidi"/>
          <w:lang w:eastAsia="hu-HU"/>
        </w:rPr>
      </w:pPr>
      <w:hyperlink w:anchor="_Toc38281836" w:history="1">
        <w:r w:rsidR="001459F4" w:rsidRPr="00485AFA">
          <w:rPr>
            <w:rStyle w:val="Hiperhivatkozs"/>
          </w:rPr>
          <w:t>IV. PÉNZÜGYI TERV</w:t>
        </w:r>
        <w:r w:rsidR="001459F4">
          <w:rPr>
            <w:webHidden/>
          </w:rPr>
          <w:tab/>
        </w:r>
        <w:r w:rsidR="00D0254C">
          <w:rPr>
            <w:webHidden/>
          </w:rPr>
          <w:fldChar w:fldCharType="begin"/>
        </w:r>
        <w:r w:rsidR="001459F4">
          <w:rPr>
            <w:webHidden/>
          </w:rPr>
          <w:instrText xml:space="preserve"> PAGEREF _Toc38281836 \h </w:instrText>
        </w:r>
        <w:r w:rsidR="00D0254C">
          <w:rPr>
            <w:webHidden/>
          </w:rPr>
        </w:r>
        <w:r w:rsidR="00D0254C">
          <w:rPr>
            <w:webHidden/>
          </w:rPr>
          <w:fldChar w:fldCharType="separate"/>
        </w:r>
        <w:r w:rsidR="001459F4">
          <w:rPr>
            <w:webHidden/>
          </w:rPr>
          <w:t>21</w:t>
        </w:r>
        <w:r w:rsidR="00D0254C">
          <w:rPr>
            <w:webHidden/>
          </w:rPr>
          <w:fldChar w:fldCharType="end"/>
        </w:r>
      </w:hyperlink>
    </w:p>
    <w:p w:rsidR="00B250EF" w:rsidRPr="00D934C8" w:rsidRDefault="00D0254C" w:rsidP="002642CA">
      <w:pPr>
        <w:pStyle w:val="Cmsor1"/>
        <w:jc w:val="both"/>
        <w:rPr>
          <w:rFonts w:ascii="Calibri" w:hAnsi="Calibri"/>
          <w:sz w:val="32"/>
          <w:szCs w:val="32"/>
        </w:rPr>
      </w:pPr>
      <w:r>
        <w:fldChar w:fldCharType="end"/>
      </w:r>
      <w:r w:rsidR="00B250EF" w:rsidRPr="00400F5A">
        <w:br w:type="page"/>
      </w:r>
      <w:bookmarkStart w:id="3" w:name="_Toc38281827"/>
      <w:r w:rsidR="00B250EF" w:rsidRPr="00D934C8">
        <w:rPr>
          <w:rFonts w:ascii="Calibri" w:hAnsi="Calibri"/>
          <w:sz w:val="32"/>
          <w:szCs w:val="32"/>
        </w:rPr>
        <w:lastRenderedPageBreak/>
        <w:t>I. A TÁRSASÁG ÁLTALÁNOS BEMUTATÁSA</w:t>
      </w:r>
      <w:bookmarkEnd w:id="3"/>
    </w:p>
    <w:p w:rsidR="00B250EF" w:rsidRPr="00822837" w:rsidRDefault="00B250EF" w:rsidP="002642CA">
      <w:pPr>
        <w:pStyle w:val="Cmsor2"/>
        <w:jc w:val="both"/>
        <w:rPr>
          <w:rFonts w:ascii="Calibri" w:hAnsi="Calibri"/>
          <w:i w:val="0"/>
        </w:rPr>
      </w:pPr>
      <w:bookmarkStart w:id="4" w:name="_Toc38281828"/>
      <w:r w:rsidRPr="00822837">
        <w:rPr>
          <w:rFonts w:ascii="Calibri" w:hAnsi="Calibri"/>
          <w:i w:val="0"/>
        </w:rPr>
        <w:t xml:space="preserve">I.1.) A </w:t>
      </w:r>
      <w:r w:rsidRPr="00822837">
        <w:rPr>
          <w:rStyle w:val="Kiemels"/>
          <w:rFonts w:ascii="Calibri" w:hAnsi="Calibri"/>
        </w:rPr>
        <w:t>Társaság</w:t>
      </w:r>
      <w:r w:rsidRPr="00822837">
        <w:rPr>
          <w:rFonts w:ascii="Calibri" w:hAnsi="Calibri"/>
          <w:i w:val="0"/>
        </w:rPr>
        <w:t xml:space="preserve"> alapadatai</w:t>
      </w:r>
      <w:bookmarkEnd w:id="4"/>
    </w:p>
    <w:p w:rsidR="00B250EF" w:rsidRPr="00822837" w:rsidRDefault="00B250EF" w:rsidP="002642CA">
      <w:pPr>
        <w:spacing w:after="0" w:line="240" w:lineRule="auto"/>
        <w:jc w:val="both"/>
        <w:rPr>
          <w:sz w:val="24"/>
          <w:szCs w:val="24"/>
        </w:rPr>
      </w:pPr>
    </w:p>
    <w:p w:rsidR="00B250EF" w:rsidRPr="00822837" w:rsidRDefault="00B250EF" w:rsidP="002642CA">
      <w:pPr>
        <w:spacing w:after="0" w:line="240" w:lineRule="auto"/>
        <w:jc w:val="both"/>
        <w:rPr>
          <w:sz w:val="24"/>
          <w:szCs w:val="24"/>
        </w:rPr>
      </w:pPr>
      <w:r w:rsidRPr="00822837">
        <w:rPr>
          <w:sz w:val="24"/>
          <w:szCs w:val="24"/>
        </w:rPr>
        <w:t xml:space="preserve">- Működési forma: Nonprofit </w:t>
      </w:r>
      <w:r w:rsidRPr="00822837">
        <w:rPr>
          <w:rStyle w:val="Kiemels"/>
          <w:i w:val="0"/>
          <w:sz w:val="24"/>
          <w:szCs w:val="24"/>
        </w:rPr>
        <w:t>Korlátolt Felelősségű Társaság</w:t>
      </w:r>
    </w:p>
    <w:p w:rsidR="00B250EF" w:rsidRPr="00822837" w:rsidRDefault="00B250EF" w:rsidP="002642CA">
      <w:pPr>
        <w:spacing w:after="0" w:line="240" w:lineRule="auto"/>
        <w:jc w:val="both"/>
        <w:rPr>
          <w:sz w:val="24"/>
          <w:szCs w:val="24"/>
        </w:rPr>
      </w:pPr>
      <w:r w:rsidRPr="00822837">
        <w:rPr>
          <w:sz w:val="24"/>
          <w:szCs w:val="24"/>
        </w:rPr>
        <w:t xml:space="preserve">- Tulajdonosok: </w:t>
      </w:r>
    </w:p>
    <w:p w:rsidR="00B250EF" w:rsidRPr="00822837" w:rsidRDefault="00B250EF" w:rsidP="002642CA">
      <w:pPr>
        <w:spacing w:after="0" w:line="240" w:lineRule="auto"/>
        <w:ind w:firstLine="426"/>
        <w:jc w:val="both"/>
        <w:rPr>
          <w:sz w:val="24"/>
          <w:szCs w:val="24"/>
        </w:rPr>
      </w:pPr>
      <w:r w:rsidRPr="00822837">
        <w:rPr>
          <w:sz w:val="24"/>
          <w:szCs w:val="24"/>
        </w:rPr>
        <w:t>- Hévíz Város Önkormányzata, Székhely: 8380 Hévíz, Kossuth Lajos utca 1.</w:t>
      </w:r>
    </w:p>
    <w:p w:rsidR="00B250EF" w:rsidRPr="00822837" w:rsidRDefault="00B250EF" w:rsidP="002642CA">
      <w:pPr>
        <w:spacing w:after="0" w:line="240" w:lineRule="auto"/>
        <w:ind w:firstLine="426"/>
        <w:jc w:val="both"/>
        <w:rPr>
          <w:sz w:val="24"/>
          <w:szCs w:val="24"/>
        </w:rPr>
      </w:pPr>
      <w:r w:rsidRPr="00822837">
        <w:rPr>
          <w:sz w:val="24"/>
          <w:szCs w:val="24"/>
        </w:rPr>
        <w:t>- Hévíz TDM Egyesület, Székhely: 8380 Hévíz, Rákóczi u. 2.</w:t>
      </w:r>
    </w:p>
    <w:p w:rsidR="00B250EF" w:rsidRPr="00822837" w:rsidRDefault="00B250EF" w:rsidP="002642CA">
      <w:pPr>
        <w:spacing w:after="0" w:line="240" w:lineRule="auto"/>
        <w:ind w:firstLine="426"/>
        <w:jc w:val="both"/>
        <w:rPr>
          <w:sz w:val="24"/>
          <w:szCs w:val="24"/>
        </w:rPr>
      </w:pPr>
      <w:r w:rsidRPr="00822837">
        <w:rPr>
          <w:sz w:val="24"/>
          <w:szCs w:val="24"/>
        </w:rPr>
        <w:t xml:space="preserve">- Hévízi Szobakiadók Szövetsége, Székhely: </w:t>
      </w:r>
      <w:r w:rsidRPr="00F35BF7">
        <w:rPr>
          <w:sz w:val="24"/>
          <w:szCs w:val="24"/>
        </w:rPr>
        <w:t>8380 Hévíz, Attila utca 68.</w:t>
      </w:r>
    </w:p>
    <w:p w:rsidR="00B250EF" w:rsidRPr="00822837" w:rsidRDefault="00B250EF" w:rsidP="002642CA">
      <w:pPr>
        <w:spacing w:after="0" w:line="240" w:lineRule="auto"/>
        <w:ind w:left="567" w:hanging="141"/>
        <w:jc w:val="both"/>
        <w:rPr>
          <w:sz w:val="24"/>
          <w:szCs w:val="24"/>
        </w:rPr>
      </w:pPr>
      <w:r w:rsidRPr="00822837">
        <w:rPr>
          <w:sz w:val="24"/>
          <w:szCs w:val="24"/>
        </w:rPr>
        <w:t>- Hévízgyógyfürdő és Szent András Re</w:t>
      </w:r>
      <w:r>
        <w:rPr>
          <w:sz w:val="24"/>
          <w:szCs w:val="24"/>
        </w:rPr>
        <w:t xml:space="preserve">umakórház, </w:t>
      </w:r>
      <w:r w:rsidRPr="00822837">
        <w:rPr>
          <w:sz w:val="24"/>
          <w:szCs w:val="24"/>
        </w:rPr>
        <w:t xml:space="preserve">Székhely: </w:t>
      </w:r>
      <w:r>
        <w:rPr>
          <w:sz w:val="24"/>
          <w:szCs w:val="24"/>
        </w:rPr>
        <w:t>8380 Hévíz, Dr.</w:t>
      </w:r>
      <w:r w:rsidRPr="00822837">
        <w:rPr>
          <w:sz w:val="24"/>
          <w:szCs w:val="24"/>
        </w:rPr>
        <w:t xml:space="preserve"> Schulhof V</w:t>
      </w:r>
      <w:r>
        <w:rPr>
          <w:sz w:val="24"/>
          <w:szCs w:val="24"/>
        </w:rPr>
        <w:t>.</w:t>
      </w:r>
      <w:r w:rsidRPr="00822837">
        <w:rPr>
          <w:sz w:val="24"/>
          <w:szCs w:val="24"/>
        </w:rPr>
        <w:t xml:space="preserve"> sétány 1.</w:t>
      </w:r>
    </w:p>
    <w:p w:rsidR="00B250EF" w:rsidRPr="00822837" w:rsidRDefault="00B250EF" w:rsidP="002642CA">
      <w:pPr>
        <w:spacing w:after="0" w:line="240" w:lineRule="auto"/>
        <w:ind w:firstLine="426"/>
        <w:jc w:val="both"/>
        <w:rPr>
          <w:sz w:val="24"/>
          <w:szCs w:val="24"/>
        </w:rPr>
      </w:pPr>
      <w:r w:rsidRPr="00822837">
        <w:rPr>
          <w:sz w:val="24"/>
          <w:szCs w:val="24"/>
        </w:rPr>
        <w:t xml:space="preserve">- Danubius Zrt., Székhely: 1051 Budapest, Szent István tér 11. </w:t>
      </w:r>
    </w:p>
    <w:p w:rsidR="00B250EF" w:rsidRPr="00822837" w:rsidRDefault="00B250EF" w:rsidP="002642CA">
      <w:pPr>
        <w:spacing w:after="0" w:line="240" w:lineRule="auto"/>
        <w:ind w:firstLine="426"/>
        <w:jc w:val="both"/>
        <w:rPr>
          <w:sz w:val="24"/>
          <w:szCs w:val="24"/>
        </w:rPr>
      </w:pPr>
      <w:r w:rsidRPr="00822837">
        <w:rPr>
          <w:sz w:val="24"/>
          <w:szCs w:val="24"/>
        </w:rPr>
        <w:t>- Hévinvest Spa-Golf Zrt., Székhely: 111</w:t>
      </w:r>
      <w:r w:rsidR="00EE6806">
        <w:rPr>
          <w:sz w:val="24"/>
          <w:szCs w:val="24"/>
        </w:rPr>
        <w:t>9</w:t>
      </w:r>
      <w:r w:rsidRPr="00822837">
        <w:rPr>
          <w:sz w:val="24"/>
          <w:szCs w:val="24"/>
        </w:rPr>
        <w:t xml:space="preserve"> Budapest, </w:t>
      </w:r>
      <w:r w:rsidR="00EE6806">
        <w:rPr>
          <w:sz w:val="24"/>
          <w:szCs w:val="24"/>
        </w:rPr>
        <w:t>Tétényi út 84-86.</w:t>
      </w:r>
    </w:p>
    <w:p w:rsidR="00B250EF" w:rsidRPr="00822837" w:rsidRDefault="00B250EF" w:rsidP="002642CA">
      <w:pPr>
        <w:spacing w:after="0" w:line="240" w:lineRule="auto"/>
        <w:ind w:firstLine="426"/>
        <w:jc w:val="both"/>
        <w:rPr>
          <w:sz w:val="24"/>
          <w:szCs w:val="24"/>
        </w:rPr>
      </w:pPr>
      <w:r w:rsidRPr="00822837">
        <w:rPr>
          <w:sz w:val="24"/>
          <w:szCs w:val="24"/>
        </w:rPr>
        <w:t>- Hotel Carbona Zrt., Székhely: 8380 Hévíz, Attila u. 1.</w:t>
      </w:r>
    </w:p>
    <w:p w:rsidR="00B250EF" w:rsidRPr="00822837" w:rsidRDefault="00B250EF" w:rsidP="002642CA">
      <w:pPr>
        <w:spacing w:after="0" w:line="240" w:lineRule="auto"/>
        <w:ind w:firstLine="426"/>
        <w:jc w:val="both"/>
        <w:rPr>
          <w:sz w:val="24"/>
          <w:szCs w:val="24"/>
        </w:rPr>
      </w:pPr>
      <w:r w:rsidRPr="00822837">
        <w:rPr>
          <w:sz w:val="24"/>
          <w:szCs w:val="24"/>
        </w:rPr>
        <w:t xml:space="preserve">- Hotel Garden Kft., Székhely: </w:t>
      </w:r>
      <w:r>
        <w:rPr>
          <w:sz w:val="24"/>
          <w:szCs w:val="24"/>
        </w:rPr>
        <w:t>8380 Hévíz, Lótuszvirág u. 1.</w:t>
      </w:r>
    </w:p>
    <w:p w:rsidR="00B250EF" w:rsidRDefault="00B250EF" w:rsidP="002642CA">
      <w:pPr>
        <w:spacing w:after="0" w:line="240" w:lineRule="auto"/>
        <w:ind w:firstLine="426"/>
        <w:jc w:val="both"/>
        <w:rPr>
          <w:sz w:val="24"/>
          <w:szCs w:val="24"/>
        </w:rPr>
      </w:pPr>
      <w:r w:rsidRPr="00822837">
        <w:rPr>
          <w:sz w:val="24"/>
          <w:szCs w:val="24"/>
        </w:rPr>
        <w:t xml:space="preserve">- Hunguest Hotels Zrt., Székhely: </w:t>
      </w:r>
      <w:r w:rsidR="002F0457">
        <w:rPr>
          <w:sz w:val="24"/>
          <w:szCs w:val="24"/>
        </w:rPr>
        <w:t xml:space="preserve">1015 Budapest, Hattyú u. 14. </w:t>
      </w:r>
    </w:p>
    <w:p w:rsidR="00144F56" w:rsidRDefault="00144F56" w:rsidP="002642CA">
      <w:pPr>
        <w:spacing w:after="0" w:line="240" w:lineRule="auto"/>
        <w:ind w:firstLine="426"/>
        <w:jc w:val="both"/>
        <w:rPr>
          <w:sz w:val="24"/>
          <w:szCs w:val="24"/>
        </w:rPr>
      </w:pPr>
      <w:r>
        <w:rPr>
          <w:sz w:val="24"/>
          <w:szCs w:val="24"/>
        </w:rPr>
        <w:t>- Gelencsér Dental Kft., Székhely: 8380 Hévíz, Vörösmarty u. 75.</w:t>
      </w:r>
    </w:p>
    <w:p w:rsidR="002F0457" w:rsidRPr="00822837" w:rsidRDefault="002F0457" w:rsidP="002642CA">
      <w:pPr>
        <w:spacing w:after="0" w:line="240" w:lineRule="auto"/>
        <w:ind w:firstLine="426"/>
        <w:jc w:val="both"/>
        <w:rPr>
          <w:sz w:val="24"/>
          <w:szCs w:val="24"/>
        </w:rPr>
      </w:pPr>
    </w:p>
    <w:p w:rsidR="00B250EF" w:rsidRPr="00822837" w:rsidRDefault="00B250EF" w:rsidP="002642CA">
      <w:pPr>
        <w:spacing w:after="0" w:line="240" w:lineRule="auto"/>
        <w:jc w:val="both"/>
        <w:rPr>
          <w:sz w:val="24"/>
          <w:szCs w:val="24"/>
        </w:rPr>
      </w:pPr>
      <w:r w:rsidRPr="00822837">
        <w:rPr>
          <w:sz w:val="24"/>
          <w:szCs w:val="24"/>
        </w:rPr>
        <w:t xml:space="preserve">- Törvényes képviselő: </w:t>
      </w:r>
      <w:r w:rsidR="00387EA3" w:rsidRPr="00D21C20">
        <w:rPr>
          <w:color w:val="FF0000"/>
          <w:sz w:val="24"/>
          <w:szCs w:val="24"/>
        </w:rPr>
        <w:t>Berta-Tóth Manuéla</w:t>
      </w:r>
      <w:r w:rsidR="00514B7C" w:rsidRPr="00D21C20">
        <w:rPr>
          <w:color w:val="FF0000"/>
          <w:sz w:val="24"/>
          <w:szCs w:val="24"/>
        </w:rPr>
        <w:t xml:space="preserve">, </w:t>
      </w:r>
      <w:r w:rsidR="00514B7C" w:rsidRPr="00A1106E">
        <w:rPr>
          <w:color w:val="FF0000"/>
          <w:sz w:val="24"/>
          <w:szCs w:val="24"/>
        </w:rPr>
        <w:t xml:space="preserve">8315 Gyenesdiás, </w:t>
      </w:r>
      <w:r w:rsidR="00A1106E" w:rsidRPr="00A1106E">
        <w:rPr>
          <w:rFonts w:ascii="Helvetica" w:hAnsi="Helvetica" w:cs="Helvetica"/>
          <w:color w:val="FF0000"/>
          <w:sz w:val="20"/>
          <w:szCs w:val="20"/>
          <w:shd w:val="clear" w:color="auto" w:fill="F1F0F0"/>
        </w:rPr>
        <w:t>Vörösmarty utca 12</w:t>
      </w:r>
    </w:p>
    <w:p w:rsidR="00B250EF" w:rsidRPr="00822837" w:rsidRDefault="00B250EF" w:rsidP="002642CA">
      <w:pPr>
        <w:spacing w:after="0" w:line="240" w:lineRule="auto"/>
        <w:jc w:val="both"/>
        <w:rPr>
          <w:sz w:val="24"/>
          <w:szCs w:val="24"/>
        </w:rPr>
      </w:pPr>
      <w:r w:rsidRPr="00822837">
        <w:rPr>
          <w:sz w:val="24"/>
          <w:szCs w:val="24"/>
        </w:rPr>
        <w:t xml:space="preserve">- A </w:t>
      </w:r>
      <w:r w:rsidRPr="00822837">
        <w:rPr>
          <w:rStyle w:val="Kiemels"/>
          <w:i w:val="0"/>
          <w:sz w:val="24"/>
          <w:szCs w:val="24"/>
        </w:rPr>
        <w:t>Társaság</w:t>
      </w:r>
      <w:r w:rsidRPr="00822837">
        <w:rPr>
          <w:sz w:val="24"/>
          <w:szCs w:val="24"/>
        </w:rPr>
        <w:t xml:space="preserve"> pontos neve: Hévízi Turisztikai Nonprofit Korlátolt Felelősségű Társaság</w:t>
      </w:r>
    </w:p>
    <w:p w:rsidR="00B250EF" w:rsidRPr="00822837" w:rsidRDefault="00B250EF" w:rsidP="002642CA">
      <w:pPr>
        <w:spacing w:after="0" w:line="240" w:lineRule="auto"/>
        <w:jc w:val="both"/>
        <w:rPr>
          <w:sz w:val="24"/>
          <w:szCs w:val="24"/>
        </w:rPr>
      </w:pPr>
      <w:r w:rsidRPr="00822837">
        <w:rPr>
          <w:sz w:val="24"/>
          <w:szCs w:val="24"/>
        </w:rPr>
        <w:t xml:space="preserve">- A </w:t>
      </w:r>
      <w:r w:rsidRPr="00822837">
        <w:rPr>
          <w:rStyle w:val="Kiemels"/>
          <w:i w:val="0"/>
          <w:sz w:val="24"/>
          <w:szCs w:val="24"/>
        </w:rPr>
        <w:t>Társaság</w:t>
      </w:r>
      <w:r w:rsidRPr="00822837">
        <w:rPr>
          <w:sz w:val="24"/>
          <w:szCs w:val="24"/>
        </w:rPr>
        <w:t xml:space="preserve"> székhelye: 8380 Hévíz, Rákóczi utca 2.</w:t>
      </w:r>
    </w:p>
    <w:p w:rsidR="00B250EF" w:rsidRPr="00242E53" w:rsidRDefault="00B250EF" w:rsidP="002642CA">
      <w:pPr>
        <w:spacing w:after="0" w:line="240" w:lineRule="auto"/>
        <w:jc w:val="both"/>
        <w:rPr>
          <w:sz w:val="24"/>
          <w:szCs w:val="24"/>
        </w:rPr>
      </w:pPr>
      <w:r w:rsidRPr="00822837">
        <w:rPr>
          <w:sz w:val="24"/>
          <w:szCs w:val="24"/>
        </w:rPr>
        <w:t xml:space="preserve">- A </w:t>
      </w:r>
      <w:r w:rsidRPr="00822837">
        <w:rPr>
          <w:rStyle w:val="Kiemels"/>
          <w:i w:val="0"/>
          <w:sz w:val="24"/>
          <w:szCs w:val="24"/>
        </w:rPr>
        <w:t>Társaság</w:t>
      </w:r>
      <w:r w:rsidRPr="00822837">
        <w:rPr>
          <w:sz w:val="24"/>
          <w:szCs w:val="24"/>
        </w:rPr>
        <w:t xml:space="preserve"> fő tevékenysége</w:t>
      </w:r>
      <w:r w:rsidRPr="00242E53">
        <w:rPr>
          <w:sz w:val="24"/>
          <w:szCs w:val="24"/>
        </w:rPr>
        <w:t>: Reklámügynöki tevékenység</w:t>
      </w:r>
    </w:p>
    <w:p w:rsidR="00B250EF" w:rsidRPr="00822837" w:rsidRDefault="00B250EF" w:rsidP="002642CA">
      <w:pPr>
        <w:spacing w:after="0" w:line="240" w:lineRule="auto"/>
        <w:jc w:val="both"/>
        <w:rPr>
          <w:sz w:val="24"/>
          <w:szCs w:val="24"/>
        </w:rPr>
      </w:pPr>
      <w:r w:rsidRPr="00822837">
        <w:rPr>
          <w:sz w:val="24"/>
          <w:szCs w:val="24"/>
        </w:rPr>
        <w:t xml:space="preserve">- A </w:t>
      </w:r>
      <w:r w:rsidRPr="00822837">
        <w:rPr>
          <w:rStyle w:val="Kiemels"/>
          <w:i w:val="0"/>
          <w:sz w:val="24"/>
          <w:szCs w:val="24"/>
        </w:rPr>
        <w:t>Társaság</w:t>
      </w:r>
      <w:r w:rsidRPr="00822837">
        <w:rPr>
          <w:sz w:val="24"/>
          <w:szCs w:val="24"/>
        </w:rPr>
        <w:t xml:space="preserve"> melléktevékenységei 2013. január 1-től:</w:t>
      </w:r>
    </w:p>
    <w:p w:rsidR="00B250EF" w:rsidRPr="00C152AC" w:rsidRDefault="00B250EF" w:rsidP="002642CA">
      <w:pPr>
        <w:spacing w:after="0" w:line="240" w:lineRule="auto"/>
        <w:ind w:firstLine="851"/>
        <w:jc w:val="both"/>
        <w:rPr>
          <w:sz w:val="24"/>
          <w:szCs w:val="24"/>
        </w:rPr>
      </w:pPr>
      <w:r w:rsidRPr="00C152AC">
        <w:rPr>
          <w:sz w:val="24"/>
          <w:szCs w:val="24"/>
        </w:rPr>
        <w:t>Könyvkiadás</w:t>
      </w:r>
    </w:p>
    <w:p w:rsidR="00B250EF" w:rsidRPr="00C152AC" w:rsidRDefault="00B250EF" w:rsidP="002642CA">
      <w:pPr>
        <w:spacing w:after="0" w:line="240" w:lineRule="auto"/>
        <w:ind w:firstLine="851"/>
        <w:jc w:val="both"/>
        <w:rPr>
          <w:sz w:val="24"/>
          <w:szCs w:val="24"/>
        </w:rPr>
      </w:pPr>
      <w:r w:rsidRPr="00C152AC">
        <w:rPr>
          <w:sz w:val="24"/>
          <w:szCs w:val="24"/>
        </w:rPr>
        <w:t>Folyóirat, időszaki kiadvány kiadása</w:t>
      </w:r>
    </w:p>
    <w:p w:rsidR="00B250EF" w:rsidRPr="00C152AC" w:rsidRDefault="00B250EF" w:rsidP="002642CA">
      <w:pPr>
        <w:spacing w:after="0" w:line="240" w:lineRule="auto"/>
        <w:ind w:firstLine="851"/>
        <w:jc w:val="both"/>
        <w:rPr>
          <w:sz w:val="24"/>
          <w:szCs w:val="24"/>
        </w:rPr>
      </w:pPr>
      <w:r w:rsidRPr="00C152AC">
        <w:rPr>
          <w:sz w:val="24"/>
          <w:szCs w:val="24"/>
        </w:rPr>
        <w:t>Piac-, közvélemény-kutatás</w:t>
      </w:r>
    </w:p>
    <w:p w:rsidR="00B250EF" w:rsidRPr="00C152AC" w:rsidRDefault="00B250EF" w:rsidP="002642CA">
      <w:pPr>
        <w:spacing w:after="0" w:line="240" w:lineRule="auto"/>
        <w:ind w:firstLine="851"/>
        <w:jc w:val="both"/>
        <w:rPr>
          <w:sz w:val="24"/>
          <w:szCs w:val="24"/>
        </w:rPr>
      </w:pPr>
      <w:r w:rsidRPr="00C152AC">
        <w:rPr>
          <w:sz w:val="24"/>
          <w:szCs w:val="24"/>
        </w:rPr>
        <w:t>Hangfelvétel készítése, kiadása</w:t>
      </w:r>
    </w:p>
    <w:p w:rsidR="00B250EF" w:rsidRPr="00C152AC" w:rsidRDefault="00B250EF" w:rsidP="002642CA">
      <w:pPr>
        <w:spacing w:after="0" w:line="240" w:lineRule="auto"/>
        <w:ind w:firstLine="851"/>
        <w:jc w:val="both"/>
        <w:rPr>
          <w:sz w:val="24"/>
          <w:szCs w:val="24"/>
        </w:rPr>
      </w:pPr>
      <w:r w:rsidRPr="00C152AC">
        <w:rPr>
          <w:sz w:val="24"/>
          <w:szCs w:val="24"/>
        </w:rPr>
        <w:t>Üzletviteli, egyéb vezetési tanácsadás</w:t>
      </w:r>
    </w:p>
    <w:p w:rsidR="00B250EF" w:rsidRPr="00C152AC" w:rsidRDefault="00B250EF" w:rsidP="002642CA">
      <w:pPr>
        <w:spacing w:after="0" w:line="240" w:lineRule="auto"/>
        <w:ind w:firstLine="851"/>
        <w:jc w:val="both"/>
        <w:rPr>
          <w:sz w:val="24"/>
          <w:szCs w:val="24"/>
        </w:rPr>
      </w:pPr>
      <w:r w:rsidRPr="00C152AC">
        <w:rPr>
          <w:sz w:val="24"/>
          <w:szCs w:val="24"/>
        </w:rPr>
        <w:t>Egyéb kiadói tevékenység</w:t>
      </w:r>
    </w:p>
    <w:p w:rsidR="00B250EF" w:rsidRPr="00C152AC" w:rsidRDefault="00B250EF" w:rsidP="002642CA">
      <w:pPr>
        <w:spacing w:after="0" w:line="240" w:lineRule="auto"/>
        <w:ind w:firstLine="851"/>
        <w:jc w:val="both"/>
        <w:rPr>
          <w:sz w:val="24"/>
          <w:szCs w:val="24"/>
        </w:rPr>
      </w:pPr>
      <w:r w:rsidRPr="00C152AC">
        <w:rPr>
          <w:sz w:val="24"/>
          <w:szCs w:val="24"/>
        </w:rPr>
        <w:t>Médiareklám</w:t>
      </w:r>
    </w:p>
    <w:p w:rsidR="00B250EF" w:rsidRPr="00C152AC" w:rsidRDefault="00B250EF" w:rsidP="002642CA">
      <w:pPr>
        <w:spacing w:after="0" w:line="240" w:lineRule="auto"/>
        <w:ind w:firstLine="851"/>
        <w:jc w:val="both"/>
        <w:rPr>
          <w:sz w:val="24"/>
          <w:szCs w:val="24"/>
        </w:rPr>
      </w:pPr>
      <w:r w:rsidRPr="00C152AC">
        <w:rPr>
          <w:sz w:val="24"/>
          <w:szCs w:val="24"/>
        </w:rPr>
        <w:t>Iparcikk jellegű bolti vegyes kiskereskedelem</w:t>
      </w:r>
    </w:p>
    <w:p w:rsidR="00B250EF" w:rsidRPr="00C152AC" w:rsidRDefault="00B250EF" w:rsidP="002642CA">
      <w:pPr>
        <w:spacing w:after="0" w:line="240" w:lineRule="auto"/>
        <w:ind w:firstLine="851"/>
        <w:jc w:val="both"/>
        <w:rPr>
          <w:sz w:val="24"/>
          <w:szCs w:val="24"/>
        </w:rPr>
      </w:pPr>
      <w:r w:rsidRPr="00C152AC">
        <w:rPr>
          <w:sz w:val="24"/>
          <w:szCs w:val="24"/>
        </w:rPr>
        <w:t>Összetett adminisztratív szolgáltatás</w:t>
      </w:r>
    </w:p>
    <w:p w:rsidR="00B250EF" w:rsidRPr="00C152AC" w:rsidRDefault="00B250EF" w:rsidP="002642CA">
      <w:pPr>
        <w:spacing w:after="0" w:line="240" w:lineRule="auto"/>
        <w:ind w:firstLine="851"/>
        <w:jc w:val="both"/>
        <w:rPr>
          <w:sz w:val="24"/>
          <w:szCs w:val="24"/>
        </w:rPr>
      </w:pPr>
      <w:r w:rsidRPr="00C152AC">
        <w:rPr>
          <w:sz w:val="24"/>
          <w:szCs w:val="24"/>
        </w:rPr>
        <w:t>Könyv-kiskereskedelem</w:t>
      </w:r>
    </w:p>
    <w:p w:rsidR="00B250EF" w:rsidRPr="00C152AC" w:rsidRDefault="00B250EF" w:rsidP="002642CA">
      <w:pPr>
        <w:spacing w:after="0" w:line="240" w:lineRule="auto"/>
        <w:ind w:firstLine="851"/>
        <w:jc w:val="both"/>
        <w:rPr>
          <w:sz w:val="24"/>
          <w:szCs w:val="24"/>
        </w:rPr>
      </w:pPr>
      <w:r w:rsidRPr="00C152AC">
        <w:rPr>
          <w:sz w:val="24"/>
          <w:szCs w:val="24"/>
        </w:rPr>
        <w:t>Fénymásolás, egyéb irodai szolgáltatás</w:t>
      </w:r>
    </w:p>
    <w:p w:rsidR="00B250EF" w:rsidRPr="00C152AC" w:rsidRDefault="00B250EF" w:rsidP="002642CA">
      <w:pPr>
        <w:spacing w:after="0" w:line="240" w:lineRule="auto"/>
        <w:ind w:firstLine="851"/>
        <w:jc w:val="both"/>
        <w:rPr>
          <w:sz w:val="24"/>
          <w:szCs w:val="24"/>
        </w:rPr>
      </w:pPr>
      <w:r w:rsidRPr="00C152AC">
        <w:rPr>
          <w:sz w:val="24"/>
          <w:szCs w:val="24"/>
        </w:rPr>
        <w:t>Újság-, papíráru-kiskereskedelem</w:t>
      </w:r>
    </w:p>
    <w:p w:rsidR="00B250EF" w:rsidRPr="00C152AC" w:rsidRDefault="00B250EF" w:rsidP="002642CA">
      <w:pPr>
        <w:spacing w:after="0" w:line="240" w:lineRule="auto"/>
        <w:ind w:firstLine="851"/>
        <w:jc w:val="both"/>
        <w:rPr>
          <w:sz w:val="24"/>
          <w:szCs w:val="24"/>
        </w:rPr>
      </w:pPr>
      <w:r w:rsidRPr="00C152AC">
        <w:rPr>
          <w:sz w:val="24"/>
          <w:szCs w:val="24"/>
        </w:rPr>
        <w:t>Egyéb m.n.s. új áru kiskereskedelme</w:t>
      </w:r>
    </w:p>
    <w:p w:rsidR="00B250EF" w:rsidRPr="00C152AC" w:rsidRDefault="00B250EF" w:rsidP="002642CA">
      <w:pPr>
        <w:spacing w:after="0" w:line="240" w:lineRule="auto"/>
        <w:ind w:firstLine="851"/>
        <w:jc w:val="both"/>
        <w:rPr>
          <w:sz w:val="24"/>
          <w:szCs w:val="24"/>
        </w:rPr>
      </w:pPr>
      <w:r w:rsidRPr="00C152AC">
        <w:rPr>
          <w:sz w:val="24"/>
          <w:szCs w:val="24"/>
        </w:rPr>
        <w:t>Utazásszervezés</w:t>
      </w:r>
    </w:p>
    <w:p w:rsidR="00B250EF" w:rsidRPr="00C152AC" w:rsidRDefault="00B250EF" w:rsidP="002642CA">
      <w:pPr>
        <w:spacing w:after="0" w:line="240" w:lineRule="auto"/>
        <w:ind w:firstLine="851"/>
        <w:jc w:val="both"/>
        <w:rPr>
          <w:sz w:val="24"/>
          <w:szCs w:val="24"/>
        </w:rPr>
      </w:pPr>
      <w:r w:rsidRPr="00C152AC">
        <w:rPr>
          <w:sz w:val="24"/>
          <w:szCs w:val="24"/>
        </w:rPr>
        <w:t>Egyéb pénzügyi kiegészítő tevékenység</w:t>
      </w:r>
    </w:p>
    <w:p w:rsidR="00B250EF" w:rsidRPr="00C152AC" w:rsidRDefault="00B250EF" w:rsidP="002642CA">
      <w:pPr>
        <w:spacing w:after="0" w:line="240" w:lineRule="auto"/>
        <w:ind w:firstLine="851"/>
        <w:jc w:val="both"/>
        <w:rPr>
          <w:sz w:val="24"/>
          <w:szCs w:val="24"/>
        </w:rPr>
      </w:pPr>
      <w:r w:rsidRPr="00C152AC">
        <w:rPr>
          <w:sz w:val="24"/>
          <w:szCs w:val="24"/>
        </w:rPr>
        <w:t>Múzeumi tevékenység</w:t>
      </w:r>
    </w:p>
    <w:p w:rsidR="00B250EF" w:rsidRPr="00822837" w:rsidRDefault="00B250EF" w:rsidP="002642CA">
      <w:pPr>
        <w:spacing w:after="0" w:line="240" w:lineRule="auto"/>
        <w:ind w:firstLine="851"/>
        <w:jc w:val="both"/>
        <w:rPr>
          <w:sz w:val="24"/>
          <w:szCs w:val="24"/>
        </w:rPr>
      </w:pPr>
      <w:r w:rsidRPr="00C152AC">
        <w:rPr>
          <w:sz w:val="24"/>
          <w:szCs w:val="24"/>
        </w:rPr>
        <w:t>M.n.s. egyéb szórakoztatás, szabadidős tevékenység</w:t>
      </w:r>
    </w:p>
    <w:p w:rsidR="00B250EF" w:rsidRPr="00822837" w:rsidRDefault="00B250EF" w:rsidP="002642CA">
      <w:pPr>
        <w:spacing w:after="0" w:line="240" w:lineRule="auto"/>
        <w:ind w:firstLine="851"/>
        <w:jc w:val="both"/>
        <w:rPr>
          <w:sz w:val="24"/>
          <w:szCs w:val="24"/>
        </w:rPr>
      </w:pPr>
    </w:p>
    <w:p w:rsidR="00B250EF" w:rsidRPr="00822837" w:rsidRDefault="00B250EF" w:rsidP="002642CA">
      <w:pPr>
        <w:spacing w:after="0" w:line="240" w:lineRule="auto"/>
        <w:jc w:val="both"/>
        <w:rPr>
          <w:sz w:val="24"/>
          <w:szCs w:val="24"/>
        </w:rPr>
      </w:pPr>
      <w:r w:rsidRPr="00822837">
        <w:rPr>
          <w:sz w:val="24"/>
          <w:szCs w:val="24"/>
        </w:rPr>
        <w:t xml:space="preserve">- Elérhetőségi adatok </w:t>
      </w:r>
    </w:p>
    <w:p w:rsidR="00B250EF" w:rsidRPr="00822837" w:rsidRDefault="00B250EF" w:rsidP="002642CA">
      <w:pPr>
        <w:spacing w:after="0" w:line="240" w:lineRule="auto"/>
        <w:ind w:firstLine="709"/>
        <w:jc w:val="both"/>
        <w:rPr>
          <w:sz w:val="24"/>
          <w:szCs w:val="24"/>
        </w:rPr>
      </w:pPr>
      <w:r w:rsidRPr="00822837">
        <w:rPr>
          <w:sz w:val="24"/>
          <w:szCs w:val="24"/>
        </w:rPr>
        <w:t>Postacím: 8380 Hévíz, Rákóczi utca 2.</w:t>
      </w:r>
    </w:p>
    <w:p w:rsidR="00B250EF" w:rsidRPr="00822837" w:rsidRDefault="00B250EF" w:rsidP="002642CA">
      <w:pPr>
        <w:spacing w:after="0" w:line="240" w:lineRule="auto"/>
        <w:ind w:firstLine="709"/>
        <w:jc w:val="both"/>
        <w:rPr>
          <w:sz w:val="24"/>
          <w:szCs w:val="24"/>
        </w:rPr>
      </w:pPr>
      <w:r w:rsidRPr="00822837">
        <w:rPr>
          <w:sz w:val="24"/>
          <w:szCs w:val="24"/>
        </w:rPr>
        <w:t xml:space="preserve">E-mail cím: </w:t>
      </w:r>
      <w:hyperlink r:id="rId8" w:history="1">
        <w:r w:rsidRPr="00822837">
          <w:rPr>
            <w:rStyle w:val="Hiperhivatkozs"/>
            <w:sz w:val="24"/>
            <w:szCs w:val="24"/>
          </w:rPr>
          <w:t>office@hevizmarketing.hu</w:t>
        </w:r>
      </w:hyperlink>
    </w:p>
    <w:p w:rsidR="00B250EF" w:rsidRPr="00822837" w:rsidRDefault="00B250EF" w:rsidP="002642CA">
      <w:pPr>
        <w:spacing w:after="0" w:line="240" w:lineRule="auto"/>
        <w:ind w:firstLine="709"/>
        <w:jc w:val="both"/>
        <w:rPr>
          <w:sz w:val="24"/>
          <w:szCs w:val="24"/>
        </w:rPr>
      </w:pPr>
      <w:r>
        <w:rPr>
          <w:sz w:val="24"/>
          <w:szCs w:val="24"/>
        </w:rPr>
        <w:t>Tel.: 00</w:t>
      </w:r>
      <w:r w:rsidR="00360304">
        <w:rPr>
          <w:sz w:val="24"/>
          <w:szCs w:val="24"/>
        </w:rPr>
        <w:t xml:space="preserve"> 36 </w:t>
      </w:r>
      <w:r>
        <w:rPr>
          <w:sz w:val="24"/>
          <w:szCs w:val="24"/>
        </w:rPr>
        <w:t>83/540-070</w:t>
      </w:r>
    </w:p>
    <w:p w:rsidR="00B250EF" w:rsidRPr="00822837" w:rsidRDefault="00B250EF" w:rsidP="002642CA">
      <w:pPr>
        <w:spacing w:after="0" w:line="240" w:lineRule="auto"/>
        <w:jc w:val="both"/>
        <w:rPr>
          <w:sz w:val="24"/>
          <w:szCs w:val="24"/>
        </w:rPr>
      </w:pPr>
    </w:p>
    <w:p w:rsidR="00B250EF" w:rsidRPr="00822837" w:rsidRDefault="00B250EF" w:rsidP="002642CA">
      <w:pPr>
        <w:spacing w:after="0" w:line="240" w:lineRule="auto"/>
        <w:jc w:val="both"/>
        <w:rPr>
          <w:sz w:val="24"/>
          <w:szCs w:val="24"/>
        </w:rPr>
      </w:pPr>
      <w:r w:rsidRPr="00822837">
        <w:rPr>
          <w:sz w:val="24"/>
          <w:szCs w:val="24"/>
        </w:rPr>
        <w:t xml:space="preserve">- A </w:t>
      </w:r>
      <w:r w:rsidRPr="00822837">
        <w:rPr>
          <w:rStyle w:val="Kiemels"/>
          <w:i w:val="0"/>
          <w:sz w:val="24"/>
          <w:szCs w:val="24"/>
        </w:rPr>
        <w:t>Társaság</w:t>
      </w:r>
      <w:r w:rsidRPr="00822837">
        <w:rPr>
          <w:sz w:val="24"/>
          <w:szCs w:val="24"/>
        </w:rPr>
        <w:t xml:space="preserve"> könyvvezetését végző cég </w:t>
      </w:r>
      <w:r w:rsidRPr="002642CA">
        <w:rPr>
          <w:sz w:val="24"/>
          <w:szCs w:val="24"/>
        </w:rPr>
        <w:t>neve:</w:t>
      </w:r>
      <w:r w:rsidR="002642CA" w:rsidRPr="002642CA">
        <w:rPr>
          <w:sz w:val="24"/>
          <w:szCs w:val="24"/>
        </w:rPr>
        <w:t xml:space="preserve"> </w:t>
      </w:r>
      <w:r w:rsidRPr="002642CA">
        <w:rPr>
          <w:sz w:val="24"/>
          <w:szCs w:val="24"/>
        </w:rPr>
        <w:t>Belinus</w:t>
      </w:r>
      <w:r w:rsidRPr="00DB14BA">
        <w:rPr>
          <w:sz w:val="24"/>
          <w:szCs w:val="24"/>
        </w:rPr>
        <w:t xml:space="preserve"> Consulting Kft.</w:t>
      </w:r>
      <w:r>
        <w:rPr>
          <w:sz w:val="24"/>
          <w:szCs w:val="24"/>
        </w:rPr>
        <w:t xml:space="preserve"> (székhelye: 8391 Sármellé</w:t>
      </w:r>
      <w:r w:rsidRPr="00DB14BA">
        <w:rPr>
          <w:sz w:val="24"/>
          <w:szCs w:val="24"/>
        </w:rPr>
        <w:t>k, Arany J</w:t>
      </w:r>
      <w:r>
        <w:rPr>
          <w:sz w:val="24"/>
          <w:szCs w:val="24"/>
        </w:rPr>
        <w:t>á</w:t>
      </w:r>
      <w:r w:rsidRPr="00DB14BA">
        <w:rPr>
          <w:sz w:val="24"/>
          <w:szCs w:val="24"/>
        </w:rPr>
        <w:t>nos u. 18.</w:t>
      </w:r>
      <w:r>
        <w:rPr>
          <w:sz w:val="24"/>
          <w:szCs w:val="24"/>
        </w:rPr>
        <w:t xml:space="preserve">, </w:t>
      </w:r>
      <w:r w:rsidRPr="00DB14BA">
        <w:rPr>
          <w:sz w:val="24"/>
          <w:szCs w:val="24"/>
        </w:rPr>
        <w:t>Ad</w:t>
      </w:r>
      <w:r>
        <w:rPr>
          <w:sz w:val="24"/>
          <w:szCs w:val="24"/>
        </w:rPr>
        <w:t>ó</w:t>
      </w:r>
      <w:r w:rsidRPr="00DB14BA">
        <w:rPr>
          <w:sz w:val="24"/>
          <w:szCs w:val="24"/>
        </w:rPr>
        <w:t>sz</w:t>
      </w:r>
      <w:r>
        <w:rPr>
          <w:sz w:val="24"/>
          <w:szCs w:val="24"/>
        </w:rPr>
        <w:t>á</w:t>
      </w:r>
      <w:r w:rsidRPr="00DB14BA">
        <w:rPr>
          <w:sz w:val="24"/>
          <w:szCs w:val="24"/>
        </w:rPr>
        <w:t>m</w:t>
      </w:r>
      <w:r>
        <w:rPr>
          <w:sz w:val="24"/>
          <w:szCs w:val="24"/>
        </w:rPr>
        <w:t>a</w:t>
      </w:r>
      <w:r w:rsidRPr="00DB14BA">
        <w:rPr>
          <w:sz w:val="24"/>
          <w:szCs w:val="24"/>
        </w:rPr>
        <w:t>: 14010033-2-20</w:t>
      </w:r>
      <w:r>
        <w:rPr>
          <w:sz w:val="24"/>
          <w:szCs w:val="24"/>
        </w:rPr>
        <w:t>)</w:t>
      </w:r>
    </w:p>
    <w:p w:rsidR="00B250EF" w:rsidRPr="00822837" w:rsidRDefault="00B250EF" w:rsidP="002642CA">
      <w:pPr>
        <w:spacing w:after="0" w:line="240" w:lineRule="auto"/>
        <w:jc w:val="both"/>
        <w:rPr>
          <w:sz w:val="24"/>
          <w:szCs w:val="24"/>
        </w:rPr>
      </w:pPr>
      <w:r w:rsidRPr="00822837">
        <w:rPr>
          <w:sz w:val="24"/>
          <w:szCs w:val="24"/>
        </w:rPr>
        <w:t xml:space="preserve">- A </w:t>
      </w:r>
      <w:r w:rsidRPr="00822837">
        <w:rPr>
          <w:rStyle w:val="Kiemels"/>
          <w:i w:val="0"/>
          <w:sz w:val="24"/>
          <w:szCs w:val="24"/>
        </w:rPr>
        <w:t>Társaság</w:t>
      </w:r>
      <w:r w:rsidRPr="00822837">
        <w:rPr>
          <w:sz w:val="24"/>
          <w:szCs w:val="24"/>
        </w:rPr>
        <w:t xml:space="preserve"> jogi képviseletét ellátja: Dr. Gelencsér Anita ügyvéd (székhely: 8360 Keszthely, </w:t>
      </w:r>
      <w:r>
        <w:rPr>
          <w:sz w:val="24"/>
          <w:szCs w:val="24"/>
        </w:rPr>
        <w:t>Kossuth Lajos utca 125</w:t>
      </w:r>
      <w:r w:rsidRPr="00822837">
        <w:rPr>
          <w:sz w:val="24"/>
          <w:szCs w:val="24"/>
        </w:rPr>
        <w:t xml:space="preserve">., adószám: </w:t>
      </w:r>
      <w:r w:rsidRPr="009E103C">
        <w:rPr>
          <w:sz w:val="24"/>
          <w:szCs w:val="24"/>
        </w:rPr>
        <w:t>54838668</w:t>
      </w:r>
      <w:r>
        <w:rPr>
          <w:sz w:val="24"/>
          <w:szCs w:val="24"/>
        </w:rPr>
        <w:t>– 2</w:t>
      </w:r>
      <w:r w:rsidRPr="00822837">
        <w:rPr>
          <w:sz w:val="24"/>
          <w:szCs w:val="24"/>
        </w:rPr>
        <w:t xml:space="preserve"> – 40) </w:t>
      </w:r>
    </w:p>
    <w:p w:rsidR="00B250EF" w:rsidRPr="00822837" w:rsidRDefault="00B250EF" w:rsidP="002642CA">
      <w:pPr>
        <w:spacing w:after="0" w:line="240" w:lineRule="auto"/>
        <w:jc w:val="both"/>
        <w:rPr>
          <w:sz w:val="24"/>
          <w:szCs w:val="24"/>
        </w:rPr>
      </w:pPr>
    </w:p>
    <w:p w:rsidR="00B250EF" w:rsidRPr="00822837" w:rsidRDefault="00B250EF" w:rsidP="002642CA">
      <w:pPr>
        <w:spacing w:after="0" w:line="240" w:lineRule="auto"/>
        <w:jc w:val="both"/>
        <w:rPr>
          <w:sz w:val="24"/>
          <w:szCs w:val="24"/>
        </w:rPr>
      </w:pPr>
      <w:r w:rsidRPr="00822837">
        <w:rPr>
          <w:sz w:val="24"/>
          <w:szCs w:val="24"/>
        </w:rPr>
        <w:t xml:space="preserve">- A </w:t>
      </w:r>
      <w:r w:rsidRPr="00822837">
        <w:rPr>
          <w:rStyle w:val="Kiemels"/>
          <w:i w:val="0"/>
          <w:sz w:val="24"/>
          <w:szCs w:val="24"/>
        </w:rPr>
        <w:t>Társaság</w:t>
      </w:r>
      <w:r w:rsidRPr="00822837">
        <w:rPr>
          <w:sz w:val="24"/>
          <w:szCs w:val="24"/>
        </w:rPr>
        <w:t xml:space="preserve"> könyvvizsgálójának neve, címe: </w:t>
      </w:r>
      <w:r>
        <w:rPr>
          <w:sz w:val="24"/>
          <w:szCs w:val="24"/>
        </w:rPr>
        <w:t>Vecsera Jánosné, 8360 Keszthely, Pipacs u. 4.</w:t>
      </w:r>
    </w:p>
    <w:p w:rsidR="00B250EF" w:rsidRPr="00822837" w:rsidRDefault="00B250EF" w:rsidP="002642CA">
      <w:pPr>
        <w:spacing w:after="0" w:line="240" w:lineRule="auto"/>
        <w:jc w:val="both"/>
        <w:rPr>
          <w:sz w:val="24"/>
          <w:szCs w:val="24"/>
        </w:rPr>
      </w:pPr>
    </w:p>
    <w:p w:rsidR="00B250EF" w:rsidRPr="00822837" w:rsidRDefault="00B250EF" w:rsidP="002642CA">
      <w:pPr>
        <w:pStyle w:val="Cmsor2"/>
        <w:jc w:val="both"/>
        <w:rPr>
          <w:rFonts w:ascii="Calibri" w:hAnsi="Calibri"/>
          <w:i w:val="0"/>
        </w:rPr>
      </w:pPr>
      <w:bookmarkStart w:id="5" w:name="_Toc38281829"/>
      <w:r w:rsidRPr="00822837">
        <w:rPr>
          <w:rFonts w:ascii="Calibri" w:hAnsi="Calibri"/>
          <w:i w:val="0"/>
        </w:rPr>
        <w:t>I.2.) A vállalkozás története, céljai</w:t>
      </w:r>
      <w:bookmarkEnd w:id="5"/>
    </w:p>
    <w:p w:rsidR="00B250EF" w:rsidRPr="00822837" w:rsidRDefault="00B250EF" w:rsidP="002642CA">
      <w:pPr>
        <w:spacing w:after="0" w:line="240" w:lineRule="auto"/>
        <w:jc w:val="both"/>
        <w:rPr>
          <w:sz w:val="24"/>
          <w:szCs w:val="24"/>
        </w:rPr>
      </w:pPr>
    </w:p>
    <w:p w:rsidR="00B250EF" w:rsidRPr="00822837" w:rsidRDefault="00B250EF" w:rsidP="002642CA">
      <w:pPr>
        <w:spacing w:after="0" w:line="240" w:lineRule="auto"/>
        <w:jc w:val="both"/>
        <w:rPr>
          <w:sz w:val="24"/>
          <w:szCs w:val="24"/>
        </w:rPr>
      </w:pPr>
      <w:r w:rsidRPr="00822837">
        <w:rPr>
          <w:sz w:val="24"/>
          <w:szCs w:val="24"/>
        </w:rPr>
        <w:t>Hévíz Város Önkormányzata a turizmusban érdeke</w:t>
      </w:r>
      <w:r w:rsidR="009D3371">
        <w:rPr>
          <w:sz w:val="24"/>
          <w:szCs w:val="24"/>
        </w:rPr>
        <w:t>l</w:t>
      </w:r>
      <w:r w:rsidRPr="00822837">
        <w:rPr>
          <w:sz w:val="24"/>
          <w:szCs w:val="24"/>
        </w:rPr>
        <w:t xml:space="preserve">t helyi szereplőkkel 2011. január 1-én alapított </w:t>
      </w:r>
      <w:r w:rsidR="009D3371">
        <w:rPr>
          <w:sz w:val="24"/>
          <w:szCs w:val="24"/>
        </w:rPr>
        <w:t>turisztikai nonprofit k</w:t>
      </w:r>
      <w:r w:rsidRPr="00822837">
        <w:rPr>
          <w:sz w:val="24"/>
          <w:szCs w:val="24"/>
        </w:rPr>
        <w:t>ft.-t, azzal a céllal, hogy hatékonyabb, koncentráltabb turizmusfejlesztést és városmarketinget tudjon végezni. A társaságot 2011. február 2-án jegyezte be a Zala Megyei Bíróság. Tevékenységét a taggyűlés által elfogadott é</w:t>
      </w:r>
      <w:r w:rsidR="009D3371">
        <w:rPr>
          <w:sz w:val="24"/>
          <w:szCs w:val="24"/>
        </w:rPr>
        <w:t>ves üzleti terv alapján folytatj</w:t>
      </w:r>
      <w:r w:rsidRPr="00822837">
        <w:rPr>
          <w:sz w:val="24"/>
          <w:szCs w:val="24"/>
        </w:rPr>
        <w:t xml:space="preserve">a. </w:t>
      </w:r>
    </w:p>
    <w:p w:rsidR="00B250EF" w:rsidRPr="00822837" w:rsidRDefault="00B250EF" w:rsidP="002642CA">
      <w:pPr>
        <w:spacing w:after="0" w:line="240" w:lineRule="auto"/>
        <w:jc w:val="both"/>
        <w:rPr>
          <w:sz w:val="24"/>
          <w:szCs w:val="24"/>
        </w:rPr>
      </w:pPr>
      <w:r w:rsidRPr="00822837">
        <w:rPr>
          <w:sz w:val="24"/>
          <w:szCs w:val="24"/>
        </w:rPr>
        <w:t>Ennek megfelelően a külföldi célpiacokon</w:t>
      </w:r>
      <w:r w:rsidR="00B24134">
        <w:rPr>
          <w:sz w:val="24"/>
          <w:szCs w:val="24"/>
        </w:rPr>
        <w:t>:</w:t>
      </w:r>
      <w:r w:rsidRPr="00822837">
        <w:rPr>
          <w:sz w:val="24"/>
          <w:szCs w:val="24"/>
        </w:rPr>
        <w:t xml:space="preserve"> Németországban, Ausztriában, Szlovákiában, Csehországban</w:t>
      </w:r>
      <w:r w:rsidR="000C48D5">
        <w:rPr>
          <w:sz w:val="24"/>
          <w:szCs w:val="24"/>
        </w:rPr>
        <w:t xml:space="preserve"> </w:t>
      </w:r>
      <w:r w:rsidRPr="00822837">
        <w:rPr>
          <w:sz w:val="24"/>
          <w:szCs w:val="24"/>
        </w:rPr>
        <w:t>és Oroszországban folytatott aktivitásokat. Ezen területekről rendszeresen szervezett sajtó és utazási irodai study tour</w:t>
      </w:r>
      <w:r w:rsidR="000C48D5">
        <w:rPr>
          <w:sz w:val="24"/>
          <w:szCs w:val="24"/>
        </w:rPr>
        <w:t>-</w:t>
      </w:r>
      <w:r w:rsidRPr="00822837">
        <w:rPr>
          <w:sz w:val="24"/>
          <w:szCs w:val="24"/>
        </w:rPr>
        <w:t>okat, workshop</w:t>
      </w:r>
      <w:r w:rsidR="000C48D5">
        <w:rPr>
          <w:sz w:val="24"/>
          <w:szCs w:val="24"/>
        </w:rPr>
        <w:t>-</w:t>
      </w:r>
      <w:r w:rsidRPr="00822837">
        <w:rPr>
          <w:sz w:val="24"/>
          <w:szCs w:val="24"/>
        </w:rPr>
        <w:t>okat a hévízi szolgáltatók bevonásával, valamint online és nyomtatott sajtó megjelenéseket koordinált.</w:t>
      </w:r>
    </w:p>
    <w:p w:rsidR="00B250EF" w:rsidRPr="00822837" w:rsidRDefault="00B250EF" w:rsidP="002642CA">
      <w:pPr>
        <w:jc w:val="both"/>
        <w:rPr>
          <w:sz w:val="24"/>
          <w:szCs w:val="24"/>
        </w:rPr>
      </w:pPr>
      <w:r>
        <w:rPr>
          <w:sz w:val="24"/>
          <w:szCs w:val="24"/>
        </w:rPr>
        <w:t>A korábbi évek</w:t>
      </w:r>
      <w:r w:rsidRPr="00822837">
        <w:rPr>
          <w:sz w:val="24"/>
          <w:szCs w:val="24"/>
        </w:rPr>
        <w:t xml:space="preserve"> üzleti terv</w:t>
      </w:r>
      <w:r>
        <w:rPr>
          <w:sz w:val="24"/>
          <w:szCs w:val="24"/>
        </w:rPr>
        <w:t>ei</w:t>
      </w:r>
      <w:r w:rsidRPr="00822837">
        <w:rPr>
          <w:sz w:val="24"/>
          <w:szCs w:val="24"/>
        </w:rPr>
        <w:t>ben meghatározottak szerint a belföldi kommunikációban online, nyomtatott, televízió, rádió kampányok mellett kültéri megjelenés, PR tevékenység, közösségi mar</w:t>
      </w:r>
      <w:r w:rsidR="00B24134">
        <w:rPr>
          <w:sz w:val="24"/>
          <w:szCs w:val="24"/>
        </w:rPr>
        <w:t>keting aktivitás, városi csomag</w:t>
      </w:r>
      <w:r w:rsidRPr="00822837">
        <w:rPr>
          <w:sz w:val="24"/>
          <w:szCs w:val="24"/>
        </w:rPr>
        <w:t>ajánlat kidolgozása, a heviz.hu</w:t>
      </w:r>
      <w:r w:rsidR="00B24134">
        <w:rPr>
          <w:sz w:val="24"/>
          <w:szCs w:val="24"/>
        </w:rPr>
        <w:t xml:space="preserve"> honlap</w:t>
      </w:r>
      <w:r w:rsidRPr="00822837">
        <w:rPr>
          <w:sz w:val="24"/>
          <w:szCs w:val="24"/>
        </w:rPr>
        <w:t xml:space="preserve"> fejl</w:t>
      </w:r>
      <w:r w:rsidR="00B24134">
        <w:rPr>
          <w:sz w:val="24"/>
          <w:szCs w:val="24"/>
        </w:rPr>
        <w:t>esztése és működtetése lett a társaság feladata</w:t>
      </w:r>
      <w:r w:rsidRPr="00822837">
        <w:rPr>
          <w:sz w:val="24"/>
          <w:szCs w:val="24"/>
        </w:rPr>
        <w:t>. A városi információs anyagok ki</w:t>
      </w:r>
      <w:r w:rsidR="00B24134">
        <w:rPr>
          <w:sz w:val="24"/>
          <w:szCs w:val="24"/>
        </w:rPr>
        <w:t>adása és terjesztése szintén a t</w:t>
      </w:r>
      <w:r w:rsidRPr="00822837">
        <w:rPr>
          <w:sz w:val="24"/>
          <w:szCs w:val="24"/>
        </w:rPr>
        <w:t>ársaság gondozásában történt.</w:t>
      </w:r>
    </w:p>
    <w:p w:rsidR="00B250EF" w:rsidRPr="00822837" w:rsidRDefault="00B250EF" w:rsidP="002642CA">
      <w:pPr>
        <w:jc w:val="both"/>
        <w:rPr>
          <w:sz w:val="24"/>
          <w:szCs w:val="24"/>
        </w:rPr>
      </w:pPr>
      <w:r w:rsidRPr="00822837">
        <w:rPr>
          <w:sz w:val="24"/>
          <w:szCs w:val="24"/>
        </w:rPr>
        <w:t>A m</w:t>
      </w:r>
      <w:r w:rsidR="00B24134">
        <w:rPr>
          <w:sz w:val="24"/>
          <w:szCs w:val="24"/>
        </w:rPr>
        <w:t>arketing aktivitások mellett a t</w:t>
      </w:r>
      <w:r w:rsidRPr="00822837">
        <w:rPr>
          <w:sz w:val="24"/>
          <w:szCs w:val="24"/>
        </w:rPr>
        <w:t>ársaság aktívan együttm</w:t>
      </w:r>
      <w:r>
        <w:rPr>
          <w:sz w:val="24"/>
          <w:szCs w:val="24"/>
        </w:rPr>
        <w:t>űködik a Hévíz TDM Egyesülettel, a</w:t>
      </w:r>
      <w:r w:rsidRPr="00822837">
        <w:rPr>
          <w:sz w:val="24"/>
          <w:szCs w:val="24"/>
        </w:rPr>
        <w:t xml:space="preserve"> Hévíz-Balaton Airport</w:t>
      </w:r>
      <w:r>
        <w:rPr>
          <w:sz w:val="24"/>
          <w:szCs w:val="24"/>
        </w:rPr>
        <w:t xml:space="preserve"> Kft.-vel,</w:t>
      </w:r>
      <w:r w:rsidRPr="00822837">
        <w:rPr>
          <w:sz w:val="24"/>
          <w:szCs w:val="24"/>
        </w:rPr>
        <w:t xml:space="preserve"> valamint</w:t>
      </w:r>
      <w:r>
        <w:rPr>
          <w:sz w:val="24"/>
          <w:szCs w:val="24"/>
        </w:rPr>
        <w:t xml:space="preserve"> a régiós és országos turisztikai szervezetekkel</w:t>
      </w:r>
      <w:r w:rsidRPr="00822837">
        <w:rPr>
          <w:sz w:val="24"/>
          <w:szCs w:val="24"/>
        </w:rPr>
        <w:t>.</w:t>
      </w:r>
    </w:p>
    <w:p w:rsidR="00B250EF" w:rsidRPr="00822837" w:rsidRDefault="00B250EF" w:rsidP="002642CA">
      <w:pPr>
        <w:spacing w:after="0" w:line="240" w:lineRule="auto"/>
        <w:ind w:firstLine="708"/>
        <w:jc w:val="both"/>
        <w:rPr>
          <w:sz w:val="24"/>
          <w:szCs w:val="24"/>
        </w:rPr>
      </w:pPr>
    </w:p>
    <w:p w:rsidR="00B250EF" w:rsidRPr="00D21C20" w:rsidRDefault="00B250EF" w:rsidP="002642CA">
      <w:pPr>
        <w:spacing w:after="0" w:line="240" w:lineRule="auto"/>
        <w:jc w:val="both"/>
        <w:rPr>
          <w:color w:val="FF0000"/>
          <w:sz w:val="24"/>
          <w:szCs w:val="24"/>
        </w:rPr>
      </w:pPr>
      <w:r w:rsidRPr="00D21C20">
        <w:rPr>
          <w:color w:val="FF0000"/>
          <w:sz w:val="24"/>
          <w:szCs w:val="24"/>
        </w:rPr>
        <w:t xml:space="preserve">Jelen </w:t>
      </w:r>
      <w:r w:rsidR="00387EA3" w:rsidRPr="00D21C20">
        <w:rPr>
          <w:color w:val="FF0000"/>
          <w:sz w:val="24"/>
          <w:szCs w:val="24"/>
        </w:rPr>
        <w:t xml:space="preserve">módosított </w:t>
      </w:r>
      <w:r w:rsidRPr="00D21C20">
        <w:rPr>
          <w:color w:val="FF0000"/>
          <w:sz w:val="24"/>
          <w:szCs w:val="24"/>
        </w:rPr>
        <w:t xml:space="preserve">üzleti terv azzal a céllal készült, hogy a </w:t>
      </w:r>
      <w:r w:rsidR="00387EA3" w:rsidRPr="00D21C20">
        <w:rPr>
          <w:color w:val="FF0000"/>
          <w:sz w:val="24"/>
          <w:szCs w:val="24"/>
        </w:rPr>
        <w:t>2020. évben kialakult járványügyi helyzetben a szervezet a megfelelő lépéseket tudja megtenni, annak érdekében, hogy Hévíz város turizmusa az elsők között tudja elérni a válság elmúltával az előző évek forgalmát.</w:t>
      </w:r>
      <w:r w:rsidRPr="00D21C20">
        <w:rPr>
          <w:color w:val="FF0000"/>
          <w:sz w:val="24"/>
          <w:szCs w:val="24"/>
        </w:rPr>
        <w:t xml:space="preserve"> </w:t>
      </w:r>
    </w:p>
    <w:p w:rsidR="00B250EF" w:rsidRPr="00B37F00" w:rsidRDefault="00B250EF" w:rsidP="002642CA">
      <w:pPr>
        <w:pStyle w:val="Cmsor1"/>
        <w:jc w:val="both"/>
        <w:rPr>
          <w:rFonts w:ascii="Calibri" w:hAnsi="Calibri"/>
          <w:sz w:val="32"/>
          <w:szCs w:val="32"/>
        </w:rPr>
      </w:pPr>
      <w:r>
        <w:rPr>
          <w:sz w:val="24"/>
          <w:szCs w:val="24"/>
        </w:rPr>
        <w:br w:type="page"/>
      </w:r>
      <w:bookmarkStart w:id="6" w:name="_Toc38281830"/>
      <w:r w:rsidRPr="00B37F00">
        <w:rPr>
          <w:rFonts w:ascii="Calibri" w:hAnsi="Calibri"/>
          <w:sz w:val="32"/>
          <w:szCs w:val="32"/>
        </w:rPr>
        <w:lastRenderedPageBreak/>
        <w:t>II. MARKETING TERV</w:t>
      </w:r>
      <w:bookmarkEnd w:id="6"/>
    </w:p>
    <w:p w:rsidR="00B250EF" w:rsidRPr="00B37F00" w:rsidRDefault="00B250EF" w:rsidP="00B250EF">
      <w:pPr>
        <w:pStyle w:val="Cmsor2"/>
        <w:rPr>
          <w:rFonts w:ascii="Calibri" w:hAnsi="Calibri"/>
          <w:i w:val="0"/>
        </w:rPr>
      </w:pPr>
      <w:bookmarkStart w:id="7" w:name="_Toc38281831"/>
      <w:r w:rsidRPr="00B37F00">
        <w:rPr>
          <w:rFonts w:ascii="Calibri" w:hAnsi="Calibri"/>
          <w:i w:val="0"/>
        </w:rPr>
        <w:t>II. 1.) Ágazati áttekintés, a turizmus általános helyzet</w:t>
      </w:r>
      <w:r w:rsidR="00F31BD8">
        <w:rPr>
          <w:rFonts w:ascii="Calibri" w:hAnsi="Calibri"/>
          <w:i w:val="0"/>
        </w:rPr>
        <w:t>e</w:t>
      </w:r>
      <w:r w:rsidRPr="00B37F00">
        <w:rPr>
          <w:rFonts w:ascii="Calibri" w:hAnsi="Calibri"/>
          <w:i w:val="0"/>
        </w:rPr>
        <w:t xml:space="preserve"> 201</w:t>
      </w:r>
      <w:r w:rsidR="00F31BD8">
        <w:rPr>
          <w:rFonts w:ascii="Calibri" w:hAnsi="Calibri"/>
          <w:i w:val="0"/>
        </w:rPr>
        <w:t>9-ben</w:t>
      </w:r>
      <w:bookmarkEnd w:id="7"/>
    </w:p>
    <w:p w:rsidR="00B250EF" w:rsidRPr="00B37F00" w:rsidRDefault="00B250EF" w:rsidP="00B250EF">
      <w:pPr>
        <w:spacing w:after="0" w:line="240" w:lineRule="auto"/>
        <w:ind w:firstLine="708"/>
        <w:jc w:val="both"/>
        <w:rPr>
          <w:b/>
          <w:sz w:val="24"/>
          <w:szCs w:val="24"/>
        </w:rPr>
      </w:pPr>
    </w:p>
    <w:p w:rsidR="00B250EF" w:rsidRDefault="00B250EF" w:rsidP="00B250EF">
      <w:pPr>
        <w:spacing w:after="0" w:line="240" w:lineRule="auto"/>
        <w:ind w:firstLine="708"/>
        <w:jc w:val="both"/>
        <w:rPr>
          <w:b/>
          <w:sz w:val="24"/>
          <w:szCs w:val="24"/>
        </w:rPr>
      </w:pPr>
      <w:r w:rsidRPr="00B37F00">
        <w:rPr>
          <w:b/>
          <w:sz w:val="24"/>
          <w:szCs w:val="24"/>
        </w:rPr>
        <w:t>Európai trendek</w:t>
      </w:r>
    </w:p>
    <w:p w:rsidR="007D31BC" w:rsidRDefault="007D31BC" w:rsidP="00B250EF">
      <w:pPr>
        <w:spacing w:after="0" w:line="240" w:lineRule="auto"/>
        <w:ind w:firstLine="708"/>
        <w:jc w:val="both"/>
        <w:rPr>
          <w:b/>
          <w:sz w:val="24"/>
          <w:szCs w:val="24"/>
        </w:rPr>
      </w:pPr>
    </w:p>
    <w:p w:rsidR="007D31BC" w:rsidRPr="002642CA" w:rsidRDefault="007D31BC" w:rsidP="008721A7">
      <w:pPr>
        <w:spacing w:after="0"/>
        <w:jc w:val="both"/>
        <w:rPr>
          <w:sz w:val="24"/>
          <w:szCs w:val="24"/>
        </w:rPr>
      </w:pPr>
      <w:r w:rsidRPr="002642CA">
        <w:rPr>
          <w:sz w:val="24"/>
          <w:szCs w:val="24"/>
        </w:rPr>
        <w:t>Európa továbbra is a világ vezető úti célja. 2019. első félévének adatai alapján a tendencia pozitív képet mutat; a régióban 4% -kal növekedett a nemzetközi érkezések száma a tavalyi év ugyanazon időszakához képest, a Turisztikai Világszervezet (UNWTO) legfrissebb adatai alapján. Habár</w:t>
      </w:r>
      <w:r w:rsidR="002642CA" w:rsidRPr="002642CA">
        <w:rPr>
          <w:sz w:val="24"/>
          <w:szCs w:val="24"/>
        </w:rPr>
        <w:t xml:space="preserve"> </w:t>
      </w:r>
      <w:r w:rsidRPr="002642CA">
        <w:rPr>
          <w:sz w:val="24"/>
          <w:szCs w:val="24"/>
        </w:rPr>
        <w:t>a növekedést elsősorban a régión belüli kereslet hajtja, a távoli piaci kereslet továbbra is növekszik, különös tekintettel az Egyesült Államokra, ahol a dollár más devizákkal szembeni erősödésének köszönhetően nőtt az utazás</w:t>
      </w:r>
      <w:r w:rsidR="00C46E47" w:rsidRPr="002642CA">
        <w:rPr>
          <w:sz w:val="24"/>
          <w:szCs w:val="24"/>
        </w:rPr>
        <w:t>i hajlandóság az európai régió irányába</w:t>
      </w:r>
      <w:r w:rsidRPr="002642CA">
        <w:rPr>
          <w:sz w:val="24"/>
          <w:szCs w:val="24"/>
        </w:rPr>
        <w:t>.</w:t>
      </w:r>
    </w:p>
    <w:p w:rsidR="007D31BC" w:rsidRPr="002642CA" w:rsidRDefault="008721A7" w:rsidP="008721A7">
      <w:pPr>
        <w:spacing w:after="0"/>
        <w:jc w:val="both"/>
        <w:rPr>
          <w:sz w:val="24"/>
          <w:szCs w:val="24"/>
        </w:rPr>
      </w:pPr>
      <w:r w:rsidRPr="002642CA">
        <w:rPr>
          <w:sz w:val="24"/>
          <w:szCs w:val="24"/>
        </w:rPr>
        <w:t>A kis</w:t>
      </w:r>
      <w:r w:rsidR="007D31BC" w:rsidRPr="002642CA">
        <w:rPr>
          <w:sz w:val="24"/>
          <w:szCs w:val="24"/>
        </w:rPr>
        <w:t xml:space="preserve">mértékű növekedés mellett számolni kell az olyan feltörekvő turisztikai piaci versenytársak erősödésével, mint az ázsiai és csendes-óceáni desztinációk.  </w:t>
      </w:r>
    </w:p>
    <w:p w:rsidR="007D31BC" w:rsidRPr="002642CA" w:rsidRDefault="007D31BC" w:rsidP="008721A7">
      <w:pPr>
        <w:spacing w:after="0"/>
        <w:jc w:val="both"/>
        <w:rPr>
          <w:sz w:val="24"/>
          <w:szCs w:val="24"/>
        </w:rPr>
      </w:pPr>
      <w:r w:rsidRPr="002642CA">
        <w:rPr>
          <w:sz w:val="24"/>
          <w:szCs w:val="24"/>
        </w:rPr>
        <w:t>Ezen</w:t>
      </w:r>
      <w:r w:rsidR="002642CA" w:rsidRPr="002642CA">
        <w:rPr>
          <w:sz w:val="24"/>
          <w:szCs w:val="24"/>
        </w:rPr>
        <w:t xml:space="preserve"> </w:t>
      </w:r>
      <w:r w:rsidRPr="002642CA">
        <w:rPr>
          <w:sz w:val="24"/>
          <w:szCs w:val="24"/>
        </w:rPr>
        <w:t xml:space="preserve">kívül a legfrissebb hírek meglehetősen komor képet mutatnak a szélesebb értelemben vett idegenforgalommal kapcsolatban:  például az USA és Kína közötti kereskedelmi háború hatása, a világgazdaság állapota, a Brexit tárgyalások, a gazdaság gyengülése a </w:t>
      </w:r>
      <w:r w:rsidR="008721A7" w:rsidRPr="002642CA">
        <w:rPr>
          <w:sz w:val="24"/>
          <w:szCs w:val="24"/>
        </w:rPr>
        <w:t xml:space="preserve"> k</w:t>
      </w:r>
      <w:r w:rsidRPr="002642CA">
        <w:rPr>
          <w:sz w:val="24"/>
          <w:szCs w:val="24"/>
        </w:rPr>
        <w:t>ulcsfontosságú piacokon, valamint az üzleti és fogyasztói bizalom zuhanása.</w:t>
      </w:r>
    </w:p>
    <w:p w:rsidR="007D31BC" w:rsidRPr="008721A7" w:rsidRDefault="007D31BC" w:rsidP="008721A7">
      <w:pPr>
        <w:spacing w:after="0"/>
        <w:jc w:val="both"/>
        <w:rPr>
          <w:sz w:val="24"/>
          <w:szCs w:val="24"/>
        </w:rPr>
      </w:pPr>
      <w:r w:rsidRPr="002642CA">
        <w:rPr>
          <w:sz w:val="24"/>
          <w:szCs w:val="24"/>
        </w:rPr>
        <w:t>Noha az elmúlt két évben</w:t>
      </w:r>
      <w:r w:rsidR="00C46E47" w:rsidRPr="002642CA">
        <w:rPr>
          <w:sz w:val="24"/>
          <w:szCs w:val="24"/>
        </w:rPr>
        <w:t xml:space="preserve"> a fejlődés lelassult</w:t>
      </w:r>
      <w:r w:rsidRPr="002642CA">
        <w:rPr>
          <w:sz w:val="24"/>
          <w:szCs w:val="24"/>
        </w:rPr>
        <w:t>, az európai úti célok továbbra is növekvő számú turista érkezés</w:t>
      </w:r>
      <w:r w:rsidR="00F31BD8" w:rsidRPr="002642CA">
        <w:rPr>
          <w:sz w:val="24"/>
          <w:szCs w:val="24"/>
        </w:rPr>
        <w:t>é</w:t>
      </w:r>
      <w:r w:rsidRPr="002642CA">
        <w:rPr>
          <w:sz w:val="24"/>
          <w:szCs w:val="24"/>
        </w:rPr>
        <w:t>ről sz</w:t>
      </w:r>
      <w:r w:rsidR="00F31BD8" w:rsidRPr="002642CA">
        <w:rPr>
          <w:sz w:val="24"/>
          <w:szCs w:val="24"/>
        </w:rPr>
        <w:t>ámolnak be, amely köszönhető a vízumkönnyítési politikának, a</w:t>
      </w:r>
      <w:r w:rsidRPr="002642CA">
        <w:rPr>
          <w:sz w:val="24"/>
          <w:szCs w:val="24"/>
        </w:rPr>
        <w:t xml:space="preserve"> jobb légiközlekedési lehetőségeknek, valamint a</w:t>
      </w:r>
      <w:r w:rsidR="00C46E47" w:rsidRPr="002642CA">
        <w:rPr>
          <w:sz w:val="24"/>
          <w:szCs w:val="24"/>
        </w:rPr>
        <w:t>z egyre</w:t>
      </w:r>
      <w:r w:rsidRPr="002642CA">
        <w:rPr>
          <w:sz w:val="24"/>
          <w:szCs w:val="24"/>
        </w:rPr>
        <w:t xml:space="preserve"> bővülő középosztálynak.</w:t>
      </w:r>
      <w:r w:rsidRPr="008721A7">
        <w:rPr>
          <w:sz w:val="24"/>
          <w:szCs w:val="24"/>
        </w:rPr>
        <w:t xml:space="preserve">  </w:t>
      </w:r>
    </w:p>
    <w:p w:rsidR="007D31BC" w:rsidRPr="008721A7" w:rsidRDefault="007D31BC" w:rsidP="00B250EF">
      <w:pPr>
        <w:spacing w:after="0" w:line="240" w:lineRule="auto"/>
        <w:ind w:firstLine="708"/>
        <w:jc w:val="both"/>
        <w:rPr>
          <w:b/>
          <w:sz w:val="24"/>
          <w:szCs w:val="24"/>
        </w:rPr>
      </w:pPr>
    </w:p>
    <w:p w:rsidR="001D6D8C" w:rsidRPr="002642CA" w:rsidRDefault="00B250EF" w:rsidP="008721A7">
      <w:pPr>
        <w:spacing w:after="0" w:line="240" w:lineRule="auto"/>
        <w:jc w:val="both"/>
        <w:rPr>
          <w:sz w:val="24"/>
          <w:szCs w:val="24"/>
        </w:rPr>
      </w:pPr>
      <w:r w:rsidRPr="002642CA">
        <w:rPr>
          <w:sz w:val="24"/>
          <w:szCs w:val="24"/>
        </w:rPr>
        <w:t>A légiközlekedés teljesítménye</w:t>
      </w:r>
    </w:p>
    <w:p w:rsidR="001D6D8C" w:rsidRPr="002642CA" w:rsidRDefault="001D6D8C" w:rsidP="008721A7">
      <w:pPr>
        <w:spacing w:after="0" w:line="240" w:lineRule="auto"/>
        <w:jc w:val="both"/>
        <w:rPr>
          <w:sz w:val="24"/>
          <w:szCs w:val="24"/>
        </w:rPr>
      </w:pPr>
      <w:r w:rsidRPr="002642CA">
        <w:rPr>
          <w:sz w:val="24"/>
          <w:szCs w:val="24"/>
        </w:rPr>
        <w:t>A nemzetközi légi utasforgalom a nyári hónapokban tovább növekedett, de ez a fejlődés 2019-ben lassuló tendenciát mutat. Különösen júliusban és augusztusban volt érezhető</w:t>
      </w:r>
      <w:r w:rsidR="008721A7" w:rsidRPr="002642CA">
        <w:rPr>
          <w:sz w:val="24"/>
          <w:szCs w:val="24"/>
        </w:rPr>
        <w:t xml:space="preserve"> a</w:t>
      </w:r>
      <w:r w:rsidR="002642CA" w:rsidRPr="002642CA">
        <w:rPr>
          <w:sz w:val="24"/>
          <w:szCs w:val="24"/>
        </w:rPr>
        <w:t xml:space="preserve"> </w:t>
      </w:r>
      <w:r w:rsidR="008721A7" w:rsidRPr="002642CA">
        <w:rPr>
          <w:sz w:val="24"/>
          <w:szCs w:val="24"/>
        </w:rPr>
        <w:t>visszafogottság</w:t>
      </w:r>
      <w:r w:rsidRPr="002642CA">
        <w:rPr>
          <w:sz w:val="24"/>
          <w:szCs w:val="24"/>
        </w:rPr>
        <w:t xml:space="preserve">. Az elmúlt hónapokban tapasztalt 4,1 %-os növekedés elmarad az utóbbi 10 év átlagnövekedésétől, amely 6,1 % volt. Ez a lassulás egybeesik a gazdaság általános aktivitásával. </w:t>
      </w:r>
    </w:p>
    <w:p w:rsidR="001D6D8C" w:rsidRPr="008721A7" w:rsidRDefault="001D6D8C" w:rsidP="008721A7">
      <w:pPr>
        <w:spacing w:after="0" w:line="240" w:lineRule="auto"/>
        <w:jc w:val="both"/>
        <w:rPr>
          <w:sz w:val="24"/>
          <w:szCs w:val="24"/>
        </w:rPr>
      </w:pPr>
      <w:r w:rsidRPr="002642CA">
        <w:rPr>
          <w:sz w:val="24"/>
          <w:szCs w:val="24"/>
        </w:rPr>
        <w:t>Európában a légi utas-növekedés nagyon visszafogott nyári csúcsidőszakra utal.</w:t>
      </w:r>
      <w:r w:rsidRPr="008721A7">
        <w:rPr>
          <w:sz w:val="24"/>
          <w:szCs w:val="24"/>
        </w:rPr>
        <w:t xml:space="preserve"> </w:t>
      </w:r>
    </w:p>
    <w:p w:rsidR="001D6D8C" w:rsidRPr="008721A7" w:rsidRDefault="001D6D8C" w:rsidP="00B250EF">
      <w:pPr>
        <w:spacing w:after="0" w:line="240" w:lineRule="auto"/>
        <w:ind w:firstLine="708"/>
        <w:jc w:val="both"/>
        <w:rPr>
          <w:sz w:val="24"/>
          <w:szCs w:val="24"/>
        </w:rPr>
      </w:pPr>
    </w:p>
    <w:p w:rsidR="00B250EF" w:rsidRPr="008721A7" w:rsidRDefault="00B250EF" w:rsidP="008721A7">
      <w:pPr>
        <w:spacing w:after="0" w:line="240" w:lineRule="auto"/>
        <w:jc w:val="both"/>
        <w:rPr>
          <w:sz w:val="24"/>
          <w:szCs w:val="24"/>
        </w:rPr>
      </w:pPr>
      <w:r w:rsidRPr="008721A7">
        <w:rPr>
          <w:sz w:val="24"/>
          <w:szCs w:val="24"/>
        </w:rPr>
        <w:t>A szállodaipar teljesítménye</w:t>
      </w:r>
    </w:p>
    <w:p w:rsidR="00B250EF" w:rsidRDefault="00B250EF" w:rsidP="008721A7">
      <w:pPr>
        <w:spacing w:after="0" w:line="240" w:lineRule="auto"/>
        <w:jc w:val="both"/>
        <w:rPr>
          <w:sz w:val="24"/>
          <w:szCs w:val="24"/>
        </w:rPr>
      </w:pPr>
      <w:r w:rsidRPr="002642CA">
        <w:rPr>
          <w:sz w:val="24"/>
          <w:szCs w:val="24"/>
        </w:rPr>
        <w:t xml:space="preserve">Az </w:t>
      </w:r>
      <w:r w:rsidR="002642CA" w:rsidRPr="002642CA">
        <w:rPr>
          <w:sz w:val="24"/>
          <w:szCs w:val="24"/>
        </w:rPr>
        <w:t>adatok</w:t>
      </w:r>
      <w:r w:rsidRPr="002642CA">
        <w:rPr>
          <w:sz w:val="24"/>
          <w:szCs w:val="24"/>
        </w:rPr>
        <w:t xml:space="preserve"> alapján a kapacitás kihasználtság </w:t>
      </w:r>
      <w:r w:rsidR="00F31BD8" w:rsidRPr="002642CA">
        <w:rPr>
          <w:sz w:val="24"/>
          <w:szCs w:val="24"/>
        </w:rPr>
        <w:t xml:space="preserve">minden régióban </w:t>
      </w:r>
      <w:r w:rsidRPr="002642CA">
        <w:rPr>
          <w:sz w:val="24"/>
          <w:szCs w:val="24"/>
        </w:rPr>
        <w:t>növekedett, az elmúlt év azonos időszakához képest. A kapacitás kihasználtság növekedésének mértéke azonban</w:t>
      </w:r>
      <w:r w:rsidR="002642CA" w:rsidRPr="002642CA">
        <w:rPr>
          <w:sz w:val="24"/>
          <w:szCs w:val="24"/>
        </w:rPr>
        <w:t xml:space="preserve"> </w:t>
      </w:r>
      <w:r w:rsidRPr="002642CA">
        <w:rPr>
          <w:sz w:val="24"/>
          <w:szCs w:val="24"/>
        </w:rPr>
        <w:t>alacsonyabb az előző évekhez képest a legtöbb desztinációban, ahol a szabad kapacitás már evidens.</w:t>
      </w:r>
      <w:r w:rsidR="002642CA" w:rsidRPr="002642CA">
        <w:rPr>
          <w:sz w:val="24"/>
          <w:szCs w:val="24"/>
        </w:rPr>
        <w:t xml:space="preserve"> </w:t>
      </w:r>
      <w:r w:rsidRPr="002642CA">
        <w:rPr>
          <w:sz w:val="24"/>
          <w:szCs w:val="24"/>
        </w:rPr>
        <w:t>Euróban számolva, Európán kívül minden régió ADR (average daily rate = napi átlagár) csökkenést</w:t>
      </w:r>
      <w:r w:rsidR="002642CA" w:rsidRPr="002642CA">
        <w:rPr>
          <w:sz w:val="24"/>
          <w:szCs w:val="24"/>
        </w:rPr>
        <w:t xml:space="preserve"> </w:t>
      </w:r>
      <w:r w:rsidRPr="002642CA">
        <w:rPr>
          <w:sz w:val="24"/>
          <w:szCs w:val="24"/>
        </w:rPr>
        <w:t>könyvelt el, ami visszavetette a kapacitáskihasználtság növekedését</w:t>
      </w:r>
      <w:r w:rsidR="006F3346" w:rsidRPr="002642CA">
        <w:rPr>
          <w:sz w:val="24"/>
          <w:szCs w:val="24"/>
        </w:rPr>
        <w:t>,</w:t>
      </w:r>
      <w:r w:rsidRPr="002642CA">
        <w:rPr>
          <w:sz w:val="24"/>
          <w:szCs w:val="24"/>
        </w:rPr>
        <w:t xml:space="preserve"> és RevPAR csökkenést</w:t>
      </w:r>
      <w:r w:rsidR="002642CA" w:rsidRPr="002642CA">
        <w:rPr>
          <w:sz w:val="24"/>
          <w:szCs w:val="24"/>
        </w:rPr>
        <w:t xml:space="preserve"> </w:t>
      </w:r>
      <w:r w:rsidRPr="002642CA">
        <w:rPr>
          <w:sz w:val="24"/>
          <w:szCs w:val="24"/>
        </w:rPr>
        <w:t>eredményezett.</w:t>
      </w:r>
    </w:p>
    <w:p w:rsidR="004C5A62" w:rsidRPr="004C5A62" w:rsidRDefault="004C5A62" w:rsidP="004C5A62">
      <w:pPr>
        <w:spacing w:after="0"/>
        <w:rPr>
          <w:sz w:val="24"/>
          <w:szCs w:val="24"/>
        </w:rPr>
      </w:pPr>
      <w:r w:rsidRPr="004C5A62">
        <w:rPr>
          <w:sz w:val="24"/>
          <w:szCs w:val="24"/>
        </w:rPr>
        <w:t>Európában a szálláshelyek kihasználtsága csak kis mértékben, 0,4% -kal növekedett a tavalyi év ugyanezen időszakához képest. Az ADR Európában a legfrissebb rendelkezésre álló adatok alapján 4,0% -kal alacsonyabb volt, ami azt jelentette, hogy a RevPAR 3,6% -ra esett vissza.</w:t>
      </w:r>
    </w:p>
    <w:p w:rsidR="004C5A62" w:rsidRPr="00B37F00" w:rsidRDefault="004C5A62" w:rsidP="00B250EF">
      <w:pPr>
        <w:spacing w:after="0" w:line="240" w:lineRule="auto"/>
        <w:ind w:firstLine="708"/>
        <w:jc w:val="both"/>
        <w:rPr>
          <w:sz w:val="24"/>
          <w:szCs w:val="24"/>
        </w:rPr>
      </w:pPr>
    </w:p>
    <w:p w:rsidR="00B250EF" w:rsidRPr="00B37F00" w:rsidRDefault="00B250EF" w:rsidP="00B250EF">
      <w:pPr>
        <w:spacing w:after="0" w:line="240" w:lineRule="auto"/>
        <w:ind w:firstLine="708"/>
        <w:jc w:val="right"/>
        <w:rPr>
          <w:sz w:val="24"/>
          <w:szCs w:val="24"/>
        </w:rPr>
      </w:pPr>
      <w:r w:rsidRPr="00B37F00">
        <w:rPr>
          <w:sz w:val="24"/>
          <w:szCs w:val="24"/>
        </w:rPr>
        <w:t xml:space="preserve">Forrás: </w:t>
      </w:r>
      <w:r w:rsidR="004C5A62">
        <w:rPr>
          <w:sz w:val="24"/>
          <w:szCs w:val="24"/>
        </w:rPr>
        <w:t>ETC 2019</w:t>
      </w:r>
      <w:r w:rsidRPr="00B37F00">
        <w:rPr>
          <w:sz w:val="24"/>
          <w:szCs w:val="24"/>
        </w:rPr>
        <w:t>/3. negyedéves jelentése</w:t>
      </w:r>
    </w:p>
    <w:p w:rsidR="00B250EF" w:rsidRDefault="00E75866" w:rsidP="00B250EF">
      <w:pPr>
        <w:autoSpaceDE w:val="0"/>
        <w:autoSpaceDN w:val="0"/>
        <w:adjustRightInd w:val="0"/>
        <w:spacing w:after="0" w:line="240" w:lineRule="auto"/>
        <w:jc w:val="both"/>
        <w:rPr>
          <w:b/>
          <w:sz w:val="24"/>
          <w:szCs w:val="24"/>
        </w:rPr>
      </w:pPr>
      <w:r w:rsidRPr="00131BBC">
        <w:rPr>
          <w:b/>
          <w:sz w:val="24"/>
          <w:szCs w:val="24"/>
        </w:rPr>
        <w:t>Hazai áramlatok</w:t>
      </w:r>
    </w:p>
    <w:p w:rsidR="00131BBC" w:rsidRPr="00131BBC" w:rsidRDefault="00131BBC" w:rsidP="00B250EF">
      <w:pPr>
        <w:autoSpaceDE w:val="0"/>
        <w:autoSpaceDN w:val="0"/>
        <w:adjustRightInd w:val="0"/>
        <w:spacing w:after="0" w:line="240" w:lineRule="auto"/>
        <w:jc w:val="both"/>
        <w:rPr>
          <w:b/>
          <w:sz w:val="24"/>
          <w:szCs w:val="24"/>
        </w:rPr>
      </w:pPr>
    </w:p>
    <w:p w:rsidR="00E75866" w:rsidRPr="002642CA" w:rsidRDefault="00E75866" w:rsidP="00E75866">
      <w:pPr>
        <w:autoSpaceDE w:val="0"/>
        <w:autoSpaceDN w:val="0"/>
        <w:adjustRightInd w:val="0"/>
        <w:spacing w:after="0" w:line="240" w:lineRule="auto"/>
        <w:jc w:val="both"/>
        <w:rPr>
          <w:sz w:val="24"/>
          <w:szCs w:val="24"/>
        </w:rPr>
      </w:pPr>
      <w:r w:rsidRPr="002642CA">
        <w:rPr>
          <w:sz w:val="24"/>
          <w:szCs w:val="24"/>
        </w:rPr>
        <w:t>A külföldi látogatók 2019</w:t>
      </w:r>
      <w:r w:rsidR="00E05F45" w:rsidRPr="002642CA">
        <w:rPr>
          <w:sz w:val="24"/>
          <w:szCs w:val="24"/>
        </w:rPr>
        <w:t>.</w:t>
      </w:r>
      <w:r w:rsidRPr="002642CA">
        <w:rPr>
          <w:sz w:val="24"/>
          <w:szCs w:val="24"/>
        </w:rPr>
        <w:t xml:space="preserve"> III. negyedévében 22 millió alkalommal,</w:t>
      </w:r>
      <w:r w:rsidR="002642CA" w:rsidRPr="002642CA">
        <w:rPr>
          <w:sz w:val="24"/>
          <w:szCs w:val="24"/>
        </w:rPr>
        <w:t xml:space="preserve"> </w:t>
      </w:r>
      <w:r w:rsidRPr="002642CA">
        <w:rPr>
          <w:sz w:val="24"/>
          <w:szCs w:val="24"/>
        </w:rPr>
        <w:t>5,1%-kal többször utaztak Magyarországra, mint az előző év azonos időszakában. A főszezonnak számító hónapokban az egynapos utazások</w:t>
      </w:r>
      <w:r w:rsidR="002642CA" w:rsidRPr="002642CA">
        <w:rPr>
          <w:sz w:val="24"/>
          <w:szCs w:val="24"/>
        </w:rPr>
        <w:t xml:space="preserve"> </w:t>
      </w:r>
      <w:r w:rsidRPr="002642CA">
        <w:rPr>
          <w:sz w:val="24"/>
          <w:szCs w:val="24"/>
        </w:rPr>
        <w:t>száma 9,7%-kal emelkedett, a többnapos utazásoké 5,7%-kal csökkent.</w:t>
      </w:r>
    </w:p>
    <w:p w:rsidR="00E75866" w:rsidRPr="002642CA" w:rsidRDefault="00E75866" w:rsidP="00E75866">
      <w:pPr>
        <w:autoSpaceDE w:val="0"/>
        <w:autoSpaceDN w:val="0"/>
        <w:adjustRightInd w:val="0"/>
        <w:spacing w:after="0" w:line="240" w:lineRule="auto"/>
        <w:jc w:val="both"/>
        <w:rPr>
          <w:sz w:val="24"/>
          <w:szCs w:val="24"/>
        </w:rPr>
      </w:pPr>
      <w:r w:rsidRPr="002642CA">
        <w:rPr>
          <w:sz w:val="24"/>
          <w:szCs w:val="24"/>
        </w:rPr>
        <w:t>A külföldiek 16 millió egynapos utazást tettek, ezek túlnyomó többsége</w:t>
      </w:r>
      <w:r w:rsidR="002642CA" w:rsidRPr="002642CA">
        <w:rPr>
          <w:sz w:val="24"/>
          <w:szCs w:val="24"/>
        </w:rPr>
        <w:t xml:space="preserve"> </w:t>
      </w:r>
      <w:r w:rsidRPr="002642CA">
        <w:rPr>
          <w:sz w:val="24"/>
          <w:szCs w:val="24"/>
        </w:rPr>
        <w:t>magánjellegű, kis hányada üzleti út volt.</w:t>
      </w:r>
    </w:p>
    <w:p w:rsidR="00E75866" w:rsidRPr="002642CA" w:rsidRDefault="00E75866" w:rsidP="00E75866">
      <w:pPr>
        <w:autoSpaceDE w:val="0"/>
        <w:autoSpaceDN w:val="0"/>
        <w:adjustRightInd w:val="0"/>
        <w:spacing w:after="0" w:line="240" w:lineRule="auto"/>
        <w:jc w:val="both"/>
        <w:rPr>
          <w:sz w:val="24"/>
          <w:szCs w:val="24"/>
        </w:rPr>
      </w:pPr>
      <w:r w:rsidRPr="002642CA">
        <w:rPr>
          <w:sz w:val="24"/>
          <w:szCs w:val="24"/>
        </w:rPr>
        <w:t>A főbb motivációs célok szerint az egynapos utazások:</w:t>
      </w:r>
    </w:p>
    <w:p w:rsidR="00E75866" w:rsidRPr="002642CA" w:rsidRDefault="00E75866" w:rsidP="00E75866">
      <w:pPr>
        <w:autoSpaceDE w:val="0"/>
        <w:autoSpaceDN w:val="0"/>
        <w:adjustRightInd w:val="0"/>
        <w:spacing w:after="0" w:line="240" w:lineRule="auto"/>
        <w:jc w:val="both"/>
        <w:rPr>
          <w:sz w:val="24"/>
          <w:szCs w:val="24"/>
        </w:rPr>
      </w:pPr>
      <w:r w:rsidRPr="002642CA">
        <w:rPr>
          <w:sz w:val="24"/>
          <w:szCs w:val="24"/>
        </w:rPr>
        <w:t>• 18%-a vásárlás, számuk 1,9%-kal csökkent,</w:t>
      </w:r>
    </w:p>
    <w:p w:rsidR="00E75866" w:rsidRPr="002642CA" w:rsidRDefault="00E75866" w:rsidP="00E75866">
      <w:pPr>
        <w:autoSpaceDE w:val="0"/>
        <w:autoSpaceDN w:val="0"/>
        <w:adjustRightInd w:val="0"/>
        <w:spacing w:after="0" w:line="240" w:lineRule="auto"/>
        <w:jc w:val="both"/>
        <w:rPr>
          <w:sz w:val="24"/>
          <w:szCs w:val="24"/>
        </w:rPr>
      </w:pPr>
      <w:r w:rsidRPr="002642CA">
        <w:rPr>
          <w:sz w:val="24"/>
          <w:szCs w:val="24"/>
        </w:rPr>
        <w:t>• 11%-a szabadidő, szórakozás, egészségmegőrzés, számuk 0,5%-kallett kevesebb,</w:t>
      </w:r>
    </w:p>
    <w:p w:rsidR="00E75866" w:rsidRPr="002642CA" w:rsidRDefault="00E75866" w:rsidP="00E75866">
      <w:pPr>
        <w:autoSpaceDE w:val="0"/>
        <w:autoSpaceDN w:val="0"/>
        <w:adjustRightInd w:val="0"/>
        <w:spacing w:after="0" w:line="240" w:lineRule="auto"/>
        <w:jc w:val="both"/>
        <w:rPr>
          <w:sz w:val="24"/>
          <w:szCs w:val="24"/>
        </w:rPr>
      </w:pPr>
      <w:r w:rsidRPr="002642CA">
        <w:rPr>
          <w:sz w:val="24"/>
          <w:szCs w:val="24"/>
        </w:rPr>
        <w:t>• 55%-a átutazás, számuk 11%-kal több volt a 2018. III. negyedévinél.</w:t>
      </w:r>
    </w:p>
    <w:p w:rsidR="00E75866" w:rsidRPr="002642CA" w:rsidRDefault="00E75866" w:rsidP="00E75866">
      <w:pPr>
        <w:autoSpaceDE w:val="0"/>
        <w:autoSpaceDN w:val="0"/>
        <w:adjustRightInd w:val="0"/>
        <w:spacing w:after="0" w:line="240" w:lineRule="auto"/>
        <w:jc w:val="both"/>
        <w:rPr>
          <w:sz w:val="24"/>
          <w:szCs w:val="24"/>
        </w:rPr>
      </w:pPr>
      <w:r w:rsidRPr="002642CA">
        <w:rPr>
          <w:sz w:val="24"/>
          <w:szCs w:val="24"/>
        </w:rPr>
        <w:t>Egynapos útra a legnagyobb arányban Romániából (26%),</w:t>
      </w:r>
      <w:r w:rsidR="002642CA" w:rsidRPr="002642CA">
        <w:rPr>
          <w:sz w:val="24"/>
          <w:szCs w:val="24"/>
        </w:rPr>
        <w:t xml:space="preserve"> </w:t>
      </w:r>
      <w:r w:rsidRPr="002642CA">
        <w:rPr>
          <w:sz w:val="24"/>
          <w:szCs w:val="24"/>
        </w:rPr>
        <w:t>Szlovákiából (20%) és Ausztriából (15%) jöttek, mindhárom országból</w:t>
      </w:r>
      <w:r w:rsidR="002642CA" w:rsidRPr="002642CA">
        <w:rPr>
          <w:sz w:val="24"/>
          <w:szCs w:val="24"/>
        </w:rPr>
        <w:t xml:space="preserve"> </w:t>
      </w:r>
      <w:r w:rsidRPr="002642CA">
        <w:rPr>
          <w:sz w:val="24"/>
          <w:szCs w:val="24"/>
        </w:rPr>
        <w:t>növekedtek a beutazások az előző év azonos időszakához mérten.</w:t>
      </w:r>
      <w:r w:rsidR="002642CA" w:rsidRPr="002642CA">
        <w:rPr>
          <w:sz w:val="24"/>
          <w:szCs w:val="24"/>
        </w:rPr>
        <w:t xml:space="preserve"> </w:t>
      </w:r>
      <w:r w:rsidRPr="002642CA">
        <w:rPr>
          <w:sz w:val="24"/>
          <w:szCs w:val="24"/>
        </w:rPr>
        <w:t>A külföldiek 5,8 millió többnapos utazáson vettek részt Magyarországon</w:t>
      </w:r>
    </w:p>
    <w:p w:rsidR="00E75866" w:rsidRPr="002642CA" w:rsidRDefault="00E75866" w:rsidP="00E75866">
      <w:pPr>
        <w:autoSpaceDE w:val="0"/>
        <w:autoSpaceDN w:val="0"/>
        <w:adjustRightInd w:val="0"/>
        <w:spacing w:after="0" w:line="240" w:lineRule="auto"/>
        <w:jc w:val="both"/>
        <w:rPr>
          <w:sz w:val="24"/>
          <w:szCs w:val="24"/>
        </w:rPr>
      </w:pPr>
      <w:r w:rsidRPr="002642CA">
        <w:rPr>
          <w:sz w:val="24"/>
          <w:szCs w:val="24"/>
        </w:rPr>
        <w:t>2019. III. negyedévben. A többnapos utak túlnyomó többsége magánjellegű utazás volt, az üzleti és üzletelési utak aránya összesen 5,4%.</w:t>
      </w:r>
    </w:p>
    <w:p w:rsidR="00E75866" w:rsidRPr="002642CA" w:rsidRDefault="00E75866" w:rsidP="00E75866">
      <w:pPr>
        <w:autoSpaceDE w:val="0"/>
        <w:autoSpaceDN w:val="0"/>
        <w:adjustRightInd w:val="0"/>
        <w:spacing w:after="0" w:line="240" w:lineRule="auto"/>
        <w:jc w:val="both"/>
        <w:rPr>
          <w:sz w:val="24"/>
          <w:szCs w:val="24"/>
        </w:rPr>
      </w:pPr>
      <w:r w:rsidRPr="002642CA">
        <w:rPr>
          <w:sz w:val="24"/>
          <w:szCs w:val="24"/>
        </w:rPr>
        <w:t>Motiváció szerinti megoszlásban:</w:t>
      </w:r>
    </w:p>
    <w:p w:rsidR="00E75866" w:rsidRPr="002642CA" w:rsidRDefault="00E75866" w:rsidP="00E75866">
      <w:pPr>
        <w:autoSpaceDE w:val="0"/>
        <w:autoSpaceDN w:val="0"/>
        <w:adjustRightInd w:val="0"/>
        <w:spacing w:after="0" w:line="240" w:lineRule="auto"/>
        <w:jc w:val="both"/>
        <w:rPr>
          <w:sz w:val="24"/>
          <w:szCs w:val="24"/>
        </w:rPr>
      </w:pPr>
      <w:r w:rsidRPr="002642CA">
        <w:rPr>
          <w:sz w:val="24"/>
          <w:szCs w:val="24"/>
        </w:rPr>
        <w:t>• a szabadidő, szórakozás, egészségmegőrzés részesedése 65,</w:t>
      </w:r>
    </w:p>
    <w:p w:rsidR="00E75866" w:rsidRPr="002642CA" w:rsidRDefault="00E75866" w:rsidP="00E75866">
      <w:pPr>
        <w:autoSpaceDE w:val="0"/>
        <w:autoSpaceDN w:val="0"/>
        <w:adjustRightInd w:val="0"/>
        <w:spacing w:after="0" w:line="240" w:lineRule="auto"/>
        <w:jc w:val="both"/>
        <w:rPr>
          <w:sz w:val="24"/>
          <w:szCs w:val="24"/>
        </w:rPr>
      </w:pPr>
      <w:r w:rsidRPr="002642CA">
        <w:rPr>
          <w:sz w:val="24"/>
          <w:szCs w:val="24"/>
        </w:rPr>
        <w:t>• a rokon- és barátlátogatásoké 14,</w:t>
      </w:r>
    </w:p>
    <w:p w:rsidR="00E75866" w:rsidRPr="002642CA" w:rsidRDefault="00E75866" w:rsidP="00E75866">
      <w:pPr>
        <w:autoSpaceDE w:val="0"/>
        <w:autoSpaceDN w:val="0"/>
        <w:adjustRightInd w:val="0"/>
        <w:spacing w:after="0" w:line="240" w:lineRule="auto"/>
        <w:jc w:val="both"/>
        <w:rPr>
          <w:sz w:val="24"/>
          <w:szCs w:val="24"/>
        </w:rPr>
      </w:pPr>
      <w:r w:rsidRPr="002642CA">
        <w:rPr>
          <w:sz w:val="24"/>
          <w:szCs w:val="24"/>
        </w:rPr>
        <w:t>• az üzleti és üzletelési utaké 5,4,</w:t>
      </w:r>
    </w:p>
    <w:p w:rsidR="00E75866" w:rsidRPr="002642CA" w:rsidRDefault="00E75866" w:rsidP="00E75866">
      <w:pPr>
        <w:autoSpaceDE w:val="0"/>
        <w:autoSpaceDN w:val="0"/>
        <w:adjustRightInd w:val="0"/>
        <w:spacing w:after="0" w:line="240" w:lineRule="auto"/>
        <w:jc w:val="both"/>
        <w:rPr>
          <w:sz w:val="24"/>
          <w:szCs w:val="24"/>
        </w:rPr>
      </w:pPr>
      <w:r w:rsidRPr="002642CA">
        <w:rPr>
          <w:sz w:val="24"/>
          <w:szCs w:val="24"/>
        </w:rPr>
        <w:t>• a munkavégzési célú utaké 4,9,</w:t>
      </w:r>
    </w:p>
    <w:p w:rsidR="00E75866" w:rsidRPr="002642CA" w:rsidRDefault="00E75866" w:rsidP="00E75866">
      <w:pPr>
        <w:autoSpaceDE w:val="0"/>
        <w:autoSpaceDN w:val="0"/>
        <w:adjustRightInd w:val="0"/>
        <w:spacing w:after="0" w:line="240" w:lineRule="auto"/>
        <w:jc w:val="both"/>
        <w:rPr>
          <w:sz w:val="24"/>
          <w:szCs w:val="24"/>
        </w:rPr>
      </w:pPr>
      <w:r w:rsidRPr="002642CA">
        <w:rPr>
          <w:sz w:val="24"/>
          <w:szCs w:val="24"/>
        </w:rPr>
        <w:t>• az átutazásoké 6,5% volt.</w:t>
      </w:r>
    </w:p>
    <w:p w:rsidR="00E75866" w:rsidRPr="002642CA" w:rsidRDefault="00E75866" w:rsidP="00E75866">
      <w:pPr>
        <w:autoSpaceDE w:val="0"/>
        <w:autoSpaceDN w:val="0"/>
        <w:adjustRightInd w:val="0"/>
        <w:spacing w:after="0" w:line="240" w:lineRule="auto"/>
        <w:jc w:val="both"/>
        <w:rPr>
          <w:sz w:val="24"/>
          <w:szCs w:val="24"/>
        </w:rPr>
      </w:pPr>
      <w:r w:rsidRPr="002642CA">
        <w:rPr>
          <w:sz w:val="24"/>
          <w:szCs w:val="24"/>
        </w:rPr>
        <w:t>A szabadidő, szórakozás, egészségmegőrzés célú utazások száma</w:t>
      </w:r>
      <w:r w:rsidR="002642CA" w:rsidRPr="002642CA">
        <w:rPr>
          <w:sz w:val="24"/>
          <w:szCs w:val="24"/>
        </w:rPr>
        <w:t xml:space="preserve"> </w:t>
      </w:r>
      <w:r w:rsidRPr="002642CA">
        <w:rPr>
          <w:sz w:val="24"/>
          <w:szCs w:val="24"/>
        </w:rPr>
        <w:t>4,0%-kal csökkent, főként az osztrák, a cseh, a román és a szlovák látogatások számának visszaesése miatt, melyet a német látogatások jelentősemelkedése sem tudott ellensúlyozni. A rokon- és a barátlátogatások</w:t>
      </w:r>
      <w:r w:rsidR="002642CA" w:rsidRPr="002642CA">
        <w:rPr>
          <w:sz w:val="24"/>
          <w:szCs w:val="24"/>
        </w:rPr>
        <w:t xml:space="preserve"> </w:t>
      </w:r>
      <w:r w:rsidRPr="002642CA">
        <w:rPr>
          <w:sz w:val="24"/>
          <w:szCs w:val="24"/>
        </w:rPr>
        <w:t>száma szintén mérséklődött (11%-kal), mely a Romániából érkezők elmaradásához köthető.</w:t>
      </w:r>
      <w:r w:rsidR="002642CA" w:rsidRPr="002642CA">
        <w:rPr>
          <w:sz w:val="24"/>
          <w:szCs w:val="24"/>
        </w:rPr>
        <w:t xml:space="preserve"> </w:t>
      </w:r>
      <w:r w:rsidRPr="002642CA">
        <w:rPr>
          <w:sz w:val="24"/>
          <w:szCs w:val="24"/>
        </w:rPr>
        <w:t>Külföldi látogatóink közel egyötöde jött Németországból, 8,9%-a</w:t>
      </w:r>
    </w:p>
    <w:p w:rsidR="00E75866" w:rsidRDefault="00E75866" w:rsidP="00E75866">
      <w:pPr>
        <w:autoSpaceDE w:val="0"/>
        <w:autoSpaceDN w:val="0"/>
        <w:adjustRightInd w:val="0"/>
        <w:spacing w:after="0" w:line="240" w:lineRule="auto"/>
        <w:jc w:val="both"/>
        <w:rPr>
          <w:sz w:val="24"/>
          <w:szCs w:val="24"/>
        </w:rPr>
      </w:pPr>
      <w:r w:rsidRPr="002642CA">
        <w:rPr>
          <w:sz w:val="24"/>
          <w:szCs w:val="24"/>
        </w:rPr>
        <w:t>Romániából, 7,2%-a Szlovákiából, 5,9%-a Ausztriából.</w:t>
      </w:r>
      <w:r w:rsidR="002642CA" w:rsidRPr="002642CA">
        <w:rPr>
          <w:sz w:val="24"/>
          <w:szCs w:val="24"/>
        </w:rPr>
        <w:t xml:space="preserve"> </w:t>
      </w:r>
      <w:r w:rsidRPr="002642CA">
        <w:rPr>
          <w:sz w:val="24"/>
          <w:szCs w:val="24"/>
        </w:rPr>
        <w:t>A több napra érkezők közül több mint 1 millióan látogattak ide</w:t>
      </w:r>
      <w:r w:rsidR="002642CA" w:rsidRPr="002642CA">
        <w:rPr>
          <w:sz w:val="24"/>
          <w:szCs w:val="24"/>
        </w:rPr>
        <w:t xml:space="preserve"> </w:t>
      </w:r>
      <w:r w:rsidRPr="002642CA">
        <w:rPr>
          <w:sz w:val="24"/>
          <w:szCs w:val="24"/>
        </w:rPr>
        <w:t>Németországból. Számuk jelentősen, 13%-kal bővült az egy évvel korábbihoz képest. Utazási céljaik túlnyomó része (65%) valamely szabadidős</w:t>
      </w:r>
      <w:r w:rsidR="002642CA" w:rsidRPr="002642CA">
        <w:rPr>
          <w:sz w:val="24"/>
          <w:szCs w:val="24"/>
        </w:rPr>
        <w:t xml:space="preserve"> </w:t>
      </w:r>
      <w:r w:rsidRPr="002642CA">
        <w:rPr>
          <w:sz w:val="24"/>
          <w:szCs w:val="24"/>
        </w:rPr>
        <w:t>cél volt, további 13%-ban munkavégzés, 9,6%-ban pedig rokon- és barátlátogatás motiválta a látogatók hazánkba érkezését.</w:t>
      </w:r>
    </w:p>
    <w:p w:rsidR="00131BBC" w:rsidRDefault="00131BBC" w:rsidP="00E75866">
      <w:pPr>
        <w:autoSpaceDE w:val="0"/>
        <w:autoSpaceDN w:val="0"/>
        <w:adjustRightInd w:val="0"/>
        <w:spacing w:after="0" w:line="240" w:lineRule="auto"/>
        <w:jc w:val="both"/>
        <w:rPr>
          <w:sz w:val="24"/>
          <w:szCs w:val="24"/>
        </w:rPr>
      </w:pPr>
    </w:p>
    <w:p w:rsidR="00131BBC" w:rsidRDefault="00131BBC" w:rsidP="00131BBC">
      <w:pPr>
        <w:autoSpaceDE w:val="0"/>
        <w:autoSpaceDN w:val="0"/>
        <w:adjustRightInd w:val="0"/>
        <w:spacing w:after="0" w:line="240" w:lineRule="auto"/>
        <w:jc w:val="right"/>
        <w:rPr>
          <w:sz w:val="24"/>
          <w:szCs w:val="24"/>
        </w:rPr>
      </w:pPr>
      <w:r>
        <w:rPr>
          <w:sz w:val="24"/>
          <w:szCs w:val="24"/>
        </w:rPr>
        <w:t>Forrás: KSH, Statisztikai tükör, 2019. dec. 06.</w:t>
      </w:r>
    </w:p>
    <w:p w:rsidR="00387EA3" w:rsidRDefault="00387EA3" w:rsidP="00131BBC">
      <w:pPr>
        <w:autoSpaceDE w:val="0"/>
        <w:autoSpaceDN w:val="0"/>
        <w:adjustRightInd w:val="0"/>
        <w:spacing w:after="0" w:line="240" w:lineRule="auto"/>
        <w:jc w:val="right"/>
        <w:rPr>
          <w:sz w:val="24"/>
          <w:szCs w:val="24"/>
        </w:rPr>
      </w:pPr>
    </w:p>
    <w:p w:rsidR="00387EA3" w:rsidRPr="00D21C20" w:rsidRDefault="00387EA3" w:rsidP="002642CA">
      <w:pPr>
        <w:jc w:val="both"/>
        <w:rPr>
          <w:color w:val="FF0000"/>
          <w:u w:val="single"/>
        </w:rPr>
      </w:pPr>
      <w:r w:rsidRPr="00D21C20">
        <w:rPr>
          <w:color w:val="FF0000"/>
          <w:u w:val="single"/>
        </w:rPr>
        <w:t>Országos kitekintés (Forrás: Turizmus.com)</w:t>
      </w:r>
    </w:p>
    <w:p w:rsidR="00387EA3" w:rsidRPr="00D21C20" w:rsidRDefault="00387EA3" w:rsidP="002642CA">
      <w:pPr>
        <w:jc w:val="both"/>
        <w:rPr>
          <w:rFonts w:cs="Calibri"/>
          <w:i/>
          <w:color w:val="FF0000"/>
          <w:shd w:val="clear" w:color="auto" w:fill="FFFFFF"/>
        </w:rPr>
      </w:pPr>
      <w:r w:rsidRPr="00D21C20">
        <w:rPr>
          <w:rFonts w:cs="Calibri"/>
          <w:i/>
          <w:color w:val="FF0000"/>
          <w:shd w:val="clear" w:color="auto" w:fill="FFFFFF"/>
        </w:rPr>
        <w:t xml:space="preserve">A vendégek száma a kereskedelmi szálláshelyeken elérte a 12,8 milliót, a vendégéjszakák száma megközelítette a 31,3 milliót 2019-ben. A kereskedelmi szálláshelyek szállásdíj-bevétele 9,2 százalékkal, a szálláshelyi összbevétel 8,8 százalékkal nőtt 2018-hoz viszonyítva. Még mindig kiegyensúlyozott a megoszlás a külföldi és a belföldi vendég, illetve vendégéjszaka-szám esetében. Tavaly az összes vendégéjszaka-szám felét, 15,6 millió éjszakát a belföldi turisták, 15,7 milliót a külföldi vendégek töltötték el hazánkban. </w:t>
      </w:r>
    </w:p>
    <w:p w:rsidR="00387EA3" w:rsidRPr="00D21C20" w:rsidRDefault="00387EA3" w:rsidP="002642CA">
      <w:pPr>
        <w:jc w:val="both"/>
        <w:rPr>
          <w:rFonts w:cs="Calibri"/>
          <w:i/>
          <w:color w:val="FF0000"/>
          <w:shd w:val="clear" w:color="auto" w:fill="FFFFFF"/>
        </w:rPr>
      </w:pPr>
      <w:r w:rsidRPr="00D21C20">
        <w:rPr>
          <w:rFonts w:cs="Calibri"/>
          <w:i/>
          <w:color w:val="FF0000"/>
          <w:shd w:val="clear" w:color="auto" w:fill="FFFFFF"/>
        </w:rPr>
        <w:t xml:space="preserve">Jelentős növekedés látható az összesített bevételi adatok esetében is: 9,2 százalékkal nőtt a kereskedelmi szálláshelyek szállásdíj bevétele, és 2018-hoz képest 8,8 százalékos az emelkedés a szálláshelyi összbevétel esetében is, amely meghaladta az 550 milliárd forintot. </w:t>
      </w:r>
    </w:p>
    <w:p w:rsidR="00387EA3" w:rsidRPr="00D21C20" w:rsidRDefault="00387EA3" w:rsidP="002642CA">
      <w:pPr>
        <w:jc w:val="both"/>
        <w:rPr>
          <w:rFonts w:cs="Calibri"/>
          <w:i/>
          <w:color w:val="FF0000"/>
        </w:rPr>
      </w:pPr>
      <w:r w:rsidRPr="00D21C20">
        <w:rPr>
          <w:rFonts w:cs="Calibri"/>
          <w:i/>
          <w:color w:val="FF0000"/>
          <w:shd w:val="clear" w:color="auto" w:fill="FFFFFF"/>
        </w:rPr>
        <w:lastRenderedPageBreak/>
        <w:t>A SZÉP-kártya felhasználás pedig tavaly elérte a 30 milliárd forintot, a panziókban 34,4 százalékos, a szállodákban pedig 46,4 százalékos volt a SZÉP-kártyás költések növekedése.</w:t>
      </w:r>
      <w:r w:rsidRPr="00D21C20">
        <w:rPr>
          <w:rFonts w:cs="Calibri"/>
          <w:i/>
          <w:color w:val="FF0000"/>
        </w:rPr>
        <w:t xml:space="preserve"> A belföldi turisták az év utolsó hónapjában 2,4 milliárd forintot költöttek SZÉP-kártyáról a kereskedelmi szálláshelyeken, ami kimagasló, 93,3 százalékos növekedés az előző év ugyanezen időszakához képest.</w:t>
      </w:r>
    </w:p>
    <w:p w:rsidR="00387EA3" w:rsidRPr="00D21C20" w:rsidRDefault="00387EA3" w:rsidP="002642CA">
      <w:pPr>
        <w:jc w:val="both"/>
        <w:rPr>
          <w:i/>
          <w:color w:val="FF0000"/>
        </w:rPr>
      </w:pPr>
      <w:r w:rsidRPr="00D21C20">
        <w:rPr>
          <w:i/>
          <w:color w:val="FF0000"/>
        </w:rPr>
        <w:t>Jó hír, hogy jelentősen nő a hazánkba érkező, jellemzően magas költésű vendégek száma, tavaly decemberben ugyanis kétszámjegyű növekedés volt tapasztalható az amerikai, angol, olasz, izraeli, kínai turisták körében az előző évhez képest.</w:t>
      </w:r>
    </w:p>
    <w:p w:rsidR="00387EA3" w:rsidRPr="00D21C20" w:rsidRDefault="00387EA3" w:rsidP="002642CA">
      <w:pPr>
        <w:jc w:val="both"/>
        <w:rPr>
          <w:i/>
          <w:color w:val="FF0000"/>
        </w:rPr>
      </w:pPr>
      <w:r w:rsidRPr="00D21C20">
        <w:rPr>
          <w:i/>
          <w:color w:val="FF0000"/>
        </w:rPr>
        <w:t>A legnagyobb növekedés az Izraelből (10,3%), Romániából (+8,3%) és Egyesült Királyságból (+4,9%) érkezők vendégéjszakái esetében volt megfigyelhető, de tovább tart a bővülés a Csehországból (+3,5%), Oroszországból (+3,5%), Egyesült Államokból (+3,0%), Lengyelországból (+2,7%) és Olaszországból (+0,1%) érkező vendégforgalom is.</w:t>
      </w:r>
    </w:p>
    <w:p w:rsidR="00387EA3" w:rsidRPr="00D21C20" w:rsidRDefault="00387EA3" w:rsidP="002642CA">
      <w:pPr>
        <w:jc w:val="both"/>
        <w:rPr>
          <w:i/>
          <w:color w:val="FF0000"/>
        </w:rPr>
      </w:pPr>
      <w:r w:rsidRPr="00D21C20">
        <w:rPr>
          <w:i/>
          <w:color w:val="FF0000"/>
        </w:rPr>
        <w:t>A Központi Statisztikai Hivatal adatai szerint egyébként a szállodai szobák 2019 egész évi átlagára 7,9 százalékkal 22 ezer 400 forintra emelkedett, de decemberben 10,4 százalékkal 24 ezer 300 forintra nőtt az egy évvel korábbihoz képest.</w:t>
      </w:r>
    </w:p>
    <w:p w:rsidR="00387EA3" w:rsidRPr="00D21C20" w:rsidRDefault="00387EA3" w:rsidP="002642CA">
      <w:pPr>
        <w:jc w:val="both"/>
        <w:rPr>
          <w:i/>
          <w:color w:val="FF0000"/>
        </w:rPr>
      </w:pPr>
      <w:r w:rsidRPr="00D21C20">
        <w:rPr>
          <w:i/>
          <w:color w:val="FF0000"/>
        </w:rPr>
        <w:t>A  szállodák egy szobára jutó szállásdíj-bevétele (REVPAR) a múlt évben 8,8 százalékkal 13 ezer 800 forintra, decemberben az egy évvel korábbihoz képest 14,8 százalékkal 13 ezer 100 forintra emelkedett. A szobák kihasználtsága éves átlagban 61,7, decemberben 54,0 százalékos volt, az egész évet tekintve 0,5 százalékponttal, decemberben 2,0 százalékponttal magasabb az egy évvel korábbinál.</w:t>
      </w:r>
    </w:p>
    <w:p w:rsidR="00387EA3" w:rsidRPr="00D21C20" w:rsidRDefault="00387EA3" w:rsidP="002642CA">
      <w:pPr>
        <w:jc w:val="both"/>
        <w:rPr>
          <w:i/>
          <w:color w:val="FF0000"/>
        </w:rPr>
      </w:pPr>
      <w:r w:rsidRPr="00D21C20">
        <w:rPr>
          <w:rStyle w:val="kiemelt-szoveg"/>
          <w:rFonts w:cs="Calibri"/>
          <w:i/>
          <w:color w:val="FF0000"/>
        </w:rPr>
        <w:t>Az egy szállodai szobára jutó összes árbevétel (TREVPAR) az egész évben átlagosan 8,5 százalékkal, decemberben 13,5 százalékkal nőtt, 23 ezer 500, illetve 23 ezer 200 forint volt.</w:t>
      </w:r>
    </w:p>
    <w:p w:rsidR="00387EA3" w:rsidRPr="00D21C20" w:rsidRDefault="00387EA3" w:rsidP="002642CA">
      <w:pPr>
        <w:jc w:val="both"/>
        <w:rPr>
          <w:rFonts w:ascii="Times New Roman" w:hAnsi="Times New Roman"/>
          <w:b/>
          <w:bCs/>
          <w:color w:val="FF0000"/>
          <w:u w:val="single"/>
        </w:rPr>
      </w:pPr>
      <w:r w:rsidRPr="00D21C20">
        <w:rPr>
          <w:rFonts w:ascii="Times New Roman" w:hAnsi="Times New Roman"/>
          <w:b/>
          <w:bCs/>
          <w:color w:val="FF0000"/>
          <w:u w:val="single"/>
        </w:rPr>
        <w:t>2019. nyári főszezon országos adatai  (Forrás: Ksh.hu)</w:t>
      </w:r>
    </w:p>
    <w:p w:rsidR="00387EA3" w:rsidRPr="00D21C20" w:rsidRDefault="00387EA3" w:rsidP="002642CA">
      <w:pPr>
        <w:jc w:val="both"/>
        <w:rPr>
          <w:rFonts w:ascii="Times New Roman" w:hAnsi="Times New Roman"/>
          <w:color w:val="FF0000"/>
        </w:rPr>
      </w:pPr>
    </w:p>
    <w:p w:rsidR="00387EA3" w:rsidRPr="00D21C20" w:rsidRDefault="00387EA3" w:rsidP="002642CA">
      <w:pPr>
        <w:jc w:val="both"/>
        <w:rPr>
          <w:rFonts w:ascii="Times New Roman" w:hAnsi="Times New Roman"/>
          <w:i/>
          <w:color w:val="FF0000"/>
        </w:rPr>
      </w:pPr>
      <w:r w:rsidRPr="00D21C20">
        <w:rPr>
          <w:rFonts w:ascii="Times New Roman" w:hAnsi="Times New Roman"/>
          <w:b/>
          <w:bCs/>
          <w:i/>
          <w:color w:val="FF0000"/>
          <w:u w:val="single"/>
        </w:rPr>
        <w:t>2019. júniusban</w:t>
      </w:r>
      <w:r w:rsidRPr="00D21C20">
        <w:rPr>
          <w:rFonts w:ascii="Times New Roman" w:hAnsi="Times New Roman"/>
          <w:i/>
          <w:color w:val="FF0000"/>
        </w:rPr>
        <w:t xml:space="preserve"> a külföldi vendégek által eltöltött éjszakák száma 3,7, a belföldi vendégek által eltöltötteké 3,8%-kal nőtt az előző év azonos időszakához képest a kereskedelmi szálláshelyeken (szállodákban, panziókban, kempingekben, üdülőházakban, valamint a közösségi szálláshelyeken). A külföldi vendégek száma 5,0, a vendégéjszakáké 3,7%-kal nőtt. A szálláshelyekre érkezett 586 ezer vendég közel 1,5 millió vendégéjszakát töltött el. A vendégéjszakák száma a panziók kivételével mindegyik szállástípusban emelkedett. A balatoni régióban 5,5%-kal nőtt a vendégéjszakák száma.</w:t>
      </w:r>
    </w:p>
    <w:p w:rsidR="00387EA3" w:rsidRPr="00D21C20" w:rsidRDefault="00387EA3" w:rsidP="002642CA">
      <w:pPr>
        <w:jc w:val="both"/>
        <w:rPr>
          <w:rFonts w:ascii="Times New Roman" w:hAnsi="Times New Roman"/>
          <w:i/>
          <w:color w:val="FF0000"/>
        </w:rPr>
      </w:pPr>
      <w:r w:rsidRPr="00D21C20">
        <w:rPr>
          <w:rFonts w:ascii="Times New Roman" w:hAnsi="Times New Roman"/>
          <w:i/>
          <w:color w:val="FF0000"/>
        </w:rPr>
        <w:t xml:space="preserve">A belföldi vendégek száma 2,8, a vendégéjszakák száma 3,8%-kal bővült. A vendégek száma 698 ezer, az általuk eltöltött vendégéjszakák száma 1,6 millió volt. </w:t>
      </w:r>
      <w:r w:rsidRPr="00D21C20">
        <w:rPr>
          <w:i/>
          <w:color w:val="FF0000"/>
        </w:rPr>
        <w:t xml:space="preserve"> </w:t>
      </w:r>
      <w:r w:rsidRPr="00D21C20">
        <w:rPr>
          <w:rFonts w:ascii="Times New Roman" w:hAnsi="Times New Roman"/>
          <w:i/>
          <w:color w:val="FF0000"/>
        </w:rPr>
        <w:t>A szállodák szobakihasználtsága 1,1 százalékponttal, 65,8%-ra emelkedett.</w:t>
      </w:r>
    </w:p>
    <w:p w:rsidR="00387EA3" w:rsidRPr="00D21C20" w:rsidRDefault="00387EA3" w:rsidP="002642CA">
      <w:pPr>
        <w:jc w:val="both"/>
        <w:rPr>
          <w:rFonts w:ascii="Times New Roman" w:hAnsi="Times New Roman"/>
          <w:i/>
          <w:color w:val="FF0000"/>
        </w:rPr>
      </w:pPr>
      <w:r w:rsidRPr="00D21C20">
        <w:rPr>
          <w:rFonts w:ascii="Times New Roman" w:hAnsi="Times New Roman"/>
          <w:i/>
          <w:color w:val="FF0000"/>
        </w:rPr>
        <w:t>Széchenyi Pihenőkártyával a kártyatulajdonosok összességében 2,7 milliárd forintot fizettek a kereskedelmi szálláshelyeken, amely az alacsony bázishoz viszonyítva 58%-os növekedést jelent.</w:t>
      </w:r>
    </w:p>
    <w:p w:rsidR="00387EA3" w:rsidRPr="00D21C20" w:rsidRDefault="00387EA3" w:rsidP="002642CA">
      <w:pPr>
        <w:jc w:val="both"/>
        <w:rPr>
          <w:rFonts w:ascii="Times New Roman" w:hAnsi="Times New Roman"/>
          <w:i/>
          <w:color w:val="FF0000"/>
        </w:rPr>
      </w:pPr>
      <w:r w:rsidRPr="00D21C20">
        <w:rPr>
          <w:rFonts w:ascii="Times New Roman" w:hAnsi="Times New Roman"/>
          <w:b/>
          <w:bCs/>
          <w:i/>
          <w:color w:val="FF0000"/>
          <w:u w:val="single"/>
        </w:rPr>
        <w:t>2019. júliusban</w:t>
      </w:r>
      <w:r w:rsidRPr="00D21C20">
        <w:rPr>
          <w:rFonts w:ascii="Times New Roman" w:hAnsi="Times New Roman"/>
          <w:i/>
          <w:color w:val="FF0000"/>
        </w:rPr>
        <w:t xml:space="preserve"> a külföldi vendégek által eltöltött éjszakák száma 5,4, a belföldi vendégek által eltöltötteké 1,5%-kal csökkent az előző év azonos időszakához képest a kereskedelmi szálláshelyeken. A kereskedelmi szálláshelyek – folyó áron számolt – összes bruttó árbevétele 4,7%-kal emelkedett.</w:t>
      </w:r>
      <w:r w:rsidRPr="00D21C20">
        <w:rPr>
          <w:i/>
          <w:color w:val="FF0000"/>
        </w:rPr>
        <w:t xml:space="preserve"> </w:t>
      </w:r>
      <w:r w:rsidRPr="00D21C20">
        <w:rPr>
          <w:rFonts w:ascii="Times New Roman" w:hAnsi="Times New Roman"/>
          <w:i/>
          <w:color w:val="FF0000"/>
        </w:rPr>
        <w:t>A külföldi vendégek száma 2,4, a vendégéjszakáké 5,4%-kal csökkent. A szálláshelyekre érkezett 687 ezer vendég közel 1,9 millió vendégéjszakát töltött el.</w:t>
      </w:r>
      <w:r w:rsidRPr="00D21C20">
        <w:rPr>
          <w:i/>
          <w:color w:val="FF0000"/>
        </w:rPr>
        <w:t xml:space="preserve"> </w:t>
      </w:r>
      <w:r w:rsidRPr="00D21C20">
        <w:rPr>
          <w:rFonts w:ascii="Times New Roman" w:hAnsi="Times New Roman"/>
          <w:i/>
          <w:color w:val="FF0000"/>
        </w:rPr>
        <w:t xml:space="preserve">Széchenyi Pihenőkártyával a kártyatulajdonosok </w:t>
      </w:r>
      <w:r w:rsidRPr="00D21C20">
        <w:rPr>
          <w:rFonts w:ascii="Times New Roman" w:hAnsi="Times New Roman"/>
          <w:i/>
          <w:color w:val="FF0000"/>
        </w:rPr>
        <w:lastRenderedPageBreak/>
        <w:t>összességében 4,8 milliárd forintot fizettek a kereskedelmi szálláshelyeken, amely 45%-os növekedést jelent.</w:t>
      </w:r>
      <w:r w:rsidRPr="00D21C20">
        <w:rPr>
          <w:i/>
          <w:color w:val="FF0000"/>
        </w:rPr>
        <w:t xml:space="preserve"> </w:t>
      </w:r>
      <w:r w:rsidRPr="00D21C20">
        <w:rPr>
          <w:rFonts w:ascii="Times New Roman" w:hAnsi="Times New Roman"/>
          <w:i/>
          <w:color w:val="FF0000"/>
        </w:rPr>
        <w:t>A szállodák szobakihasználtsága 71,7% volt.</w:t>
      </w:r>
    </w:p>
    <w:p w:rsidR="00387EA3" w:rsidRPr="00D21C20" w:rsidRDefault="00387EA3" w:rsidP="002642CA">
      <w:pPr>
        <w:jc w:val="both"/>
        <w:rPr>
          <w:rFonts w:ascii="Times New Roman" w:hAnsi="Times New Roman"/>
          <w:i/>
          <w:color w:val="FF0000"/>
        </w:rPr>
      </w:pPr>
      <w:r w:rsidRPr="00D21C20">
        <w:rPr>
          <w:rFonts w:ascii="Times New Roman" w:hAnsi="Times New Roman"/>
          <w:i/>
          <w:color w:val="FF0000"/>
        </w:rPr>
        <w:t xml:space="preserve">A vendégszám 846 ezer, az eltöltött vendégéjszakáké 2,5 millió volt. </w:t>
      </w:r>
    </w:p>
    <w:p w:rsidR="00387EA3" w:rsidRPr="00D21C20" w:rsidRDefault="00387EA3" w:rsidP="002642CA">
      <w:pPr>
        <w:jc w:val="both"/>
        <w:rPr>
          <w:i/>
          <w:color w:val="FF0000"/>
        </w:rPr>
      </w:pPr>
      <w:r w:rsidRPr="00D21C20">
        <w:rPr>
          <w:b/>
          <w:bCs/>
          <w:i/>
          <w:color w:val="FF0000"/>
          <w:u w:val="single"/>
        </w:rPr>
        <w:t>2019. augusztusban</w:t>
      </w:r>
      <w:r w:rsidRPr="00D21C20">
        <w:rPr>
          <w:i/>
          <w:color w:val="FF0000"/>
        </w:rPr>
        <w:t xml:space="preserve"> a külföldi vendégek által eltöltött éjszakák száma 2,3, a belföldi vendégek által eltöltötteké 1,0%-kal nőtt az előző év azonos időszakához képest a kereskedelmi szálláshelyeken. A kereskedelmi szálláshelyek – folyó áron számolt – összes bruttó árbevétele 8,7%-kal emelkedett. A szállodák szobakihasználtsága 76,5% volt.</w:t>
      </w:r>
    </w:p>
    <w:p w:rsidR="00387EA3" w:rsidRPr="00D21C20" w:rsidRDefault="00387EA3" w:rsidP="002642CA">
      <w:pPr>
        <w:jc w:val="both"/>
        <w:rPr>
          <w:i/>
          <w:color w:val="FF0000"/>
        </w:rPr>
      </w:pPr>
      <w:r w:rsidRPr="00D21C20">
        <w:rPr>
          <w:i/>
          <w:color w:val="FF0000"/>
        </w:rPr>
        <w:t xml:space="preserve">A külföldi vendégek száma 3,0, a vendégéjszakáké 2,3%-kal nőtt. A szálláshelyekre érkezett 754 ezer vendég közel 2,1 millió vendégéjszakát töltött el. </w:t>
      </w:r>
    </w:p>
    <w:p w:rsidR="00387EA3" w:rsidRPr="00D21C20" w:rsidRDefault="00387EA3" w:rsidP="002642CA">
      <w:pPr>
        <w:jc w:val="both"/>
        <w:rPr>
          <w:i/>
          <w:color w:val="FF0000"/>
        </w:rPr>
      </w:pPr>
      <w:r w:rsidRPr="00D21C20">
        <w:rPr>
          <w:i/>
          <w:color w:val="FF0000"/>
        </w:rPr>
        <w:t>A belföldi vendégek száma 2,8, a vendégéjszakáké 1,0%-kal volt több. A vendégszám 915 ezer, az eltöltött vendégéjszakák száma 2,5 millió volt. Az előző hónaphoz hasonlóan, a belföldi vendégek körében a Balaton volt a legnépszerűbb régió, ahol háromszor annyi éjszakát töltöttek el, mint a második legkedveltebb területen, Észak-Magyarországon.</w:t>
      </w:r>
    </w:p>
    <w:p w:rsidR="00387EA3" w:rsidRDefault="00387EA3" w:rsidP="002642CA">
      <w:pPr>
        <w:jc w:val="both"/>
        <w:rPr>
          <w:i/>
          <w:color w:val="FF0000"/>
        </w:rPr>
      </w:pPr>
      <w:r w:rsidRPr="00D21C20">
        <w:rPr>
          <w:i/>
          <w:color w:val="FF0000"/>
        </w:rPr>
        <w:t>Széchenyi Pihenőkártyával a kártyatulajdonosok összességében 5,5 milliárd forintot fizettek a kereskedelmi szálláshelyeken, amely 65%-os növekedést jelent.</w:t>
      </w:r>
    </w:p>
    <w:p w:rsidR="00E75866" w:rsidRDefault="00E75866" w:rsidP="002642CA">
      <w:pPr>
        <w:autoSpaceDE w:val="0"/>
        <w:autoSpaceDN w:val="0"/>
        <w:adjustRightInd w:val="0"/>
        <w:spacing w:after="0" w:line="240" w:lineRule="auto"/>
        <w:jc w:val="both"/>
        <w:rPr>
          <w:b/>
          <w:sz w:val="24"/>
          <w:szCs w:val="24"/>
        </w:rPr>
      </w:pPr>
    </w:p>
    <w:p w:rsidR="00E75866" w:rsidRDefault="00E75866" w:rsidP="00B250EF">
      <w:pPr>
        <w:autoSpaceDE w:val="0"/>
        <w:autoSpaceDN w:val="0"/>
        <w:adjustRightInd w:val="0"/>
        <w:spacing w:after="0" w:line="240" w:lineRule="auto"/>
        <w:jc w:val="both"/>
        <w:rPr>
          <w:b/>
          <w:sz w:val="24"/>
          <w:szCs w:val="24"/>
        </w:rPr>
      </w:pPr>
    </w:p>
    <w:p w:rsidR="00B250EF" w:rsidRPr="00251BA6" w:rsidRDefault="00B250EF" w:rsidP="00B250EF">
      <w:pPr>
        <w:spacing w:after="0" w:line="240" w:lineRule="auto"/>
        <w:jc w:val="both"/>
        <w:rPr>
          <w:sz w:val="24"/>
          <w:szCs w:val="24"/>
        </w:rPr>
        <w:sectPr w:rsidR="00B250EF" w:rsidRPr="00251BA6" w:rsidSect="00F31BD8">
          <w:headerReference w:type="default" r:id="rId9"/>
          <w:pgSz w:w="11906" w:h="16838"/>
          <w:pgMar w:top="1417" w:right="1417" w:bottom="1417" w:left="1417" w:header="708" w:footer="708" w:gutter="0"/>
          <w:cols w:space="708"/>
          <w:docGrid w:linePitch="360"/>
        </w:sectPr>
      </w:pPr>
    </w:p>
    <w:p w:rsidR="00B250EF" w:rsidRDefault="00B250EF" w:rsidP="00B250EF">
      <w:pPr>
        <w:pStyle w:val="Cmsor2"/>
        <w:rPr>
          <w:rFonts w:ascii="Calibri" w:hAnsi="Calibri"/>
          <w:i w:val="0"/>
        </w:rPr>
      </w:pPr>
      <w:bookmarkStart w:id="8" w:name="_Toc38281832"/>
      <w:r w:rsidRPr="00762EFD">
        <w:rPr>
          <w:rFonts w:ascii="Calibri" w:hAnsi="Calibri"/>
          <w:i w:val="0"/>
        </w:rPr>
        <w:lastRenderedPageBreak/>
        <w:t>II. 2.) Termékek, szolgáltatások pozícionálása, célcsoportok meghatározása</w:t>
      </w:r>
      <w:bookmarkEnd w:id="8"/>
    </w:p>
    <w:p w:rsidR="00B250EF" w:rsidRDefault="00B250EF" w:rsidP="00B250EF">
      <w:pPr>
        <w:pStyle w:val="Cmsor2"/>
      </w:pPr>
      <w:bookmarkStart w:id="9" w:name="_Toc531959573"/>
      <w:bookmarkStart w:id="10" w:name="_Toc533168843"/>
      <w:bookmarkStart w:id="11" w:name="_Toc534207240"/>
      <w:r>
        <w:rPr>
          <w:noProof/>
          <w:sz w:val="16"/>
          <w:szCs w:val="16"/>
          <w:lang w:eastAsia="hu-HU"/>
        </w:rPr>
        <w:drawing>
          <wp:anchor distT="0" distB="0" distL="114300" distR="114300" simplePos="0" relativeHeight="251663360" behindDoc="1" locked="0" layoutInCell="1" allowOverlap="1">
            <wp:simplePos x="0" y="0"/>
            <wp:positionH relativeFrom="column">
              <wp:posOffset>-166370</wp:posOffset>
            </wp:positionH>
            <wp:positionV relativeFrom="paragraph">
              <wp:posOffset>-5715</wp:posOffset>
            </wp:positionV>
            <wp:extent cx="9544050" cy="4667250"/>
            <wp:effectExtent l="0" t="0" r="0" b="0"/>
            <wp:wrapNone/>
            <wp:docPr id="19" name="Kép 19" descr="Pozícionál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Pozícionálá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544050" cy="4667250"/>
                    </a:xfrm>
                    <a:prstGeom prst="rect">
                      <a:avLst/>
                    </a:prstGeom>
                    <a:noFill/>
                    <a:ln>
                      <a:noFill/>
                    </a:ln>
                  </pic:spPr>
                </pic:pic>
              </a:graphicData>
            </a:graphic>
          </wp:anchor>
        </w:drawing>
      </w:r>
      <w:bookmarkEnd w:id="9"/>
      <w:bookmarkEnd w:id="10"/>
      <w:bookmarkEnd w:id="11"/>
    </w:p>
    <w:p w:rsidR="00B250EF" w:rsidRPr="00103860" w:rsidRDefault="00B250EF" w:rsidP="00B250EF"/>
    <w:p w:rsidR="00B250EF" w:rsidRDefault="00B250EF" w:rsidP="00B250EF">
      <w:pPr>
        <w:jc w:val="both"/>
        <w:rPr>
          <w:sz w:val="24"/>
          <w:szCs w:val="24"/>
        </w:rPr>
      </w:pPr>
    </w:p>
    <w:p w:rsidR="00B250EF" w:rsidRDefault="00B250EF" w:rsidP="00B250EF">
      <w:pPr>
        <w:jc w:val="both"/>
        <w:rPr>
          <w:sz w:val="24"/>
          <w:szCs w:val="24"/>
        </w:rPr>
      </w:pPr>
    </w:p>
    <w:p w:rsidR="00B250EF" w:rsidRDefault="00B250EF" w:rsidP="00B250EF">
      <w:pPr>
        <w:jc w:val="both"/>
        <w:rPr>
          <w:sz w:val="24"/>
          <w:szCs w:val="24"/>
        </w:rPr>
      </w:pPr>
    </w:p>
    <w:p w:rsidR="00B250EF" w:rsidRDefault="00B250EF" w:rsidP="00B250EF">
      <w:pPr>
        <w:jc w:val="both"/>
        <w:rPr>
          <w:sz w:val="24"/>
          <w:szCs w:val="24"/>
        </w:rPr>
      </w:pPr>
    </w:p>
    <w:p w:rsidR="00B250EF" w:rsidRDefault="00B250EF" w:rsidP="00B250EF">
      <w:pPr>
        <w:jc w:val="both"/>
        <w:rPr>
          <w:sz w:val="24"/>
          <w:szCs w:val="24"/>
        </w:rPr>
      </w:pPr>
    </w:p>
    <w:p w:rsidR="00B250EF" w:rsidRDefault="00B250EF" w:rsidP="00B250EF">
      <w:pPr>
        <w:jc w:val="both"/>
        <w:rPr>
          <w:sz w:val="24"/>
          <w:szCs w:val="24"/>
        </w:rPr>
      </w:pPr>
    </w:p>
    <w:p w:rsidR="00B250EF" w:rsidRDefault="00B250EF" w:rsidP="00B250EF">
      <w:pPr>
        <w:jc w:val="both"/>
        <w:rPr>
          <w:sz w:val="24"/>
          <w:szCs w:val="24"/>
        </w:rPr>
      </w:pPr>
    </w:p>
    <w:p w:rsidR="00B250EF" w:rsidRDefault="00B250EF" w:rsidP="00B250EF">
      <w:pPr>
        <w:jc w:val="both"/>
        <w:rPr>
          <w:sz w:val="24"/>
          <w:szCs w:val="24"/>
        </w:rPr>
      </w:pPr>
    </w:p>
    <w:p w:rsidR="00B250EF" w:rsidRDefault="00B250EF" w:rsidP="00B250EF">
      <w:pPr>
        <w:jc w:val="both"/>
        <w:rPr>
          <w:sz w:val="24"/>
          <w:szCs w:val="24"/>
        </w:rPr>
      </w:pPr>
    </w:p>
    <w:p w:rsidR="00B250EF" w:rsidRDefault="00B250EF" w:rsidP="00B250EF">
      <w:pPr>
        <w:jc w:val="both"/>
        <w:rPr>
          <w:sz w:val="24"/>
          <w:szCs w:val="24"/>
        </w:rPr>
      </w:pPr>
    </w:p>
    <w:p w:rsidR="00B250EF" w:rsidRDefault="00B250EF" w:rsidP="00B250EF">
      <w:pPr>
        <w:jc w:val="both"/>
        <w:rPr>
          <w:sz w:val="24"/>
          <w:szCs w:val="24"/>
        </w:rPr>
      </w:pPr>
    </w:p>
    <w:p w:rsidR="00B250EF" w:rsidRDefault="00B250EF" w:rsidP="00B250EF">
      <w:pPr>
        <w:jc w:val="both"/>
        <w:rPr>
          <w:sz w:val="24"/>
          <w:szCs w:val="24"/>
        </w:rPr>
      </w:pPr>
    </w:p>
    <w:p w:rsidR="00B250EF" w:rsidRPr="00822837" w:rsidRDefault="00B250EF" w:rsidP="00B250EF">
      <w:pPr>
        <w:jc w:val="both"/>
      </w:pPr>
      <w:r w:rsidRPr="00822837">
        <w:rPr>
          <w:sz w:val="24"/>
          <w:szCs w:val="24"/>
        </w:rPr>
        <w:t>Forrás:„A Hévíz Turisztikai Desztináció fejlesztési koncepciója és operatív programjai”</w:t>
      </w:r>
    </w:p>
    <w:p w:rsidR="00B250EF" w:rsidRPr="00822837" w:rsidRDefault="00B250EF" w:rsidP="00B250EF">
      <w:pPr>
        <w:jc w:val="both"/>
        <w:sectPr w:rsidR="00B250EF" w:rsidRPr="00822837" w:rsidSect="00F31BD8">
          <w:pgSz w:w="16838" w:h="11906" w:orient="landscape"/>
          <w:pgMar w:top="1417" w:right="1417" w:bottom="1417" w:left="1417" w:header="708" w:footer="708" w:gutter="0"/>
          <w:cols w:space="708"/>
          <w:docGrid w:linePitch="360"/>
        </w:sectPr>
      </w:pPr>
    </w:p>
    <w:p w:rsidR="00B250EF" w:rsidRDefault="00B250EF" w:rsidP="002642CA">
      <w:pPr>
        <w:spacing w:after="0" w:line="240" w:lineRule="auto"/>
        <w:jc w:val="both"/>
        <w:rPr>
          <w:sz w:val="24"/>
          <w:szCs w:val="24"/>
        </w:rPr>
      </w:pPr>
      <w:r w:rsidRPr="00822837">
        <w:rPr>
          <w:sz w:val="24"/>
          <w:szCs w:val="24"/>
        </w:rPr>
        <w:lastRenderedPageBreak/>
        <w:t>„A Hévíz Turisztikai Desztináció fejlesztési koncepciója és operatív programjai” című tanulmány alapján</w:t>
      </w:r>
      <w:r>
        <w:rPr>
          <w:sz w:val="24"/>
          <w:szCs w:val="24"/>
        </w:rPr>
        <w:t xml:space="preserve"> a</w:t>
      </w:r>
      <w:r w:rsidRPr="00822837">
        <w:rPr>
          <w:sz w:val="24"/>
          <w:szCs w:val="24"/>
        </w:rPr>
        <w:t xml:space="preserve"> fenti táblázat foglalja össze</w:t>
      </w:r>
      <w:r w:rsidR="00706A7B">
        <w:rPr>
          <w:sz w:val="24"/>
          <w:szCs w:val="24"/>
        </w:rPr>
        <w:t xml:space="preserve"> </w:t>
      </w:r>
      <w:r w:rsidRPr="00822837">
        <w:rPr>
          <w:sz w:val="24"/>
          <w:szCs w:val="24"/>
        </w:rPr>
        <w:t>a 3 fő terméket, valamint a hozzájuk kapcsolódó célcsoportokat. Mivel ezek közép táv</w:t>
      </w:r>
      <w:r w:rsidR="00F31BD8">
        <w:rPr>
          <w:sz w:val="24"/>
          <w:szCs w:val="24"/>
        </w:rPr>
        <w:t xml:space="preserve">ú </w:t>
      </w:r>
      <w:r w:rsidRPr="00822837">
        <w:rPr>
          <w:sz w:val="24"/>
          <w:szCs w:val="24"/>
        </w:rPr>
        <w:t>meghatározás</w:t>
      </w:r>
      <w:r w:rsidR="00F31BD8">
        <w:rPr>
          <w:sz w:val="24"/>
          <w:szCs w:val="24"/>
        </w:rPr>
        <w:t>ok</w:t>
      </w:r>
      <w:r w:rsidRPr="00822837">
        <w:rPr>
          <w:sz w:val="24"/>
          <w:szCs w:val="24"/>
        </w:rPr>
        <w:t>, ezért ezen c</w:t>
      </w:r>
      <w:r>
        <w:rPr>
          <w:sz w:val="24"/>
          <w:szCs w:val="24"/>
        </w:rPr>
        <w:t>élcsoportok nem változtak az idei évre.</w:t>
      </w:r>
    </w:p>
    <w:p w:rsidR="00B250EF" w:rsidRPr="00822837" w:rsidRDefault="00B250EF" w:rsidP="002642CA">
      <w:pPr>
        <w:spacing w:after="0" w:line="240" w:lineRule="auto"/>
        <w:jc w:val="both"/>
        <w:rPr>
          <w:sz w:val="24"/>
          <w:szCs w:val="24"/>
        </w:rPr>
      </w:pPr>
    </w:p>
    <w:p w:rsidR="00B250EF" w:rsidRDefault="00B250EF" w:rsidP="002642CA">
      <w:pPr>
        <w:spacing w:after="0" w:line="240" w:lineRule="auto"/>
        <w:jc w:val="both"/>
        <w:rPr>
          <w:sz w:val="24"/>
          <w:szCs w:val="24"/>
        </w:rPr>
      </w:pPr>
      <w:r w:rsidRPr="00822837">
        <w:rPr>
          <w:sz w:val="24"/>
          <w:szCs w:val="24"/>
        </w:rPr>
        <w:t>Összefoglalva</w:t>
      </w:r>
      <w:r>
        <w:rPr>
          <w:sz w:val="24"/>
          <w:szCs w:val="24"/>
        </w:rPr>
        <w:t>,</w:t>
      </w:r>
      <w:r w:rsidRPr="00822837">
        <w:rPr>
          <w:sz w:val="24"/>
          <w:szCs w:val="24"/>
        </w:rPr>
        <w:t xml:space="preserve"> Hévíz elsődlegesen </w:t>
      </w:r>
      <w:r>
        <w:rPr>
          <w:sz w:val="24"/>
          <w:szCs w:val="24"/>
        </w:rPr>
        <w:t xml:space="preserve">egészségturisztikai </w:t>
      </w:r>
      <w:r w:rsidRPr="00822837">
        <w:rPr>
          <w:sz w:val="24"/>
          <w:szCs w:val="24"/>
        </w:rPr>
        <w:t xml:space="preserve">desztináció, ahol hagyományosan az 50 év feletti mozgásszervi panaszokkal rendelkező vendégek kúráznak. A vendégek közel 70%-a gyógyvendég, elsődlegesen a március-november közötti időszakban (a meleg nyári hónapok kivételével). A gyógyturizmus nyáron a fiatalabb és aktívabb vendégkörrel nyaralóturizmussá alakul. A vendégforgalom fennmaradó 30%-a így wellness-, üdülő- vagy konferencia turista. </w:t>
      </w:r>
    </w:p>
    <w:p w:rsidR="00B250EF" w:rsidRPr="00D21C20" w:rsidRDefault="00B250EF" w:rsidP="002642CA">
      <w:pPr>
        <w:pStyle w:val="Cmsor2"/>
        <w:jc w:val="both"/>
        <w:rPr>
          <w:rFonts w:ascii="Calibri" w:hAnsi="Calibri" w:cs="Calibri"/>
          <w:i w:val="0"/>
          <w:color w:val="FF0000"/>
        </w:rPr>
      </w:pPr>
      <w:r>
        <w:rPr>
          <w:sz w:val="24"/>
          <w:szCs w:val="24"/>
        </w:rPr>
        <w:br w:type="page"/>
      </w:r>
      <w:bookmarkStart w:id="12" w:name="_Toc38281833"/>
      <w:r w:rsidRPr="00D21C20">
        <w:rPr>
          <w:rFonts w:ascii="Calibri" w:hAnsi="Calibri" w:cs="Calibri"/>
          <w:i w:val="0"/>
          <w:color w:val="FF0000"/>
        </w:rPr>
        <w:lastRenderedPageBreak/>
        <w:t>II. 3.) A hévízi vendégkör nemzetiségi összetétel változása 201</w:t>
      </w:r>
      <w:r w:rsidR="00712DFA" w:rsidRPr="00D21C20">
        <w:rPr>
          <w:rFonts w:ascii="Calibri" w:hAnsi="Calibri" w:cs="Calibri"/>
          <w:i w:val="0"/>
          <w:color w:val="FF0000"/>
        </w:rPr>
        <w:t>9</w:t>
      </w:r>
      <w:r w:rsidRPr="00D21C20">
        <w:rPr>
          <w:rFonts w:ascii="Calibri" w:hAnsi="Calibri" w:cs="Calibri"/>
          <w:i w:val="0"/>
          <w:color w:val="FF0000"/>
        </w:rPr>
        <w:t>. I. – X</w:t>
      </w:r>
      <w:r w:rsidR="00D21C20" w:rsidRPr="00D21C20">
        <w:rPr>
          <w:rFonts w:ascii="Calibri" w:hAnsi="Calibri" w:cs="Calibri"/>
          <w:i w:val="0"/>
          <w:color w:val="FF0000"/>
        </w:rPr>
        <w:t>II</w:t>
      </w:r>
      <w:r w:rsidRPr="00D21C20">
        <w:rPr>
          <w:rFonts w:ascii="Calibri" w:hAnsi="Calibri" w:cs="Calibri"/>
          <w:i w:val="0"/>
          <w:color w:val="FF0000"/>
        </w:rPr>
        <w:t>. hó</w:t>
      </w:r>
      <w:bookmarkEnd w:id="12"/>
    </w:p>
    <w:p w:rsidR="00387EA3" w:rsidRPr="00387EA3" w:rsidRDefault="00387EA3" w:rsidP="002642CA">
      <w:pPr>
        <w:jc w:val="both"/>
      </w:pPr>
      <w:r>
        <w:rPr>
          <w:noProof/>
          <w:lang w:eastAsia="hu-HU"/>
        </w:rPr>
        <w:drawing>
          <wp:inline distT="0" distB="0" distL="0" distR="0">
            <wp:extent cx="5019675" cy="8096250"/>
            <wp:effectExtent l="19050" t="0" r="9525"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5019675" cy="8096250"/>
                    </a:xfrm>
                    <a:prstGeom prst="rect">
                      <a:avLst/>
                    </a:prstGeom>
                    <a:noFill/>
                    <a:ln w="9525">
                      <a:noFill/>
                      <a:miter lim="800000"/>
                      <a:headEnd/>
                      <a:tailEnd/>
                    </a:ln>
                  </pic:spPr>
                </pic:pic>
              </a:graphicData>
            </a:graphic>
          </wp:inline>
        </w:drawing>
      </w:r>
    </w:p>
    <w:p w:rsidR="008D2091" w:rsidRDefault="008D2091" w:rsidP="008D2091">
      <w:pPr>
        <w:ind w:left="-567" w:right="-426"/>
      </w:pPr>
      <w:r>
        <w:lastRenderedPageBreak/>
        <w:tab/>
      </w:r>
      <w:r>
        <w:tab/>
      </w:r>
      <w:r>
        <w:tab/>
      </w:r>
      <w:r>
        <w:tab/>
      </w:r>
      <w:r>
        <w:tab/>
      </w:r>
    </w:p>
    <w:p w:rsidR="000C48D5" w:rsidRPr="000C48D5" w:rsidRDefault="000C48D5" w:rsidP="002642CA">
      <w:pPr>
        <w:jc w:val="both"/>
        <w:rPr>
          <w:color w:val="FF0000"/>
        </w:rPr>
      </w:pPr>
      <w:r w:rsidRPr="000C48D5">
        <w:rPr>
          <w:color w:val="FF0000"/>
        </w:rPr>
        <w:t>A főbb piacok változásait az alábbi táblázatok mutatják be 2011 óta.</w:t>
      </w:r>
    </w:p>
    <w:p w:rsidR="000C48D5" w:rsidRPr="000C48D5" w:rsidRDefault="000C48D5" w:rsidP="002642CA">
      <w:pPr>
        <w:jc w:val="both"/>
        <w:rPr>
          <w:b/>
          <w:color w:val="FF0000"/>
        </w:rPr>
      </w:pPr>
      <w:r w:rsidRPr="000C48D5">
        <w:rPr>
          <w:b/>
          <w:color w:val="FF0000"/>
        </w:rPr>
        <w:t>Belföldi vendégforgalom változása 2011 – 2019 között</w:t>
      </w:r>
    </w:p>
    <w:tbl>
      <w:tblPr>
        <w:tblW w:w="0" w:type="auto"/>
        <w:jc w:val="center"/>
        <w:tblLayout w:type="fixed"/>
        <w:tblCellMar>
          <w:left w:w="70" w:type="dxa"/>
          <w:right w:w="70" w:type="dxa"/>
        </w:tblCellMar>
        <w:tblLook w:val="04A0" w:firstRow="1" w:lastRow="0" w:firstColumn="1" w:lastColumn="0" w:noHBand="0" w:noVBand="1"/>
      </w:tblPr>
      <w:tblGrid>
        <w:gridCol w:w="1595"/>
        <w:gridCol w:w="851"/>
        <w:gridCol w:w="814"/>
        <w:gridCol w:w="921"/>
        <w:gridCol w:w="922"/>
        <w:gridCol w:w="921"/>
        <w:gridCol w:w="921"/>
        <w:gridCol w:w="921"/>
        <w:gridCol w:w="921"/>
        <w:gridCol w:w="922"/>
      </w:tblGrid>
      <w:tr w:rsidR="000C48D5" w:rsidRPr="000C48D5" w:rsidTr="00F5679C">
        <w:trPr>
          <w:trHeight w:val="315"/>
          <w:jc w:val="center"/>
        </w:trPr>
        <w:tc>
          <w:tcPr>
            <w:tcW w:w="15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 Mutató / év</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2011</w:t>
            </w:r>
          </w:p>
        </w:tc>
        <w:tc>
          <w:tcPr>
            <w:tcW w:w="814" w:type="dxa"/>
            <w:tcBorders>
              <w:top w:val="single" w:sz="4" w:space="0" w:color="auto"/>
              <w:left w:val="nil"/>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2012</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2013</w:t>
            </w:r>
          </w:p>
        </w:tc>
        <w:tc>
          <w:tcPr>
            <w:tcW w:w="922" w:type="dxa"/>
            <w:tcBorders>
              <w:top w:val="single" w:sz="4" w:space="0" w:color="auto"/>
              <w:left w:val="nil"/>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2014</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2015</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2016</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2017</w:t>
            </w:r>
          </w:p>
        </w:tc>
        <w:tc>
          <w:tcPr>
            <w:tcW w:w="921" w:type="dxa"/>
            <w:tcBorders>
              <w:top w:val="single" w:sz="4" w:space="0" w:color="auto"/>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2018</w:t>
            </w:r>
          </w:p>
        </w:tc>
        <w:tc>
          <w:tcPr>
            <w:tcW w:w="922" w:type="dxa"/>
            <w:tcBorders>
              <w:top w:val="single" w:sz="4" w:space="0" w:color="auto"/>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2019</w:t>
            </w:r>
          </w:p>
        </w:tc>
      </w:tr>
      <w:tr w:rsidR="000C48D5" w:rsidRPr="000C48D5" w:rsidTr="00F5679C">
        <w:trPr>
          <w:trHeight w:val="315"/>
          <w:jc w:val="center"/>
        </w:trPr>
        <w:tc>
          <w:tcPr>
            <w:tcW w:w="1595" w:type="dxa"/>
            <w:tcBorders>
              <w:top w:val="nil"/>
              <w:left w:val="single" w:sz="4" w:space="0" w:color="auto"/>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Vendégszám</w:t>
            </w:r>
          </w:p>
        </w:tc>
        <w:tc>
          <w:tcPr>
            <w:tcW w:w="85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104 205</w:t>
            </w:r>
          </w:p>
        </w:tc>
        <w:tc>
          <w:tcPr>
            <w:tcW w:w="814"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103 373</w:t>
            </w:r>
          </w:p>
        </w:tc>
        <w:tc>
          <w:tcPr>
            <w:tcW w:w="92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95 108</w:t>
            </w:r>
          </w:p>
        </w:tc>
        <w:tc>
          <w:tcPr>
            <w:tcW w:w="922"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89 684</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103 339</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122 575</w:t>
            </w:r>
          </w:p>
        </w:tc>
        <w:tc>
          <w:tcPr>
            <w:tcW w:w="92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126 485</w:t>
            </w:r>
          </w:p>
        </w:tc>
        <w:tc>
          <w:tcPr>
            <w:tcW w:w="921"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130 903</w:t>
            </w:r>
          </w:p>
        </w:tc>
        <w:tc>
          <w:tcPr>
            <w:tcW w:w="922"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143 784</w:t>
            </w:r>
          </w:p>
        </w:tc>
      </w:tr>
      <w:tr w:rsidR="000C48D5" w:rsidRPr="000C48D5" w:rsidTr="00F5679C">
        <w:trPr>
          <w:trHeight w:val="315"/>
          <w:jc w:val="center"/>
        </w:trPr>
        <w:tc>
          <w:tcPr>
            <w:tcW w:w="1595" w:type="dxa"/>
            <w:tcBorders>
              <w:top w:val="nil"/>
              <w:left w:val="single" w:sz="4" w:space="0" w:color="auto"/>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Vendégéjszaka szám</w:t>
            </w:r>
          </w:p>
        </w:tc>
        <w:tc>
          <w:tcPr>
            <w:tcW w:w="85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340 491</w:t>
            </w:r>
          </w:p>
        </w:tc>
        <w:tc>
          <w:tcPr>
            <w:tcW w:w="814"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334 760</w:t>
            </w:r>
          </w:p>
        </w:tc>
        <w:tc>
          <w:tcPr>
            <w:tcW w:w="92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328 870</w:t>
            </w:r>
          </w:p>
        </w:tc>
        <w:tc>
          <w:tcPr>
            <w:tcW w:w="922"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320 892</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354 362</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420 331</w:t>
            </w:r>
          </w:p>
        </w:tc>
        <w:tc>
          <w:tcPr>
            <w:tcW w:w="92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432 995</w:t>
            </w:r>
          </w:p>
        </w:tc>
        <w:tc>
          <w:tcPr>
            <w:tcW w:w="921"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444 433</w:t>
            </w:r>
          </w:p>
        </w:tc>
        <w:tc>
          <w:tcPr>
            <w:tcW w:w="922"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469 544</w:t>
            </w:r>
          </w:p>
        </w:tc>
      </w:tr>
      <w:tr w:rsidR="000C48D5" w:rsidRPr="000C48D5" w:rsidTr="00F5679C">
        <w:trPr>
          <w:trHeight w:val="315"/>
          <w:jc w:val="center"/>
        </w:trPr>
        <w:tc>
          <w:tcPr>
            <w:tcW w:w="1595" w:type="dxa"/>
            <w:tcBorders>
              <w:top w:val="nil"/>
              <w:left w:val="single" w:sz="4" w:space="0" w:color="auto"/>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Vendégszám változás*</w:t>
            </w:r>
          </w:p>
        </w:tc>
        <w:tc>
          <w:tcPr>
            <w:tcW w:w="85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102%</w:t>
            </w:r>
          </w:p>
        </w:tc>
        <w:tc>
          <w:tcPr>
            <w:tcW w:w="814"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97,70%</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93,00%</w:t>
            </w:r>
          </w:p>
        </w:tc>
        <w:tc>
          <w:tcPr>
            <w:tcW w:w="922"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93,90%</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115,20%</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118,60%</w:t>
            </w:r>
          </w:p>
        </w:tc>
        <w:tc>
          <w:tcPr>
            <w:tcW w:w="92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103,20%</w:t>
            </w:r>
          </w:p>
        </w:tc>
        <w:tc>
          <w:tcPr>
            <w:tcW w:w="921"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103,49%</w:t>
            </w:r>
          </w:p>
        </w:tc>
        <w:tc>
          <w:tcPr>
            <w:tcW w:w="922"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109,84%</w:t>
            </w:r>
          </w:p>
        </w:tc>
      </w:tr>
      <w:tr w:rsidR="000C48D5" w:rsidRPr="000C48D5" w:rsidTr="00F5679C">
        <w:trPr>
          <w:trHeight w:val="315"/>
          <w:jc w:val="center"/>
        </w:trPr>
        <w:tc>
          <w:tcPr>
            <w:tcW w:w="1595" w:type="dxa"/>
            <w:tcBorders>
              <w:top w:val="nil"/>
              <w:left w:val="single" w:sz="4" w:space="0" w:color="auto"/>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Vendégéjszaka- szám változás*</w:t>
            </w:r>
          </w:p>
        </w:tc>
        <w:tc>
          <w:tcPr>
            <w:tcW w:w="85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101,80%</w:t>
            </w:r>
          </w:p>
        </w:tc>
        <w:tc>
          <w:tcPr>
            <w:tcW w:w="814"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97,00%</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98,70%</w:t>
            </w:r>
          </w:p>
        </w:tc>
        <w:tc>
          <w:tcPr>
            <w:tcW w:w="922"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96,00%</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110,40%</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118,60%</w:t>
            </w:r>
          </w:p>
        </w:tc>
        <w:tc>
          <w:tcPr>
            <w:tcW w:w="92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103,00%</w:t>
            </w:r>
          </w:p>
        </w:tc>
        <w:tc>
          <w:tcPr>
            <w:tcW w:w="921"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102,64%</w:t>
            </w:r>
          </w:p>
        </w:tc>
        <w:tc>
          <w:tcPr>
            <w:tcW w:w="922"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105,65%</w:t>
            </w:r>
          </w:p>
        </w:tc>
      </w:tr>
    </w:tbl>
    <w:p w:rsidR="000C48D5" w:rsidRPr="000C48D5" w:rsidRDefault="000C48D5" w:rsidP="002642CA">
      <w:pPr>
        <w:jc w:val="both"/>
        <w:rPr>
          <w:color w:val="FF0000"/>
        </w:rPr>
      </w:pPr>
    </w:p>
    <w:p w:rsidR="000C48D5" w:rsidRPr="000C48D5" w:rsidRDefault="000C48D5" w:rsidP="002642CA">
      <w:pPr>
        <w:jc w:val="both"/>
        <w:rPr>
          <w:color w:val="FF0000"/>
        </w:rPr>
      </w:pPr>
      <w:r w:rsidRPr="000C48D5">
        <w:rPr>
          <w:color w:val="FF0000"/>
        </w:rPr>
        <w:t>A belföldi piac folyamatosan növekszik 2011 óta az utazási szokások változásával, illetve külpiaci átrendeződések okán. Az örömteli folyamatot erősíti, hogy az átlagos tartózkodási idő sem csökkent jelentős mértékben az utóbbi időszakban. Mindezek azt mutatják, hogy Hévíz biztosan alapozhat a belföldi vendégekre. Kiemelt cél Hévízen az átlagárak növekedése és a szolgáltatások minőségi javulása, hogy a helyben elköltött pénzmennyiség növekedni tudjon.</w:t>
      </w:r>
    </w:p>
    <w:p w:rsidR="000C48D5" w:rsidRPr="000C48D5" w:rsidRDefault="000C48D5" w:rsidP="002642CA">
      <w:pPr>
        <w:jc w:val="both"/>
        <w:rPr>
          <w:color w:val="FF0000"/>
        </w:rPr>
      </w:pPr>
      <w:r w:rsidRPr="000C48D5">
        <w:rPr>
          <w:color w:val="FF0000"/>
        </w:rPr>
        <w:t>A SZÉP-kártya mint fizetési eszköz, ami kiemelten előtérbe fog kerülni a 2020. évben. A lakosság motivációja a visszajelzések alapján nem csökkent, sőt nőtt az utóbbi időszakban.</w:t>
      </w:r>
    </w:p>
    <w:p w:rsidR="000C48D5" w:rsidRPr="000C48D5" w:rsidRDefault="000C48D5" w:rsidP="002642CA">
      <w:pPr>
        <w:jc w:val="both"/>
        <w:rPr>
          <w:b/>
          <w:color w:val="FF0000"/>
        </w:rPr>
      </w:pPr>
      <w:r w:rsidRPr="000C48D5">
        <w:rPr>
          <w:b/>
          <w:color w:val="FF0000"/>
        </w:rPr>
        <w:t>Orosz vendégforgalom változása 2011 – 2019 között</w:t>
      </w:r>
    </w:p>
    <w:tbl>
      <w:tblPr>
        <w:tblW w:w="0" w:type="auto"/>
        <w:jc w:val="center"/>
        <w:tblLayout w:type="fixed"/>
        <w:tblCellMar>
          <w:left w:w="70" w:type="dxa"/>
          <w:right w:w="70" w:type="dxa"/>
        </w:tblCellMar>
        <w:tblLook w:val="04A0" w:firstRow="1" w:lastRow="0" w:firstColumn="1" w:lastColumn="0" w:noHBand="0" w:noVBand="1"/>
      </w:tblPr>
      <w:tblGrid>
        <w:gridCol w:w="1595"/>
        <w:gridCol w:w="851"/>
        <w:gridCol w:w="814"/>
        <w:gridCol w:w="921"/>
        <w:gridCol w:w="922"/>
        <w:gridCol w:w="921"/>
        <w:gridCol w:w="921"/>
        <w:gridCol w:w="921"/>
        <w:gridCol w:w="921"/>
        <w:gridCol w:w="922"/>
      </w:tblGrid>
      <w:tr w:rsidR="000C48D5" w:rsidRPr="000C48D5" w:rsidTr="00F5679C">
        <w:trPr>
          <w:trHeight w:val="315"/>
          <w:jc w:val="center"/>
        </w:trPr>
        <w:tc>
          <w:tcPr>
            <w:tcW w:w="15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 Mutató / év</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2011</w:t>
            </w:r>
          </w:p>
        </w:tc>
        <w:tc>
          <w:tcPr>
            <w:tcW w:w="814" w:type="dxa"/>
            <w:tcBorders>
              <w:top w:val="single" w:sz="4" w:space="0" w:color="auto"/>
              <w:left w:val="nil"/>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2012</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2013</w:t>
            </w:r>
          </w:p>
        </w:tc>
        <w:tc>
          <w:tcPr>
            <w:tcW w:w="922" w:type="dxa"/>
            <w:tcBorders>
              <w:top w:val="single" w:sz="4" w:space="0" w:color="auto"/>
              <w:left w:val="nil"/>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2014</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2015</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2016</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2017</w:t>
            </w:r>
          </w:p>
        </w:tc>
        <w:tc>
          <w:tcPr>
            <w:tcW w:w="921" w:type="dxa"/>
            <w:tcBorders>
              <w:top w:val="single" w:sz="4" w:space="0" w:color="auto"/>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2018</w:t>
            </w:r>
          </w:p>
        </w:tc>
        <w:tc>
          <w:tcPr>
            <w:tcW w:w="922" w:type="dxa"/>
            <w:tcBorders>
              <w:top w:val="single" w:sz="4" w:space="0" w:color="auto"/>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2019</w:t>
            </w:r>
          </w:p>
        </w:tc>
      </w:tr>
      <w:tr w:rsidR="000C48D5" w:rsidRPr="000C48D5" w:rsidTr="00F5679C">
        <w:trPr>
          <w:trHeight w:val="315"/>
          <w:jc w:val="center"/>
        </w:trPr>
        <w:tc>
          <w:tcPr>
            <w:tcW w:w="1595" w:type="dxa"/>
            <w:tcBorders>
              <w:top w:val="nil"/>
              <w:left w:val="single" w:sz="4" w:space="0" w:color="auto"/>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Vendégszám</w:t>
            </w:r>
          </w:p>
        </w:tc>
        <w:tc>
          <w:tcPr>
            <w:tcW w:w="85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13 445</w:t>
            </w:r>
          </w:p>
        </w:tc>
        <w:tc>
          <w:tcPr>
            <w:tcW w:w="814"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18 399</w:t>
            </w:r>
          </w:p>
        </w:tc>
        <w:tc>
          <w:tcPr>
            <w:tcW w:w="92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24 565</w:t>
            </w:r>
          </w:p>
        </w:tc>
        <w:tc>
          <w:tcPr>
            <w:tcW w:w="922"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23 535</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16 515</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17 276</w:t>
            </w:r>
          </w:p>
        </w:tc>
        <w:tc>
          <w:tcPr>
            <w:tcW w:w="92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22 080</w:t>
            </w:r>
          </w:p>
        </w:tc>
        <w:tc>
          <w:tcPr>
            <w:tcW w:w="921"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20 728</w:t>
            </w:r>
          </w:p>
        </w:tc>
        <w:tc>
          <w:tcPr>
            <w:tcW w:w="922"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20 552</w:t>
            </w:r>
          </w:p>
        </w:tc>
      </w:tr>
      <w:tr w:rsidR="000C48D5" w:rsidRPr="000C48D5" w:rsidTr="00F5679C">
        <w:trPr>
          <w:trHeight w:val="315"/>
          <w:jc w:val="center"/>
        </w:trPr>
        <w:tc>
          <w:tcPr>
            <w:tcW w:w="1595" w:type="dxa"/>
            <w:tcBorders>
              <w:top w:val="nil"/>
              <w:left w:val="single" w:sz="4" w:space="0" w:color="auto"/>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Vendégéjszaka szám</w:t>
            </w:r>
          </w:p>
        </w:tc>
        <w:tc>
          <w:tcPr>
            <w:tcW w:w="85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127 708</w:t>
            </w:r>
          </w:p>
        </w:tc>
        <w:tc>
          <w:tcPr>
            <w:tcW w:w="814"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181 232</w:t>
            </w:r>
          </w:p>
        </w:tc>
        <w:tc>
          <w:tcPr>
            <w:tcW w:w="92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247 275</w:t>
            </w:r>
          </w:p>
        </w:tc>
        <w:tc>
          <w:tcPr>
            <w:tcW w:w="922"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243 375</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158 429</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168 650</w:t>
            </w:r>
          </w:p>
        </w:tc>
        <w:tc>
          <w:tcPr>
            <w:tcW w:w="92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214 703</w:t>
            </w:r>
          </w:p>
        </w:tc>
        <w:tc>
          <w:tcPr>
            <w:tcW w:w="921"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201 215</w:t>
            </w:r>
          </w:p>
        </w:tc>
        <w:tc>
          <w:tcPr>
            <w:tcW w:w="922"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197 582</w:t>
            </w:r>
          </w:p>
        </w:tc>
      </w:tr>
      <w:tr w:rsidR="000C48D5" w:rsidRPr="000C48D5" w:rsidTr="00F5679C">
        <w:trPr>
          <w:trHeight w:val="315"/>
          <w:jc w:val="center"/>
        </w:trPr>
        <w:tc>
          <w:tcPr>
            <w:tcW w:w="1595" w:type="dxa"/>
            <w:tcBorders>
              <w:top w:val="nil"/>
              <w:left w:val="single" w:sz="4" w:space="0" w:color="auto"/>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Vendégszám változás*</w:t>
            </w:r>
          </w:p>
        </w:tc>
        <w:tc>
          <w:tcPr>
            <w:tcW w:w="85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158,90%</w:t>
            </w:r>
          </w:p>
        </w:tc>
        <w:tc>
          <w:tcPr>
            <w:tcW w:w="814"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135,70%</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133,50%</w:t>
            </w:r>
          </w:p>
        </w:tc>
        <w:tc>
          <w:tcPr>
            <w:tcW w:w="922"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95,40%</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70,20%</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104,61%</w:t>
            </w:r>
          </w:p>
        </w:tc>
        <w:tc>
          <w:tcPr>
            <w:tcW w:w="92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127,80%</w:t>
            </w:r>
          </w:p>
        </w:tc>
        <w:tc>
          <w:tcPr>
            <w:tcW w:w="921"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94,18%</w:t>
            </w:r>
          </w:p>
        </w:tc>
        <w:tc>
          <w:tcPr>
            <w:tcW w:w="922"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99,15%</w:t>
            </w:r>
          </w:p>
        </w:tc>
      </w:tr>
      <w:tr w:rsidR="000C48D5" w:rsidRPr="000C48D5" w:rsidTr="00F5679C">
        <w:trPr>
          <w:trHeight w:val="315"/>
          <w:jc w:val="center"/>
        </w:trPr>
        <w:tc>
          <w:tcPr>
            <w:tcW w:w="1595" w:type="dxa"/>
            <w:tcBorders>
              <w:top w:val="nil"/>
              <w:left w:val="single" w:sz="4" w:space="0" w:color="auto"/>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Vendégéjszaka -szám változás*</w:t>
            </w:r>
          </w:p>
        </w:tc>
        <w:tc>
          <w:tcPr>
            <w:tcW w:w="85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166,70%</w:t>
            </w:r>
          </w:p>
        </w:tc>
        <w:tc>
          <w:tcPr>
            <w:tcW w:w="814"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141,50%</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136,40%</w:t>
            </w:r>
          </w:p>
        </w:tc>
        <w:tc>
          <w:tcPr>
            <w:tcW w:w="922"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98,10%</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65,10%</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106,45%</w:t>
            </w:r>
          </w:p>
        </w:tc>
        <w:tc>
          <w:tcPr>
            <w:tcW w:w="92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127,30%</w:t>
            </w:r>
          </w:p>
        </w:tc>
        <w:tc>
          <w:tcPr>
            <w:tcW w:w="921"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94,01%</w:t>
            </w:r>
          </w:p>
        </w:tc>
        <w:tc>
          <w:tcPr>
            <w:tcW w:w="922"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98,19%</w:t>
            </w:r>
          </w:p>
        </w:tc>
      </w:tr>
    </w:tbl>
    <w:p w:rsidR="000C48D5" w:rsidRPr="000C48D5" w:rsidRDefault="000C48D5" w:rsidP="002642CA">
      <w:pPr>
        <w:jc w:val="both"/>
        <w:rPr>
          <w:color w:val="FF0000"/>
        </w:rPr>
      </w:pPr>
      <w:r w:rsidRPr="000C48D5">
        <w:rPr>
          <w:color w:val="FF0000"/>
        </w:rPr>
        <w:t>A 2013. év óta egy változó mértékben csökkenő, kissé hullámzó adatok láthatóak. Célszerű lenne a monitoring-tevékenységet fokozni a szolgáltatóknál és az információs irodákban, annak érdekében, hogy  a változásokat okozó hatásokat jobban megismerjük.</w:t>
      </w:r>
    </w:p>
    <w:p w:rsidR="000C48D5" w:rsidRPr="000C48D5" w:rsidRDefault="000C48D5" w:rsidP="002642CA">
      <w:pPr>
        <w:jc w:val="both"/>
        <w:rPr>
          <w:b/>
          <w:color w:val="FF0000"/>
        </w:rPr>
      </w:pPr>
      <w:r w:rsidRPr="000C48D5">
        <w:rPr>
          <w:b/>
          <w:color w:val="FF0000"/>
        </w:rPr>
        <w:t>Német vendégforgalom változása 2011 – 2019 között</w:t>
      </w:r>
    </w:p>
    <w:p w:rsidR="000C48D5" w:rsidRPr="000C48D5" w:rsidRDefault="000C48D5" w:rsidP="002642CA">
      <w:pPr>
        <w:spacing w:after="0" w:line="240" w:lineRule="auto"/>
        <w:ind w:firstLine="708"/>
        <w:jc w:val="both"/>
        <w:rPr>
          <w:b/>
          <w:bCs/>
          <w:iCs/>
          <w:color w:val="FF0000"/>
          <w:sz w:val="24"/>
          <w:szCs w:val="24"/>
        </w:rPr>
      </w:pPr>
    </w:p>
    <w:tbl>
      <w:tblPr>
        <w:tblW w:w="0" w:type="auto"/>
        <w:jc w:val="center"/>
        <w:tblLayout w:type="fixed"/>
        <w:tblCellMar>
          <w:left w:w="70" w:type="dxa"/>
          <w:right w:w="70" w:type="dxa"/>
        </w:tblCellMar>
        <w:tblLook w:val="04A0" w:firstRow="1" w:lastRow="0" w:firstColumn="1" w:lastColumn="0" w:noHBand="0" w:noVBand="1"/>
      </w:tblPr>
      <w:tblGrid>
        <w:gridCol w:w="1595"/>
        <w:gridCol w:w="851"/>
        <w:gridCol w:w="814"/>
        <w:gridCol w:w="921"/>
        <w:gridCol w:w="922"/>
        <w:gridCol w:w="921"/>
        <w:gridCol w:w="921"/>
        <w:gridCol w:w="921"/>
        <w:gridCol w:w="921"/>
        <w:gridCol w:w="922"/>
      </w:tblGrid>
      <w:tr w:rsidR="000C48D5" w:rsidRPr="000C48D5" w:rsidTr="00F5679C">
        <w:trPr>
          <w:trHeight w:val="315"/>
          <w:jc w:val="center"/>
        </w:trPr>
        <w:tc>
          <w:tcPr>
            <w:tcW w:w="15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 Mutató / év</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2011</w:t>
            </w:r>
          </w:p>
        </w:tc>
        <w:tc>
          <w:tcPr>
            <w:tcW w:w="814" w:type="dxa"/>
            <w:tcBorders>
              <w:top w:val="single" w:sz="4" w:space="0" w:color="auto"/>
              <w:left w:val="nil"/>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2012</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2013</w:t>
            </w:r>
          </w:p>
        </w:tc>
        <w:tc>
          <w:tcPr>
            <w:tcW w:w="922" w:type="dxa"/>
            <w:tcBorders>
              <w:top w:val="single" w:sz="4" w:space="0" w:color="auto"/>
              <w:left w:val="nil"/>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2014</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2015</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2016</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2017</w:t>
            </w:r>
          </w:p>
        </w:tc>
        <w:tc>
          <w:tcPr>
            <w:tcW w:w="921" w:type="dxa"/>
            <w:tcBorders>
              <w:top w:val="single" w:sz="4" w:space="0" w:color="auto"/>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2018</w:t>
            </w:r>
          </w:p>
        </w:tc>
        <w:tc>
          <w:tcPr>
            <w:tcW w:w="922" w:type="dxa"/>
            <w:tcBorders>
              <w:top w:val="single" w:sz="4" w:space="0" w:color="auto"/>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2019</w:t>
            </w:r>
          </w:p>
        </w:tc>
      </w:tr>
      <w:tr w:rsidR="000C48D5" w:rsidRPr="000C48D5" w:rsidTr="00F5679C">
        <w:trPr>
          <w:trHeight w:val="315"/>
          <w:jc w:val="center"/>
        </w:trPr>
        <w:tc>
          <w:tcPr>
            <w:tcW w:w="1595" w:type="dxa"/>
            <w:tcBorders>
              <w:top w:val="nil"/>
              <w:left w:val="single" w:sz="4" w:space="0" w:color="auto"/>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Vendégszám</w:t>
            </w:r>
          </w:p>
        </w:tc>
        <w:tc>
          <w:tcPr>
            <w:tcW w:w="85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27 391</w:t>
            </w:r>
          </w:p>
        </w:tc>
        <w:tc>
          <w:tcPr>
            <w:tcW w:w="814"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25 928</w:t>
            </w:r>
          </w:p>
        </w:tc>
        <w:tc>
          <w:tcPr>
            <w:tcW w:w="92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24 077</w:t>
            </w:r>
          </w:p>
        </w:tc>
        <w:tc>
          <w:tcPr>
            <w:tcW w:w="922"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20 587</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19 209</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20 431</w:t>
            </w:r>
          </w:p>
        </w:tc>
        <w:tc>
          <w:tcPr>
            <w:tcW w:w="92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21 408</w:t>
            </w:r>
          </w:p>
        </w:tc>
        <w:tc>
          <w:tcPr>
            <w:tcW w:w="921"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21 322</w:t>
            </w:r>
          </w:p>
        </w:tc>
        <w:tc>
          <w:tcPr>
            <w:tcW w:w="922"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20 576</w:t>
            </w:r>
          </w:p>
        </w:tc>
      </w:tr>
      <w:tr w:rsidR="000C48D5" w:rsidRPr="000C48D5" w:rsidTr="00F5679C">
        <w:trPr>
          <w:trHeight w:val="315"/>
          <w:jc w:val="center"/>
        </w:trPr>
        <w:tc>
          <w:tcPr>
            <w:tcW w:w="1595" w:type="dxa"/>
            <w:tcBorders>
              <w:top w:val="nil"/>
              <w:left w:val="single" w:sz="4" w:space="0" w:color="auto"/>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Vendégéjszaka szám</w:t>
            </w:r>
          </w:p>
        </w:tc>
        <w:tc>
          <w:tcPr>
            <w:tcW w:w="85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278 463</w:t>
            </w:r>
          </w:p>
        </w:tc>
        <w:tc>
          <w:tcPr>
            <w:tcW w:w="814"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258 012</w:t>
            </w:r>
          </w:p>
        </w:tc>
        <w:tc>
          <w:tcPr>
            <w:tcW w:w="92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235 057</w:t>
            </w:r>
          </w:p>
        </w:tc>
        <w:tc>
          <w:tcPr>
            <w:tcW w:w="922"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207 533</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189 021</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198 910</w:t>
            </w:r>
          </w:p>
        </w:tc>
        <w:tc>
          <w:tcPr>
            <w:tcW w:w="92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205 081</w:t>
            </w:r>
          </w:p>
        </w:tc>
        <w:tc>
          <w:tcPr>
            <w:tcW w:w="921"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202 095</w:t>
            </w:r>
          </w:p>
        </w:tc>
        <w:tc>
          <w:tcPr>
            <w:tcW w:w="922"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189 375</w:t>
            </w:r>
          </w:p>
        </w:tc>
      </w:tr>
      <w:tr w:rsidR="000C48D5" w:rsidRPr="000C48D5" w:rsidTr="00F5679C">
        <w:trPr>
          <w:trHeight w:val="315"/>
          <w:jc w:val="center"/>
        </w:trPr>
        <w:tc>
          <w:tcPr>
            <w:tcW w:w="1595" w:type="dxa"/>
            <w:tcBorders>
              <w:top w:val="nil"/>
              <w:left w:val="single" w:sz="4" w:space="0" w:color="auto"/>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Vendégszám változás*</w:t>
            </w:r>
          </w:p>
        </w:tc>
        <w:tc>
          <w:tcPr>
            <w:tcW w:w="85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100,30%</w:t>
            </w:r>
          </w:p>
        </w:tc>
        <w:tc>
          <w:tcPr>
            <w:tcW w:w="814"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94,20%</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91,80%</w:t>
            </w:r>
          </w:p>
        </w:tc>
        <w:tc>
          <w:tcPr>
            <w:tcW w:w="922"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86,00%</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93,30%</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106,36%</w:t>
            </w:r>
          </w:p>
        </w:tc>
        <w:tc>
          <w:tcPr>
            <w:tcW w:w="92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104,80%</w:t>
            </w:r>
          </w:p>
        </w:tc>
        <w:tc>
          <w:tcPr>
            <w:tcW w:w="921"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99,74%</w:t>
            </w:r>
          </w:p>
        </w:tc>
        <w:tc>
          <w:tcPr>
            <w:tcW w:w="922"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97,35%</w:t>
            </w:r>
          </w:p>
        </w:tc>
      </w:tr>
      <w:tr w:rsidR="000C48D5" w:rsidRPr="000C48D5" w:rsidTr="00F5679C">
        <w:trPr>
          <w:trHeight w:val="315"/>
          <w:jc w:val="center"/>
        </w:trPr>
        <w:tc>
          <w:tcPr>
            <w:tcW w:w="1595" w:type="dxa"/>
            <w:tcBorders>
              <w:top w:val="nil"/>
              <w:left w:val="single" w:sz="4" w:space="0" w:color="auto"/>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Vendégéjszaka szám változás*</w:t>
            </w:r>
          </w:p>
        </w:tc>
        <w:tc>
          <w:tcPr>
            <w:tcW w:w="85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99,30%</w:t>
            </w:r>
          </w:p>
        </w:tc>
        <w:tc>
          <w:tcPr>
            <w:tcW w:w="814"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92,50%</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90,90%</w:t>
            </w:r>
          </w:p>
        </w:tc>
        <w:tc>
          <w:tcPr>
            <w:tcW w:w="922"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88,40%</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91,10%</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105,23%</w:t>
            </w:r>
          </w:p>
        </w:tc>
        <w:tc>
          <w:tcPr>
            <w:tcW w:w="92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103,10%</w:t>
            </w:r>
          </w:p>
        </w:tc>
        <w:tc>
          <w:tcPr>
            <w:tcW w:w="921"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98,58%</w:t>
            </w:r>
          </w:p>
        </w:tc>
        <w:tc>
          <w:tcPr>
            <w:tcW w:w="922"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93,71</w:t>
            </w:r>
          </w:p>
        </w:tc>
      </w:tr>
    </w:tbl>
    <w:p w:rsidR="000C48D5" w:rsidRPr="000C48D5" w:rsidRDefault="000C48D5" w:rsidP="002642CA">
      <w:pPr>
        <w:jc w:val="both"/>
        <w:rPr>
          <w:color w:val="FF0000"/>
        </w:rPr>
      </w:pPr>
      <w:r w:rsidRPr="000C48D5">
        <w:rPr>
          <w:color w:val="FF0000"/>
        </w:rPr>
        <w:lastRenderedPageBreak/>
        <w:t>A német piacon, hasonlóan az oroszhoz hullámzó csökkenés jellemző. A visszajelzések alapján szükséges a célcsoport „új” korosztályának megszólítása, annak érdekében, hogy „új” törzsvendégek érkezzenek Hévízre. Szükséges lehet a gyógyászati marketing újragondolása, új típusú kezelések bevezetése, illetve az országmarketing tevékenység erősítése a desztinációs marketingen túl, továbbá a jelenlegi értékesítési csatornák felülvizsgálata.</w:t>
      </w:r>
    </w:p>
    <w:p w:rsidR="000C48D5" w:rsidRPr="000C48D5" w:rsidRDefault="000C48D5" w:rsidP="002642CA">
      <w:pPr>
        <w:jc w:val="both"/>
        <w:rPr>
          <w:b/>
          <w:color w:val="FF0000"/>
        </w:rPr>
      </w:pPr>
      <w:r w:rsidRPr="000C48D5">
        <w:rPr>
          <w:b/>
          <w:color w:val="FF0000"/>
        </w:rPr>
        <w:t>Osztrák vendégforgalom változása 2011 – 2019 között</w:t>
      </w:r>
    </w:p>
    <w:p w:rsidR="000C48D5" w:rsidRPr="000C48D5" w:rsidRDefault="000C48D5" w:rsidP="002642CA">
      <w:pPr>
        <w:spacing w:after="0" w:line="240" w:lineRule="auto"/>
        <w:ind w:firstLine="708"/>
        <w:jc w:val="both"/>
        <w:rPr>
          <w:b/>
          <w:bCs/>
          <w:iCs/>
          <w:color w:val="FF0000"/>
          <w:sz w:val="24"/>
          <w:szCs w:val="24"/>
        </w:rPr>
      </w:pPr>
    </w:p>
    <w:tbl>
      <w:tblPr>
        <w:tblW w:w="0" w:type="auto"/>
        <w:jc w:val="center"/>
        <w:tblLayout w:type="fixed"/>
        <w:tblCellMar>
          <w:left w:w="70" w:type="dxa"/>
          <w:right w:w="70" w:type="dxa"/>
        </w:tblCellMar>
        <w:tblLook w:val="04A0" w:firstRow="1" w:lastRow="0" w:firstColumn="1" w:lastColumn="0" w:noHBand="0" w:noVBand="1"/>
      </w:tblPr>
      <w:tblGrid>
        <w:gridCol w:w="1595"/>
        <w:gridCol w:w="851"/>
        <w:gridCol w:w="814"/>
        <w:gridCol w:w="921"/>
        <w:gridCol w:w="922"/>
        <w:gridCol w:w="921"/>
        <w:gridCol w:w="921"/>
        <w:gridCol w:w="921"/>
        <w:gridCol w:w="921"/>
        <w:gridCol w:w="922"/>
      </w:tblGrid>
      <w:tr w:rsidR="000C48D5" w:rsidRPr="000C48D5" w:rsidTr="00F5679C">
        <w:trPr>
          <w:trHeight w:val="315"/>
          <w:jc w:val="center"/>
        </w:trPr>
        <w:tc>
          <w:tcPr>
            <w:tcW w:w="15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 Mutató / év</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2011</w:t>
            </w:r>
          </w:p>
        </w:tc>
        <w:tc>
          <w:tcPr>
            <w:tcW w:w="814" w:type="dxa"/>
            <w:tcBorders>
              <w:top w:val="single" w:sz="4" w:space="0" w:color="auto"/>
              <w:left w:val="nil"/>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2012</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2013</w:t>
            </w:r>
          </w:p>
        </w:tc>
        <w:tc>
          <w:tcPr>
            <w:tcW w:w="922" w:type="dxa"/>
            <w:tcBorders>
              <w:top w:val="single" w:sz="4" w:space="0" w:color="auto"/>
              <w:left w:val="nil"/>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2014</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2015</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2016</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2017</w:t>
            </w:r>
          </w:p>
        </w:tc>
        <w:tc>
          <w:tcPr>
            <w:tcW w:w="921" w:type="dxa"/>
            <w:tcBorders>
              <w:top w:val="single" w:sz="4" w:space="0" w:color="auto"/>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2018</w:t>
            </w:r>
          </w:p>
        </w:tc>
        <w:tc>
          <w:tcPr>
            <w:tcW w:w="922" w:type="dxa"/>
            <w:tcBorders>
              <w:top w:val="single" w:sz="4" w:space="0" w:color="auto"/>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2019</w:t>
            </w:r>
          </w:p>
        </w:tc>
      </w:tr>
      <w:tr w:rsidR="000C48D5" w:rsidRPr="000C48D5" w:rsidTr="00F5679C">
        <w:trPr>
          <w:trHeight w:val="315"/>
          <w:jc w:val="center"/>
        </w:trPr>
        <w:tc>
          <w:tcPr>
            <w:tcW w:w="1595" w:type="dxa"/>
            <w:tcBorders>
              <w:top w:val="nil"/>
              <w:left w:val="single" w:sz="4" w:space="0" w:color="auto"/>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Vendégszám</w:t>
            </w:r>
          </w:p>
        </w:tc>
        <w:tc>
          <w:tcPr>
            <w:tcW w:w="85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24 248</w:t>
            </w:r>
          </w:p>
        </w:tc>
        <w:tc>
          <w:tcPr>
            <w:tcW w:w="814"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22 864</w:t>
            </w:r>
          </w:p>
        </w:tc>
        <w:tc>
          <w:tcPr>
            <w:tcW w:w="92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22 061</w:t>
            </w:r>
          </w:p>
        </w:tc>
        <w:tc>
          <w:tcPr>
            <w:tcW w:w="922"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20 086</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19 284</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23 848</w:t>
            </w:r>
          </w:p>
        </w:tc>
        <w:tc>
          <w:tcPr>
            <w:tcW w:w="92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23 862</w:t>
            </w:r>
          </w:p>
        </w:tc>
        <w:tc>
          <w:tcPr>
            <w:tcW w:w="921"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23 864</w:t>
            </w:r>
          </w:p>
        </w:tc>
        <w:tc>
          <w:tcPr>
            <w:tcW w:w="922"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23 488</w:t>
            </w:r>
          </w:p>
        </w:tc>
      </w:tr>
      <w:tr w:rsidR="000C48D5" w:rsidRPr="000C48D5" w:rsidTr="00F5679C">
        <w:trPr>
          <w:trHeight w:val="315"/>
          <w:jc w:val="center"/>
        </w:trPr>
        <w:tc>
          <w:tcPr>
            <w:tcW w:w="1595" w:type="dxa"/>
            <w:tcBorders>
              <w:top w:val="nil"/>
              <w:left w:val="single" w:sz="4" w:space="0" w:color="auto"/>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Vendégéjszaka szám</w:t>
            </w:r>
          </w:p>
        </w:tc>
        <w:tc>
          <w:tcPr>
            <w:tcW w:w="85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102 586</w:t>
            </w:r>
          </w:p>
        </w:tc>
        <w:tc>
          <w:tcPr>
            <w:tcW w:w="814"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96 647</w:t>
            </w:r>
          </w:p>
        </w:tc>
        <w:tc>
          <w:tcPr>
            <w:tcW w:w="92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92 239</w:t>
            </w:r>
          </w:p>
        </w:tc>
        <w:tc>
          <w:tcPr>
            <w:tcW w:w="922"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83 492</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79 386</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93 193</w:t>
            </w:r>
          </w:p>
        </w:tc>
        <w:tc>
          <w:tcPr>
            <w:tcW w:w="92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92 554</w:t>
            </w:r>
          </w:p>
        </w:tc>
        <w:tc>
          <w:tcPr>
            <w:tcW w:w="921"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92 494</w:t>
            </w:r>
          </w:p>
        </w:tc>
        <w:tc>
          <w:tcPr>
            <w:tcW w:w="922"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89 905</w:t>
            </w:r>
          </w:p>
        </w:tc>
      </w:tr>
      <w:tr w:rsidR="000C48D5" w:rsidRPr="000C48D5" w:rsidTr="00F5679C">
        <w:trPr>
          <w:trHeight w:val="315"/>
          <w:jc w:val="center"/>
        </w:trPr>
        <w:tc>
          <w:tcPr>
            <w:tcW w:w="1595" w:type="dxa"/>
            <w:tcBorders>
              <w:top w:val="nil"/>
              <w:left w:val="single" w:sz="4" w:space="0" w:color="auto"/>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Vendégszám változás*</w:t>
            </w:r>
          </w:p>
        </w:tc>
        <w:tc>
          <w:tcPr>
            <w:tcW w:w="85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91,60%</w:t>
            </w:r>
          </w:p>
        </w:tc>
        <w:tc>
          <w:tcPr>
            <w:tcW w:w="814"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92,10%</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96,30%</w:t>
            </w:r>
          </w:p>
        </w:tc>
        <w:tc>
          <w:tcPr>
            <w:tcW w:w="922"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89,60%</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96,0%</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123,60%</w:t>
            </w:r>
          </w:p>
        </w:tc>
        <w:tc>
          <w:tcPr>
            <w:tcW w:w="92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100,10%</w:t>
            </w:r>
          </w:p>
        </w:tc>
        <w:tc>
          <w:tcPr>
            <w:tcW w:w="921"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99,94%</w:t>
            </w:r>
          </w:p>
        </w:tc>
        <w:tc>
          <w:tcPr>
            <w:tcW w:w="922"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98,42%</w:t>
            </w:r>
          </w:p>
        </w:tc>
      </w:tr>
      <w:tr w:rsidR="000C48D5" w:rsidRPr="000C48D5" w:rsidTr="00F5679C">
        <w:trPr>
          <w:trHeight w:val="315"/>
          <w:jc w:val="center"/>
        </w:trPr>
        <w:tc>
          <w:tcPr>
            <w:tcW w:w="1595" w:type="dxa"/>
            <w:tcBorders>
              <w:top w:val="nil"/>
              <w:left w:val="single" w:sz="4" w:space="0" w:color="auto"/>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Vendégéjszaka szám változás*</w:t>
            </w:r>
          </w:p>
        </w:tc>
        <w:tc>
          <w:tcPr>
            <w:tcW w:w="85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89,30%</w:t>
            </w:r>
          </w:p>
        </w:tc>
        <w:tc>
          <w:tcPr>
            <w:tcW w:w="814"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92,20%</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95,30%</w:t>
            </w:r>
          </w:p>
        </w:tc>
        <w:tc>
          <w:tcPr>
            <w:tcW w:w="922"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93,0%</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95,10%</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117,40%</w:t>
            </w:r>
          </w:p>
        </w:tc>
        <w:tc>
          <w:tcPr>
            <w:tcW w:w="92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99,30%</w:t>
            </w:r>
          </w:p>
        </w:tc>
        <w:tc>
          <w:tcPr>
            <w:tcW w:w="921"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99,61%</w:t>
            </w:r>
          </w:p>
        </w:tc>
        <w:tc>
          <w:tcPr>
            <w:tcW w:w="922"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97,20%</w:t>
            </w:r>
          </w:p>
        </w:tc>
      </w:tr>
    </w:tbl>
    <w:p w:rsidR="000C48D5" w:rsidRPr="000C48D5" w:rsidRDefault="000C48D5" w:rsidP="000C48D5">
      <w:pPr>
        <w:rPr>
          <w:color w:val="FF0000"/>
        </w:rPr>
      </w:pPr>
    </w:p>
    <w:p w:rsidR="000C48D5" w:rsidRPr="000C48D5" w:rsidRDefault="000C48D5" w:rsidP="002642CA">
      <w:pPr>
        <w:jc w:val="both"/>
        <w:rPr>
          <w:color w:val="FF0000"/>
        </w:rPr>
      </w:pPr>
      <w:r w:rsidRPr="000C48D5">
        <w:rPr>
          <w:color w:val="FF0000"/>
        </w:rPr>
        <w:t>Az osztrák piacon kiemelt jelentőséggel bír a minőségi szolgáltatások értékesítése, nem az árverseny az, ami eredményre vezet ezen a piacon sem. Környezettudatos, egyedi szolgáltatások (pl. gyerekmentes szálláshelyek, zónák, stb.) kiemelését tanácsoljuk az osztrák piacon, így akár stagnáló vendégéjszaka-szám mellett is magasabb bevételeket tud biztosítani a szolgáltatók számára.</w:t>
      </w:r>
    </w:p>
    <w:p w:rsidR="000C48D5" w:rsidRPr="000C48D5" w:rsidRDefault="000C48D5" w:rsidP="002642CA">
      <w:pPr>
        <w:jc w:val="both"/>
        <w:rPr>
          <w:b/>
          <w:color w:val="FF0000"/>
        </w:rPr>
      </w:pPr>
      <w:r w:rsidRPr="000C48D5">
        <w:rPr>
          <w:b/>
          <w:color w:val="FF0000"/>
        </w:rPr>
        <w:t>Cseh vendégforgalom változása 2011 – 2019 között</w:t>
      </w:r>
    </w:p>
    <w:p w:rsidR="000C48D5" w:rsidRPr="000C48D5" w:rsidRDefault="000C48D5" w:rsidP="002642CA">
      <w:pPr>
        <w:spacing w:after="0" w:line="240" w:lineRule="auto"/>
        <w:ind w:firstLine="708"/>
        <w:jc w:val="both"/>
        <w:rPr>
          <w:b/>
          <w:bCs/>
          <w:iCs/>
          <w:color w:val="FF0000"/>
          <w:sz w:val="24"/>
          <w:szCs w:val="24"/>
        </w:rPr>
      </w:pPr>
    </w:p>
    <w:tbl>
      <w:tblPr>
        <w:tblW w:w="0" w:type="auto"/>
        <w:jc w:val="center"/>
        <w:tblLayout w:type="fixed"/>
        <w:tblCellMar>
          <w:left w:w="70" w:type="dxa"/>
          <w:right w:w="70" w:type="dxa"/>
        </w:tblCellMar>
        <w:tblLook w:val="04A0" w:firstRow="1" w:lastRow="0" w:firstColumn="1" w:lastColumn="0" w:noHBand="0" w:noVBand="1"/>
      </w:tblPr>
      <w:tblGrid>
        <w:gridCol w:w="1595"/>
        <w:gridCol w:w="851"/>
        <w:gridCol w:w="814"/>
        <w:gridCol w:w="921"/>
        <w:gridCol w:w="922"/>
        <w:gridCol w:w="921"/>
        <w:gridCol w:w="921"/>
        <w:gridCol w:w="921"/>
        <w:gridCol w:w="921"/>
        <w:gridCol w:w="922"/>
      </w:tblGrid>
      <w:tr w:rsidR="000C48D5" w:rsidRPr="000C48D5" w:rsidTr="00F5679C">
        <w:trPr>
          <w:trHeight w:val="315"/>
          <w:jc w:val="center"/>
        </w:trPr>
        <w:tc>
          <w:tcPr>
            <w:tcW w:w="15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 Mutató / év</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2011</w:t>
            </w:r>
          </w:p>
        </w:tc>
        <w:tc>
          <w:tcPr>
            <w:tcW w:w="814" w:type="dxa"/>
            <w:tcBorders>
              <w:top w:val="single" w:sz="4" w:space="0" w:color="auto"/>
              <w:left w:val="nil"/>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2012</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2013</w:t>
            </w:r>
          </w:p>
        </w:tc>
        <w:tc>
          <w:tcPr>
            <w:tcW w:w="922" w:type="dxa"/>
            <w:tcBorders>
              <w:top w:val="single" w:sz="4" w:space="0" w:color="auto"/>
              <w:left w:val="nil"/>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2014</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2015</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2016</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2017</w:t>
            </w:r>
          </w:p>
        </w:tc>
        <w:tc>
          <w:tcPr>
            <w:tcW w:w="921" w:type="dxa"/>
            <w:tcBorders>
              <w:top w:val="single" w:sz="4" w:space="0" w:color="auto"/>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2018</w:t>
            </w:r>
          </w:p>
        </w:tc>
        <w:tc>
          <w:tcPr>
            <w:tcW w:w="922" w:type="dxa"/>
            <w:tcBorders>
              <w:top w:val="single" w:sz="4" w:space="0" w:color="auto"/>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2019</w:t>
            </w:r>
          </w:p>
        </w:tc>
      </w:tr>
      <w:tr w:rsidR="000C48D5" w:rsidRPr="000C48D5" w:rsidTr="00F5679C">
        <w:trPr>
          <w:trHeight w:val="315"/>
          <w:jc w:val="center"/>
        </w:trPr>
        <w:tc>
          <w:tcPr>
            <w:tcW w:w="1595" w:type="dxa"/>
            <w:tcBorders>
              <w:top w:val="nil"/>
              <w:left w:val="single" w:sz="4" w:space="0" w:color="auto"/>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Vendégszám</w:t>
            </w:r>
          </w:p>
        </w:tc>
        <w:tc>
          <w:tcPr>
            <w:tcW w:w="85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5 537</w:t>
            </w:r>
          </w:p>
        </w:tc>
        <w:tc>
          <w:tcPr>
            <w:tcW w:w="814"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5 986</w:t>
            </w:r>
          </w:p>
        </w:tc>
        <w:tc>
          <w:tcPr>
            <w:tcW w:w="92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6 520</w:t>
            </w:r>
          </w:p>
        </w:tc>
        <w:tc>
          <w:tcPr>
            <w:tcW w:w="922"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5 663</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6 446</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10 819</w:t>
            </w:r>
          </w:p>
        </w:tc>
        <w:tc>
          <w:tcPr>
            <w:tcW w:w="92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10 795</w:t>
            </w:r>
          </w:p>
        </w:tc>
        <w:tc>
          <w:tcPr>
            <w:tcW w:w="921"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11 407</w:t>
            </w:r>
          </w:p>
        </w:tc>
        <w:tc>
          <w:tcPr>
            <w:tcW w:w="922"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10 715</w:t>
            </w:r>
          </w:p>
        </w:tc>
      </w:tr>
      <w:tr w:rsidR="000C48D5" w:rsidRPr="000C48D5" w:rsidTr="00F5679C">
        <w:trPr>
          <w:trHeight w:val="315"/>
          <w:jc w:val="center"/>
        </w:trPr>
        <w:tc>
          <w:tcPr>
            <w:tcW w:w="1595" w:type="dxa"/>
            <w:tcBorders>
              <w:top w:val="nil"/>
              <w:left w:val="single" w:sz="4" w:space="0" w:color="auto"/>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Vendégéjszaka szám</w:t>
            </w:r>
          </w:p>
        </w:tc>
        <w:tc>
          <w:tcPr>
            <w:tcW w:w="85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22 967</w:t>
            </w:r>
          </w:p>
        </w:tc>
        <w:tc>
          <w:tcPr>
            <w:tcW w:w="814"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24 766</w:t>
            </w:r>
          </w:p>
        </w:tc>
        <w:tc>
          <w:tcPr>
            <w:tcW w:w="92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28 277</w:t>
            </w:r>
          </w:p>
        </w:tc>
        <w:tc>
          <w:tcPr>
            <w:tcW w:w="922"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24 493</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27 247</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42 199</w:t>
            </w:r>
          </w:p>
        </w:tc>
        <w:tc>
          <w:tcPr>
            <w:tcW w:w="92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42 297</w:t>
            </w:r>
          </w:p>
        </w:tc>
        <w:tc>
          <w:tcPr>
            <w:tcW w:w="921"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44 678</w:t>
            </w:r>
          </w:p>
        </w:tc>
        <w:tc>
          <w:tcPr>
            <w:tcW w:w="922"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40 058</w:t>
            </w:r>
          </w:p>
        </w:tc>
      </w:tr>
      <w:tr w:rsidR="000C48D5" w:rsidRPr="000C48D5" w:rsidTr="00F5679C">
        <w:trPr>
          <w:trHeight w:val="315"/>
          <w:jc w:val="center"/>
        </w:trPr>
        <w:tc>
          <w:tcPr>
            <w:tcW w:w="1595" w:type="dxa"/>
            <w:tcBorders>
              <w:top w:val="nil"/>
              <w:left w:val="single" w:sz="4" w:space="0" w:color="auto"/>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Vendégszám változás*</w:t>
            </w:r>
          </w:p>
        </w:tc>
        <w:tc>
          <w:tcPr>
            <w:tcW w:w="85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118,6%</w:t>
            </w:r>
          </w:p>
        </w:tc>
        <w:tc>
          <w:tcPr>
            <w:tcW w:w="814"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106,2%</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108,8%</w:t>
            </w:r>
          </w:p>
        </w:tc>
        <w:tc>
          <w:tcPr>
            <w:tcW w:w="922"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87,3%</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113,8%</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167,8%</w:t>
            </w:r>
          </w:p>
        </w:tc>
        <w:tc>
          <w:tcPr>
            <w:tcW w:w="92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99,80%</w:t>
            </w:r>
          </w:p>
        </w:tc>
        <w:tc>
          <w:tcPr>
            <w:tcW w:w="921"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104,94%</w:t>
            </w:r>
          </w:p>
        </w:tc>
        <w:tc>
          <w:tcPr>
            <w:tcW w:w="922"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93,93%</w:t>
            </w:r>
          </w:p>
        </w:tc>
      </w:tr>
      <w:tr w:rsidR="000C48D5" w:rsidRPr="000C48D5" w:rsidTr="00F5679C">
        <w:trPr>
          <w:trHeight w:val="315"/>
          <w:jc w:val="center"/>
        </w:trPr>
        <w:tc>
          <w:tcPr>
            <w:tcW w:w="1595" w:type="dxa"/>
            <w:tcBorders>
              <w:top w:val="nil"/>
              <w:left w:val="single" w:sz="4" w:space="0" w:color="auto"/>
              <w:bottom w:val="single" w:sz="4" w:space="0" w:color="auto"/>
              <w:right w:val="single" w:sz="4" w:space="0" w:color="auto"/>
            </w:tcBorders>
            <w:shd w:val="clear" w:color="auto" w:fill="auto"/>
            <w:noWrap/>
            <w:vAlign w:val="center"/>
            <w:hideMark/>
          </w:tcPr>
          <w:p w:rsidR="000C48D5" w:rsidRPr="000C48D5" w:rsidRDefault="000C48D5" w:rsidP="002642CA">
            <w:pPr>
              <w:spacing w:after="0" w:line="240" w:lineRule="auto"/>
              <w:jc w:val="both"/>
              <w:rPr>
                <w:rFonts w:ascii="Times New Roman" w:eastAsia="Times New Roman" w:hAnsi="Times New Roman"/>
                <w:b/>
                <w:bCs/>
                <w:color w:val="FF0000"/>
                <w:sz w:val="20"/>
                <w:szCs w:val="20"/>
                <w:lang w:eastAsia="hu-HU"/>
              </w:rPr>
            </w:pPr>
            <w:r w:rsidRPr="000C48D5">
              <w:rPr>
                <w:rFonts w:ascii="Times New Roman" w:eastAsia="Times New Roman" w:hAnsi="Times New Roman"/>
                <w:b/>
                <w:bCs/>
                <w:color w:val="FF0000"/>
                <w:sz w:val="20"/>
                <w:szCs w:val="20"/>
                <w:lang w:eastAsia="hu-HU"/>
              </w:rPr>
              <w:t>Vendégéjszaka szám változás*</w:t>
            </w:r>
          </w:p>
        </w:tc>
        <w:tc>
          <w:tcPr>
            <w:tcW w:w="85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120,8%</w:t>
            </w:r>
          </w:p>
        </w:tc>
        <w:tc>
          <w:tcPr>
            <w:tcW w:w="814"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105,5%</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114,0%</w:t>
            </w:r>
          </w:p>
        </w:tc>
        <w:tc>
          <w:tcPr>
            <w:tcW w:w="922"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86,6%</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111,2%</w:t>
            </w:r>
          </w:p>
        </w:tc>
        <w:tc>
          <w:tcPr>
            <w:tcW w:w="921" w:type="dxa"/>
            <w:tcBorders>
              <w:top w:val="nil"/>
              <w:left w:val="nil"/>
              <w:bottom w:val="single" w:sz="4" w:space="0" w:color="auto"/>
              <w:right w:val="single" w:sz="4" w:space="0" w:color="auto"/>
            </w:tcBorders>
            <w:shd w:val="clear" w:color="auto" w:fill="auto"/>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154,9%</w:t>
            </w:r>
          </w:p>
        </w:tc>
        <w:tc>
          <w:tcPr>
            <w:tcW w:w="921" w:type="dxa"/>
            <w:tcBorders>
              <w:top w:val="nil"/>
              <w:left w:val="nil"/>
              <w:bottom w:val="single" w:sz="4" w:space="0" w:color="auto"/>
              <w:right w:val="single" w:sz="4" w:space="0" w:color="auto"/>
            </w:tcBorders>
            <w:shd w:val="clear" w:color="auto" w:fill="auto"/>
            <w:noWrap/>
            <w:hideMark/>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100,20%</w:t>
            </w:r>
          </w:p>
        </w:tc>
        <w:tc>
          <w:tcPr>
            <w:tcW w:w="921"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105,16%</w:t>
            </w:r>
          </w:p>
        </w:tc>
        <w:tc>
          <w:tcPr>
            <w:tcW w:w="922" w:type="dxa"/>
            <w:tcBorders>
              <w:top w:val="nil"/>
              <w:left w:val="nil"/>
              <w:bottom w:val="single" w:sz="4" w:space="0" w:color="auto"/>
              <w:right w:val="single" w:sz="4" w:space="0" w:color="auto"/>
            </w:tcBorders>
          </w:tcPr>
          <w:p w:rsidR="000C48D5" w:rsidRPr="000C48D5" w:rsidRDefault="000C48D5" w:rsidP="002642CA">
            <w:pPr>
              <w:spacing w:after="0" w:line="240" w:lineRule="auto"/>
              <w:jc w:val="both"/>
              <w:rPr>
                <w:rFonts w:ascii="Times New Roman" w:eastAsia="Times New Roman" w:hAnsi="Times New Roman"/>
                <w:color w:val="FF0000"/>
                <w:sz w:val="20"/>
                <w:szCs w:val="20"/>
                <w:lang w:eastAsia="hu-HU"/>
              </w:rPr>
            </w:pPr>
            <w:r w:rsidRPr="000C48D5">
              <w:rPr>
                <w:rFonts w:ascii="Times New Roman" w:eastAsia="Times New Roman" w:hAnsi="Times New Roman"/>
                <w:color w:val="FF0000"/>
                <w:sz w:val="20"/>
                <w:szCs w:val="20"/>
                <w:lang w:eastAsia="hu-HU"/>
              </w:rPr>
              <w:t>89,66%</w:t>
            </w:r>
          </w:p>
        </w:tc>
      </w:tr>
    </w:tbl>
    <w:p w:rsidR="000C48D5" w:rsidRPr="000C48D5" w:rsidRDefault="000C48D5" w:rsidP="002642CA">
      <w:pPr>
        <w:jc w:val="both"/>
        <w:rPr>
          <w:color w:val="FF0000"/>
        </w:rPr>
      </w:pPr>
    </w:p>
    <w:p w:rsidR="000C48D5" w:rsidRPr="000C48D5" w:rsidRDefault="000C48D5" w:rsidP="002642CA">
      <w:pPr>
        <w:jc w:val="both"/>
        <w:rPr>
          <w:color w:val="FF0000"/>
        </w:rPr>
      </w:pPr>
      <w:r w:rsidRPr="000C48D5">
        <w:rPr>
          <w:color w:val="FF0000"/>
        </w:rPr>
        <w:t>A 2015 óta tartó növekedésben visszaesés látható a 2019. évre. Meg kell vizsgálni, hogy az élményígéret és a vendégek által tapasztaltak összhangban voltak-e. A marketingtevékenységet a megfelelő monitoring-tevékenységgel szüksé</w:t>
      </w:r>
      <w:r>
        <w:rPr>
          <w:color w:val="FF0000"/>
        </w:rPr>
        <w:t>ges kiegészíteni minden piacon.</w:t>
      </w:r>
    </w:p>
    <w:p w:rsidR="000C48D5" w:rsidRDefault="000C48D5" w:rsidP="002642CA">
      <w:pPr>
        <w:jc w:val="both"/>
      </w:pPr>
    </w:p>
    <w:p w:rsidR="000C48D5" w:rsidRDefault="000C48D5" w:rsidP="002642CA">
      <w:pPr>
        <w:jc w:val="both"/>
      </w:pPr>
    </w:p>
    <w:p w:rsidR="00B250EF" w:rsidRDefault="00B250EF" w:rsidP="00B250EF">
      <w:pPr>
        <w:spacing w:after="0" w:line="240" w:lineRule="auto"/>
      </w:pPr>
    </w:p>
    <w:p w:rsidR="000C48D5" w:rsidRDefault="000C48D5" w:rsidP="00B250EF">
      <w:pPr>
        <w:spacing w:after="0" w:line="240" w:lineRule="auto"/>
      </w:pPr>
    </w:p>
    <w:p w:rsidR="000C48D5" w:rsidRPr="00A25020" w:rsidRDefault="000C48D5" w:rsidP="00B250EF">
      <w:pPr>
        <w:spacing w:after="0" w:line="240" w:lineRule="auto"/>
      </w:pPr>
    </w:p>
    <w:p w:rsidR="00B250EF" w:rsidRDefault="00B250EF" w:rsidP="00B250EF">
      <w:pPr>
        <w:spacing w:after="0" w:line="240" w:lineRule="auto"/>
        <w:jc w:val="both"/>
        <w:rPr>
          <w:bCs/>
          <w:iCs/>
          <w:sz w:val="24"/>
          <w:szCs w:val="24"/>
        </w:rPr>
      </w:pPr>
    </w:p>
    <w:p w:rsidR="00450C5E" w:rsidRDefault="00450C5E" w:rsidP="00B250EF">
      <w:pPr>
        <w:spacing w:after="0" w:line="240" w:lineRule="auto"/>
        <w:jc w:val="both"/>
        <w:rPr>
          <w:bCs/>
          <w:iCs/>
          <w:sz w:val="24"/>
          <w:szCs w:val="24"/>
        </w:rPr>
      </w:pPr>
    </w:p>
    <w:p w:rsidR="00450C5E" w:rsidRDefault="00450C5E" w:rsidP="00B250EF">
      <w:pPr>
        <w:spacing w:after="0" w:line="240" w:lineRule="auto"/>
        <w:jc w:val="both"/>
        <w:rPr>
          <w:bCs/>
          <w:iCs/>
          <w:sz w:val="24"/>
          <w:szCs w:val="24"/>
        </w:rPr>
      </w:pPr>
    </w:p>
    <w:p w:rsidR="00B250EF" w:rsidRPr="00822837" w:rsidRDefault="00B250EF" w:rsidP="00B250EF">
      <w:pPr>
        <w:pStyle w:val="Cmsor2"/>
        <w:rPr>
          <w:rFonts w:ascii="Calibri" w:hAnsi="Calibri"/>
          <w:i w:val="0"/>
        </w:rPr>
      </w:pPr>
      <w:bookmarkStart w:id="13" w:name="_Toc38281834"/>
      <w:r w:rsidRPr="00822837">
        <w:rPr>
          <w:rFonts w:ascii="Calibri" w:hAnsi="Calibri"/>
          <w:i w:val="0"/>
        </w:rPr>
        <w:t>II. 4.) Versenytársak vizsgálata</w:t>
      </w:r>
      <w:bookmarkEnd w:id="13"/>
    </w:p>
    <w:p w:rsidR="00B250EF" w:rsidRPr="00822837" w:rsidRDefault="00B250EF" w:rsidP="00B250EF">
      <w:pPr>
        <w:spacing w:after="0" w:line="240" w:lineRule="auto"/>
        <w:ind w:firstLine="708"/>
        <w:jc w:val="both"/>
        <w:rPr>
          <w:sz w:val="24"/>
          <w:szCs w:val="24"/>
        </w:rPr>
      </w:pPr>
    </w:p>
    <w:p w:rsidR="00B250EF" w:rsidRDefault="00B250EF" w:rsidP="002642CA">
      <w:pPr>
        <w:spacing w:after="0" w:line="240" w:lineRule="auto"/>
        <w:jc w:val="both"/>
        <w:rPr>
          <w:b/>
          <w:sz w:val="24"/>
          <w:szCs w:val="24"/>
        </w:rPr>
      </w:pPr>
      <w:r w:rsidRPr="004A0A42">
        <w:rPr>
          <w:b/>
          <w:sz w:val="24"/>
          <w:szCs w:val="24"/>
        </w:rPr>
        <w:t>Gyógyturizmus</w:t>
      </w:r>
    </w:p>
    <w:p w:rsidR="002642CA" w:rsidRPr="00822837" w:rsidRDefault="002642CA" w:rsidP="002642CA">
      <w:pPr>
        <w:spacing w:after="0" w:line="240" w:lineRule="auto"/>
        <w:jc w:val="both"/>
        <w:rPr>
          <w:b/>
          <w:sz w:val="24"/>
          <w:szCs w:val="24"/>
        </w:rPr>
      </w:pPr>
    </w:p>
    <w:p w:rsidR="00B250EF" w:rsidRPr="00822837" w:rsidRDefault="00B250EF" w:rsidP="002642CA">
      <w:pPr>
        <w:spacing w:after="0" w:line="240" w:lineRule="auto"/>
        <w:jc w:val="both"/>
        <w:rPr>
          <w:sz w:val="24"/>
          <w:szCs w:val="24"/>
        </w:rPr>
      </w:pPr>
      <w:r w:rsidRPr="00822837">
        <w:rPr>
          <w:sz w:val="24"/>
          <w:szCs w:val="24"/>
        </w:rPr>
        <w:t>A gyógyturizmus terén Európa/Közép-Európa legmagasabban pozícionált desztinációi az észak-olasz „Terme Regio” (pl. Abano Terme, Montegrotto Terme), a svájci és német fürdővárosok és szanatóriumok (pl. Bad Ragaz, Bad Zurzach, Zermatt, Arosa, St. Moritz, Lugano, Baden-Baden, Bad Wildbald), valamint a Monarchia egykori jelentős fürdővárosai (pl. Karlsbad, Marienbad, Bad Ischl).</w:t>
      </w:r>
    </w:p>
    <w:p w:rsidR="00B250EF" w:rsidRPr="00822837" w:rsidRDefault="00B250EF" w:rsidP="002642CA">
      <w:pPr>
        <w:spacing w:after="0" w:line="240" w:lineRule="auto"/>
        <w:jc w:val="both"/>
        <w:rPr>
          <w:sz w:val="24"/>
          <w:szCs w:val="24"/>
        </w:rPr>
      </w:pPr>
      <w:r>
        <w:rPr>
          <w:sz w:val="24"/>
          <w:szCs w:val="24"/>
        </w:rPr>
        <w:t>A</w:t>
      </w:r>
      <w:r w:rsidRPr="00822837">
        <w:rPr>
          <w:sz w:val="24"/>
          <w:szCs w:val="24"/>
        </w:rPr>
        <w:t>z olasz, svájci és bajor fürdővárosok rendkív</w:t>
      </w:r>
      <w:r w:rsidR="00572C5C">
        <w:rPr>
          <w:sz w:val="24"/>
          <w:szCs w:val="24"/>
        </w:rPr>
        <w:t>ül magasan pozícionált szolgáltatásokkal</w:t>
      </w:r>
      <w:r w:rsidRPr="00822837">
        <w:rPr>
          <w:sz w:val="24"/>
          <w:szCs w:val="24"/>
        </w:rPr>
        <w:t xml:space="preserve"> rendelkeznek. A gyógytényezők és a magas színvonalú, komplex kezelések mellett a települési k</w:t>
      </w:r>
      <w:r w:rsidRPr="00A67DB9">
        <w:rPr>
          <w:sz w:val="24"/>
          <w:szCs w:val="24"/>
        </w:rPr>
        <w:t>örnyezet, valamint a változatos szabadidős és kulturális prog</w:t>
      </w:r>
      <w:r w:rsidR="00572C5C" w:rsidRPr="00A67DB9">
        <w:rPr>
          <w:sz w:val="24"/>
          <w:szCs w:val="24"/>
        </w:rPr>
        <w:t>ramok szerves részei a kínálatnak:</w:t>
      </w:r>
      <w:r w:rsidR="002642CA" w:rsidRPr="00A67DB9">
        <w:rPr>
          <w:sz w:val="24"/>
          <w:szCs w:val="24"/>
        </w:rPr>
        <w:t xml:space="preserve"> </w:t>
      </w:r>
      <w:r w:rsidR="00572C5C" w:rsidRPr="00A67DB9">
        <w:rPr>
          <w:sz w:val="24"/>
          <w:szCs w:val="24"/>
        </w:rPr>
        <w:t>j</w:t>
      </w:r>
      <w:r w:rsidRPr="00A67DB9">
        <w:rPr>
          <w:sz w:val="24"/>
          <w:szCs w:val="24"/>
        </w:rPr>
        <w:t>ól</w:t>
      </w:r>
      <w:r w:rsidRPr="00822837">
        <w:rPr>
          <w:sz w:val="24"/>
          <w:szCs w:val="24"/>
        </w:rPr>
        <w:t xml:space="preserve"> menedzselt desztinációk, hatékony kommunikációs</w:t>
      </w:r>
      <w:r>
        <w:rPr>
          <w:sz w:val="24"/>
          <w:szCs w:val="24"/>
        </w:rPr>
        <w:t xml:space="preserve"> tevékenységgel</w:t>
      </w:r>
      <w:r w:rsidRPr="00822837">
        <w:rPr>
          <w:sz w:val="24"/>
          <w:szCs w:val="24"/>
        </w:rPr>
        <w:t xml:space="preserve">. E gyógyhelyek jóval magasabban pozícionáltak, mint Hévíz, így közvetlen versenytársként jelenleg nem jönnek szóba. </w:t>
      </w:r>
    </w:p>
    <w:p w:rsidR="00B250EF" w:rsidRDefault="00B250EF" w:rsidP="002642CA">
      <w:pPr>
        <w:spacing w:after="0" w:line="240" w:lineRule="auto"/>
        <w:jc w:val="both"/>
        <w:rPr>
          <w:sz w:val="24"/>
          <w:szCs w:val="24"/>
        </w:rPr>
      </w:pPr>
      <w:r>
        <w:rPr>
          <w:sz w:val="24"/>
          <w:szCs w:val="24"/>
        </w:rPr>
        <w:t>Az</w:t>
      </w:r>
      <w:r w:rsidRPr="00822837">
        <w:rPr>
          <w:sz w:val="24"/>
          <w:szCs w:val="24"/>
        </w:rPr>
        <w:t xml:space="preserve"> Osztrák-Magyar Monarchia korábbi fürdővárosaival a versenyhelyzet alapja a gyógyászat szemlélete és a gyógykezelések hasonlósága. A legismertebbek és a legjelentősebb versenytársak Karlsbad (Karlovy Vary) és Marienbad (Marianske Lazne) lehetnek. </w:t>
      </w:r>
    </w:p>
    <w:p w:rsidR="00712DFA" w:rsidRPr="00822837" w:rsidRDefault="00712DFA" w:rsidP="002642CA">
      <w:pPr>
        <w:spacing w:after="0" w:line="240" w:lineRule="auto"/>
        <w:jc w:val="both"/>
        <w:rPr>
          <w:sz w:val="24"/>
          <w:szCs w:val="24"/>
        </w:rPr>
      </w:pPr>
    </w:p>
    <w:p w:rsidR="00B250EF" w:rsidRDefault="00B250EF" w:rsidP="002642CA">
      <w:pPr>
        <w:spacing w:after="0" w:line="240" w:lineRule="auto"/>
        <w:jc w:val="both"/>
        <w:rPr>
          <w:sz w:val="24"/>
          <w:szCs w:val="24"/>
        </w:rPr>
      </w:pPr>
      <w:r>
        <w:rPr>
          <w:sz w:val="24"/>
          <w:szCs w:val="24"/>
        </w:rPr>
        <w:t>A</w:t>
      </w:r>
      <w:r w:rsidRPr="00822837">
        <w:rPr>
          <w:sz w:val="24"/>
          <w:szCs w:val="24"/>
        </w:rPr>
        <w:t xml:space="preserve"> Monarchia további fürdővárosai irányultságukat (pl. Bad Ischl) vagy jelen állapotukat (pl. erdélyi és felvidéki fürdők) tekintve napjainkban eltérnek Hévíztől, a gyógyászat és fürdőkultúra, a történelmi hagyományok tekintetében mégis hasonlóak. Pöstyén (Piestany) az utóbbi időben jelentősen fejlődött. Az alacsony áraik vonzók a turisták számára, de a szolgáltatások valódi tartalma elmarad a hévízitől. Az adottságok mellett jelentős versenyelőnyben van Héví</w:t>
      </w:r>
      <w:r>
        <w:rPr>
          <w:sz w:val="24"/>
          <w:szCs w:val="24"/>
        </w:rPr>
        <w:t xml:space="preserve">z. </w:t>
      </w:r>
    </w:p>
    <w:p w:rsidR="00B250EF" w:rsidRDefault="00B250EF" w:rsidP="002642CA">
      <w:pPr>
        <w:spacing w:after="0" w:line="240" w:lineRule="auto"/>
        <w:jc w:val="both"/>
        <w:rPr>
          <w:sz w:val="24"/>
          <w:szCs w:val="24"/>
        </w:rPr>
      </w:pPr>
      <w:r>
        <w:rPr>
          <w:sz w:val="24"/>
          <w:szCs w:val="24"/>
        </w:rPr>
        <w:t xml:space="preserve">Belföldi versenytársaink a tradicionális és nyugat-magyarországi fürdővárosok, azonban figyelembe kell venni az újonnan gyógyhellyé minősítet települések növekvő kínálatát is. </w:t>
      </w:r>
    </w:p>
    <w:p w:rsidR="00B250EF" w:rsidRDefault="00B250EF" w:rsidP="002642CA">
      <w:pPr>
        <w:spacing w:after="0" w:line="240" w:lineRule="auto"/>
        <w:jc w:val="both"/>
        <w:rPr>
          <w:sz w:val="24"/>
          <w:szCs w:val="24"/>
        </w:rPr>
      </w:pPr>
    </w:p>
    <w:p w:rsidR="00B250EF" w:rsidRPr="00822837" w:rsidRDefault="00B250EF" w:rsidP="002642CA">
      <w:pPr>
        <w:spacing w:after="0" w:line="240" w:lineRule="auto"/>
        <w:jc w:val="both"/>
        <w:rPr>
          <w:b/>
          <w:sz w:val="24"/>
          <w:szCs w:val="24"/>
        </w:rPr>
      </w:pPr>
      <w:r>
        <w:rPr>
          <w:b/>
          <w:sz w:val="24"/>
          <w:szCs w:val="24"/>
        </w:rPr>
        <w:t>Wellness turizmus</w:t>
      </w:r>
    </w:p>
    <w:p w:rsidR="00B250EF" w:rsidRPr="00822837" w:rsidRDefault="00B250EF" w:rsidP="002642CA">
      <w:pPr>
        <w:spacing w:after="0" w:line="240" w:lineRule="auto"/>
        <w:jc w:val="both"/>
        <w:rPr>
          <w:sz w:val="24"/>
          <w:szCs w:val="24"/>
        </w:rPr>
      </w:pPr>
    </w:p>
    <w:p w:rsidR="00B250EF" w:rsidRPr="00822837" w:rsidRDefault="00B250EF" w:rsidP="002642CA">
      <w:pPr>
        <w:spacing w:after="0" w:line="240" w:lineRule="auto"/>
        <w:jc w:val="both"/>
        <w:rPr>
          <w:sz w:val="24"/>
          <w:szCs w:val="24"/>
        </w:rPr>
      </w:pPr>
      <w:r w:rsidRPr="00822837">
        <w:rPr>
          <w:sz w:val="24"/>
          <w:szCs w:val="24"/>
        </w:rPr>
        <w:t>Hévíz adottságait tekintve gyógydesztináció, de a szolgáltatáskínálatában és a vendégkörében a wellness is megtalálható</w:t>
      </w:r>
      <w:r>
        <w:rPr>
          <w:sz w:val="24"/>
          <w:szCs w:val="24"/>
        </w:rPr>
        <w:t>, mint kiegészítő termék</w:t>
      </w:r>
      <w:r w:rsidRPr="00822837">
        <w:rPr>
          <w:sz w:val="24"/>
          <w:szCs w:val="24"/>
        </w:rPr>
        <w:t>. A város vonzáskörzetét tekintve valamennyi magyar, osztrák, szlovén, német, cseh, szlovák és lengyel wellness-komplexum versenytársnak tekinthető.</w:t>
      </w:r>
    </w:p>
    <w:p w:rsidR="00B250EF" w:rsidRPr="00822837" w:rsidRDefault="00B250EF" w:rsidP="002642CA">
      <w:pPr>
        <w:spacing w:after="0" w:line="240" w:lineRule="auto"/>
        <w:jc w:val="both"/>
        <w:rPr>
          <w:sz w:val="24"/>
          <w:szCs w:val="24"/>
        </w:rPr>
      </w:pPr>
      <w:r w:rsidRPr="00822837">
        <w:rPr>
          <w:sz w:val="24"/>
          <w:szCs w:val="24"/>
        </w:rPr>
        <w:t xml:space="preserve">Az osztrák fürdők fejlesztését követően jelentősen visszaesett Hévízen az osztrák és német vendégek száma. </w:t>
      </w:r>
      <w:r>
        <w:rPr>
          <w:sz w:val="24"/>
          <w:szCs w:val="24"/>
        </w:rPr>
        <w:t>Bár az áre</w:t>
      </w:r>
      <w:r w:rsidR="00572C5C">
        <w:rPr>
          <w:sz w:val="24"/>
          <w:szCs w:val="24"/>
        </w:rPr>
        <w:t>lőnyünk továbbra is jelentős,</w:t>
      </w:r>
      <w:r>
        <w:rPr>
          <w:sz w:val="24"/>
          <w:szCs w:val="24"/>
        </w:rPr>
        <w:t xml:space="preserve"> a </w:t>
      </w:r>
      <w:r w:rsidRPr="00822837">
        <w:rPr>
          <w:sz w:val="24"/>
          <w:szCs w:val="24"/>
        </w:rPr>
        <w:t xml:space="preserve">wellness-turista nem hajlandó </w:t>
      </w:r>
      <w:r>
        <w:rPr>
          <w:sz w:val="24"/>
          <w:szCs w:val="24"/>
        </w:rPr>
        <w:t>több száz kilométert</w:t>
      </w:r>
      <w:r w:rsidRPr="00822837">
        <w:rPr>
          <w:sz w:val="24"/>
          <w:szCs w:val="24"/>
        </w:rPr>
        <w:t xml:space="preserve"> utazni pár napos </w:t>
      </w:r>
      <w:r>
        <w:rPr>
          <w:sz w:val="24"/>
          <w:szCs w:val="24"/>
        </w:rPr>
        <w:t>pihenésért</w:t>
      </w:r>
      <w:r w:rsidRPr="00822837">
        <w:rPr>
          <w:sz w:val="24"/>
          <w:szCs w:val="24"/>
        </w:rPr>
        <w:t>.</w:t>
      </w:r>
    </w:p>
    <w:p w:rsidR="00B250EF" w:rsidRPr="00822837" w:rsidRDefault="00B250EF" w:rsidP="002642CA">
      <w:pPr>
        <w:spacing w:after="0" w:line="240" w:lineRule="auto"/>
        <w:jc w:val="both"/>
        <w:rPr>
          <w:sz w:val="24"/>
          <w:szCs w:val="24"/>
        </w:rPr>
      </w:pPr>
      <w:r w:rsidRPr="00822837">
        <w:rPr>
          <w:sz w:val="24"/>
          <w:szCs w:val="24"/>
        </w:rPr>
        <w:t>A cseh, szlovák és lengyel fürdők színvonala és szolgáltatás-választéka nem előzi meg Hévízt. Versenyelőnyüket a közlekedés időigénye, az erőteljesebb kommunikáció és a jobb országimázs jelenti.</w:t>
      </w:r>
    </w:p>
    <w:p w:rsidR="00B250EF" w:rsidRPr="00822837" w:rsidRDefault="00B250EF" w:rsidP="002642CA">
      <w:pPr>
        <w:spacing w:after="0" w:line="240" w:lineRule="auto"/>
        <w:jc w:val="both"/>
        <w:rPr>
          <w:sz w:val="24"/>
          <w:szCs w:val="24"/>
        </w:rPr>
      </w:pPr>
    </w:p>
    <w:p w:rsidR="00B250EF" w:rsidRDefault="00B250EF" w:rsidP="002642CA">
      <w:pPr>
        <w:spacing w:after="0" w:line="240" w:lineRule="auto"/>
        <w:jc w:val="both"/>
        <w:rPr>
          <w:sz w:val="24"/>
          <w:szCs w:val="24"/>
        </w:rPr>
      </w:pPr>
      <w:r w:rsidRPr="00822837">
        <w:rPr>
          <w:sz w:val="24"/>
          <w:szCs w:val="24"/>
        </w:rPr>
        <w:t>A hazai wellness-piacon egyértelmű versenyhátrányt jelent az élményelemek és a családbarát kiegészítő szolgáltatások hiánya</w:t>
      </w:r>
      <w:r>
        <w:rPr>
          <w:sz w:val="24"/>
          <w:szCs w:val="24"/>
        </w:rPr>
        <w:t xml:space="preserve">, viszont előnyt </w:t>
      </w:r>
      <w:r w:rsidR="00572C5C">
        <w:rPr>
          <w:sz w:val="24"/>
          <w:szCs w:val="24"/>
        </w:rPr>
        <w:t xml:space="preserve">jelent a magas minőségű szálláskínálat és </w:t>
      </w:r>
      <w:r>
        <w:rPr>
          <w:sz w:val="24"/>
          <w:szCs w:val="24"/>
        </w:rPr>
        <w:t>a modern wellness trende</w:t>
      </w:r>
      <w:r w:rsidR="00572C5C">
        <w:rPr>
          <w:sz w:val="24"/>
          <w:szCs w:val="24"/>
        </w:rPr>
        <w:t>k követése.</w:t>
      </w:r>
    </w:p>
    <w:p w:rsidR="000C48D5" w:rsidRDefault="000C48D5" w:rsidP="002642CA">
      <w:pPr>
        <w:spacing w:after="0" w:line="240" w:lineRule="auto"/>
        <w:jc w:val="both"/>
        <w:rPr>
          <w:sz w:val="24"/>
          <w:szCs w:val="24"/>
        </w:rPr>
      </w:pPr>
    </w:p>
    <w:p w:rsidR="000C48D5" w:rsidRDefault="000C48D5" w:rsidP="00B250EF">
      <w:pPr>
        <w:spacing w:after="0" w:line="240" w:lineRule="auto"/>
        <w:ind w:firstLine="708"/>
        <w:jc w:val="both"/>
        <w:rPr>
          <w:sz w:val="24"/>
          <w:szCs w:val="24"/>
        </w:rPr>
      </w:pPr>
    </w:p>
    <w:p w:rsidR="000C48D5" w:rsidRDefault="000C48D5" w:rsidP="00A67DB9">
      <w:pPr>
        <w:jc w:val="both"/>
        <w:rPr>
          <w:b/>
          <w:color w:val="FF0000"/>
          <w:sz w:val="24"/>
          <w:szCs w:val="24"/>
        </w:rPr>
      </w:pPr>
      <w:r w:rsidRPr="000C48D5">
        <w:rPr>
          <w:b/>
          <w:color w:val="FF0000"/>
          <w:sz w:val="24"/>
          <w:szCs w:val="24"/>
        </w:rPr>
        <w:t xml:space="preserve">Belföldi konkurensek 2019. éves adatainak összehasonlítása </w:t>
      </w:r>
    </w:p>
    <w:tbl>
      <w:tblPr>
        <w:tblW w:w="10632" w:type="dxa"/>
        <w:tblInd w:w="-356" w:type="dxa"/>
        <w:shd w:val="clear" w:color="auto" w:fill="FFFFFF"/>
        <w:tblCellMar>
          <w:left w:w="70" w:type="dxa"/>
          <w:right w:w="70" w:type="dxa"/>
        </w:tblCellMar>
        <w:tblLook w:val="04A0" w:firstRow="1" w:lastRow="0" w:firstColumn="1" w:lastColumn="0" w:noHBand="0" w:noVBand="1"/>
      </w:tblPr>
      <w:tblGrid>
        <w:gridCol w:w="1340"/>
        <w:gridCol w:w="929"/>
        <w:gridCol w:w="1085"/>
        <w:gridCol w:w="88"/>
        <w:gridCol w:w="1060"/>
        <w:gridCol w:w="1185"/>
        <w:gridCol w:w="1173"/>
        <w:gridCol w:w="1351"/>
        <w:gridCol w:w="1340"/>
        <w:gridCol w:w="1081"/>
      </w:tblGrid>
      <w:tr w:rsidR="000B5C1F" w:rsidRPr="00614961" w:rsidTr="00A67DB9">
        <w:trPr>
          <w:gridAfter w:val="7"/>
          <w:wAfter w:w="7278" w:type="dxa"/>
          <w:trHeight w:val="276"/>
        </w:trPr>
        <w:tc>
          <w:tcPr>
            <w:tcW w:w="1340" w:type="dxa"/>
            <w:tcBorders>
              <w:top w:val="nil"/>
              <w:left w:val="nil"/>
              <w:bottom w:val="nil"/>
              <w:right w:val="nil"/>
            </w:tcBorders>
            <w:shd w:val="clear" w:color="auto" w:fill="FFFFFF"/>
            <w:noWrap/>
            <w:vAlign w:val="bottom"/>
            <w:hideMark/>
          </w:tcPr>
          <w:p w:rsidR="000B5C1F" w:rsidRPr="00614961" w:rsidRDefault="000B5C1F" w:rsidP="00F5679C">
            <w:pPr>
              <w:spacing w:after="0" w:line="240" w:lineRule="auto"/>
              <w:rPr>
                <w:rFonts w:ascii="Times New Roman" w:eastAsia="Times New Roman" w:hAnsi="Times New Roman"/>
                <w:lang w:eastAsia="hu-HU"/>
              </w:rPr>
            </w:pPr>
          </w:p>
        </w:tc>
        <w:tc>
          <w:tcPr>
            <w:tcW w:w="2014" w:type="dxa"/>
            <w:gridSpan w:val="2"/>
            <w:tcBorders>
              <w:top w:val="nil"/>
              <w:left w:val="nil"/>
              <w:bottom w:val="nil"/>
              <w:right w:val="nil"/>
            </w:tcBorders>
            <w:shd w:val="clear" w:color="auto" w:fill="FFFFFF"/>
            <w:noWrap/>
            <w:vAlign w:val="bottom"/>
            <w:hideMark/>
          </w:tcPr>
          <w:p w:rsidR="000B5C1F" w:rsidRPr="00614961" w:rsidRDefault="000B5C1F" w:rsidP="00F5679C">
            <w:pPr>
              <w:spacing w:after="0" w:line="240" w:lineRule="auto"/>
              <w:rPr>
                <w:rFonts w:ascii="Times New Roman" w:eastAsia="Times New Roman" w:hAnsi="Times New Roman"/>
                <w:lang w:eastAsia="hu-HU"/>
              </w:rPr>
            </w:pPr>
          </w:p>
        </w:tc>
      </w:tr>
      <w:tr w:rsidR="000B5C1F" w:rsidRPr="00706A7B" w:rsidTr="00A67DB9">
        <w:trPr>
          <w:trHeight w:val="641"/>
        </w:trPr>
        <w:tc>
          <w:tcPr>
            <w:tcW w:w="2269"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Település</w:t>
            </w:r>
          </w:p>
        </w:tc>
        <w:tc>
          <w:tcPr>
            <w:tcW w:w="117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Vendégszám</w:t>
            </w:r>
          </w:p>
        </w:tc>
        <w:tc>
          <w:tcPr>
            <w:tcW w:w="1060" w:type="dxa"/>
            <w:tcBorders>
              <w:top w:val="single" w:sz="4" w:space="0" w:color="auto"/>
              <w:left w:val="nil"/>
              <w:bottom w:val="single" w:sz="4" w:space="0" w:color="auto"/>
              <w:right w:val="single" w:sz="4" w:space="0" w:color="auto"/>
            </w:tcBorders>
            <w:shd w:val="clear" w:color="auto" w:fill="FFFFFF"/>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Vendégéj.</w:t>
            </w:r>
          </w:p>
        </w:tc>
        <w:tc>
          <w:tcPr>
            <w:tcW w:w="11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Tartózkodási idő</w:t>
            </w:r>
          </w:p>
        </w:tc>
        <w:tc>
          <w:tcPr>
            <w:tcW w:w="117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Vendégszám</w:t>
            </w:r>
          </w:p>
        </w:tc>
        <w:tc>
          <w:tcPr>
            <w:tcW w:w="13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Vendégéj.</w:t>
            </w:r>
          </w:p>
        </w:tc>
        <w:tc>
          <w:tcPr>
            <w:tcW w:w="13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Vendégszám</w:t>
            </w:r>
          </w:p>
        </w:tc>
        <w:tc>
          <w:tcPr>
            <w:tcW w:w="1081" w:type="dxa"/>
            <w:tcBorders>
              <w:top w:val="single" w:sz="4" w:space="0" w:color="auto"/>
              <w:left w:val="nil"/>
              <w:bottom w:val="single" w:sz="4" w:space="0" w:color="auto"/>
              <w:right w:val="single" w:sz="4" w:space="0" w:color="auto"/>
            </w:tcBorders>
            <w:shd w:val="clear" w:color="auto" w:fill="FFFFFF"/>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Vendégéj.</w:t>
            </w:r>
          </w:p>
        </w:tc>
      </w:tr>
      <w:tr w:rsidR="000B5C1F" w:rsidRPr="00706A7B" w:rsidTr="00A67DB9">
        <w:trPr>
          <w:trHeight w:val="740"/>
        </w:trPr>
        <w:tc>
          <w:tcPr>
            <w:tcW w:w="226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p>
        </w:tc>
        <w:tc>
          <w:tcPr>
            <w:tcW w:w="3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2019. jan-tárgyhó</w:t>
            </w:r>
          </w:p>
        </w:tc>
        <w:tc>
          <w:tcPr>
            <w:tcW w:w="25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Változás %</w:t>
            </w:r>
          </w:p>
        </w:tc>
        <w:tc>
          <w:tcPr>
            <w:tcW w:w="2421"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Nemzetiségi összetétel</w:t>
            </w:r>
          </w:p>
        </w:tc>
      </w:tr>
      <w:tr w:rsidR="000B5C1F" w:rsidRPr="00706A7B" w:rsidTr="00A67DB9">
        <w:trPr>
          <w:trHeight w:val="276"/>
        </w:trPr>
        <w:tc>
          <w:tcPr>
            <w:tcW w:w="2269" w:type="dxa"/>
            <w:gridSpan w:val="2"/>
            <w:tcBorders>
              <w:top w:val="nil"/>
              <w:left w:val="single" w:sz="4" w:space="0" w:color="auto"/>
              <w:bottom w:val="single" w:sz="4" w:space="0" w:color="auto"/>
              <w:right w:val="single" w:sz="4" w:space="0" w:color="auto"/>
            </w:tcBorders>
            <w:shd w:val="clear" w:color="auto" w:fill="C6D9F1"/>
            <w:noWrap/>
            <w:vAlign w:val="center"/>
            <w:hideMark/>
          </w:tcPr>
          <w:p w:rsidR="000B5C1F" w:rsidRPr="00706A7B" w:rsidRDefault="000B5C1F" w:rsidP="00A67DB9">
            <w:pPr>
              <w:spacing w:after="0" w:line="240" w:lineRule="auto"/>
              <w:jc w:val="both"/>
              <w:rPr>
                <w:rFonts w:ascii="Times New Roman" w:eastAsia="Times New Roman" w:hAnsi="Times New Roman"/>
                <w:b/>
                <w:color w:val="FF0000"/>
                <w:sz w:val="24"/>
                <w:szCs w:val="24"/>
                <w:lang w:eastAsia="hu-HU"/>
              </w:rPr>
            </w:pPr>
            <w:r w:rsidRPr="00706A7B">
              <w:rPr>
                <w:rFonts w:ascii="Times New Roman" w:eastAsia="Times New Roman" w:hAnsi="Times New Roman"/>
                <w:b/>
                <w:color w:val="FF0000"/>
                <w:sz w:val="24"/>
                <w:szCs w:val="24"/>
                <w:lang w:eastAsia="hu-HU"/>
              </w:rPr>
              <w:t>Hévíz</w:t>
            </w:r>
          </w:p>
        </w:tc>
        <w:tc>
          <w:tcPr>
            <w:tcW w:w="1173" w:type="dxa"/>
            <w:gridSpan w:val="2"/>
            <w:tcBorders>
              <w:top w:val="nil"/>
              <w:left w:val="nil"/>
              <w:bottom w:val="single" w:sz="4" w:space="0" w:color="auto"/>
              <w:right w:val="single" w:sz="4" w:space="0" w:color="auto"/>
            </w:tcBorders>
            <w:shd w:val="clear" w:color="auto" w:fill="C6D9F1"/>
            <w:noWrap/>
            <w:vAlign w:val="bottom"/>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w:t>
            </w:r>
          </w:p>
        </w:tc>
        <w:tc>
          <w:tcPr>
            <w:tcW w:w="1060" w:type="dxa"/>
            <w:tcBorders>
              <w:top w:val="nil"/>
              <w:left w:val="nil"/>
              <w:bottom w:val="single" w:sz="4" w:space="0" w:color="auto"/>
              <w:right w:val="single" w:sz="4" w:space="0" w:color="auto"/>
            </w:tcBorders>
            <w:shd w:val="clear" w:color="auto" w:fill="C6D9F1"/>
            <w:noWrap/>
            <w:vAlign w:val="bottom"/>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w:t>
            </w:r>
          </w:p>
        </w:tc>
        <w:tc>
          <w:tcPr>
            <w:tcW w:w="1185" w:type="dxa"/>
            <w:tcBorders>
              <w:top w:val="nil"/>
              <w:left w:val="nil"/>
              <w:bottom w:val="single" w:sz="4" w:space="0" w:color="auto"/>
              <w:right w:val="single" w:sz="4" w:space="0" w:color="auto"/>
            </w:tcBorders>
            <w:shd w:val="clear" w:color="auto" w:fill="C6D9F1"/>
            <w:noWrap/>
            <w:vAlign w:val="bottom"/>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w:t>
            </w:r>
          </w:p>
        </w:tc>
        <w:tc>
          <w:tcPr>
            <w:tcW w:w="1173" w:type="dxa"/>
            <w:tcBorders>
              <w:top w:val="nil"/>
              <w:left w:val="nil"/>
              <w:bottom w:val="single" w:sz="4" w:space="0" w:color="auto"/>
              <w:right w:val="single" w:sz="4" w:space="0" w:color="auto"/>
            </w:tcBorders>
            <w:shd w:val="clear" w:color="auto" w:fill="C6D9F1"/>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w:t>
            </w:r>
          </w:p>
        </w:tc>
        <w:tc>
          <w:tcPr>
            <w:tcW w:w="1351" w:type="dxa"/>
            <w:tcBorders>
              <w:top w:val="nil"/>
              <w:left w:val="nil"/>
              <w:bottom w:val="single" w:sz="4" w:space="0" w:color="auto"/>
              <w:right w:val="single" w:sz="4" w:space="0" w:color="auto"/>
            </w:tcBorders>
            <w:shd w:val="clear" w:color="auto" w:fill="C6D9F1"/>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w:t>
            </w:r>
          </w:p>
        </w:tc>
        <w:tc>
          <w:tcPr>
            <w:tcW w:w="1340" w:type="dxa"/>
            <w:tcBorders>
              <w:top w:val="nil"/>
              <w:left w:val="nil"/>
              <w:bottom w:val="single" w:sz="4" w:space="0" w:color="auto"/>
              <w:right w:val="single" w:sz="4" w:space="0" w:color="auto"/>
            </w:tcBorders>
            <w:shd w:val="clear" w:color="auto" w:fill="C6D9F1"/>
            <w:noWrap/>
            <w:vAlign w:val="bottom"/>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 </w:t>
            </w:r>
          </w:p>
        </w:tc>
        <w:tc>
          <w:tcPr>
            <w:tcW w:w="1081" w:type="dxa"/>
            <w:tcBorders>
              <w:top w:val="single" w:sz="4" w:space="0" w:color="auto"/>
              <w:left w:val="nil"/>
              <w:bottom w:val="single" w:sz="4" w:space="0" w:color="auto"/>
              <w:right w:val="single" w:sz="4" w:space="0" w:color="auto"/>
            </w:tcBorders>
            <w:shd w:val="clear" w:color="auto" w:fill="C6D9F1"/>
            <w:noWrap/>
            <w:vAlign w:val="bottom"/>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 </w:t>
            </w:r>
          </w:p>
        </w:tc>
      </w:tr>
      <w:tr w:rsidR="000B5C1F" w:rsidRPr="00706A7B" w:rsidTr="00A67DB9">
        <w:trPr>
          <w:trHeight w:val="276"/>
        </w:trPr>
        <w:tc>
          <w:tcPr>
            <w:tcW w:w="2269" w:type="dxa"/>
            <w:gridSpan w:val="2"/>
            <w:tcBorders>
              <w:top w:val="single" w:sz="4" w:space="0" w:color="auto"/>
              <w:left w:val="single" w:sz="4" w:space="0" w:color="auto"/>
              <w:bottom w:val="single" w:sz="4" w:space="0" w:color="auto"/>
              <w:right w:val="single" w:sz="4" w:space="0" w:color="auto"/>
            </w:tcBorders>
            <w:shd w:val="clear" w:color="auto" w:fill="C6D9F1"/>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Külföld összesen</w:t>
            </w:r>
          </w:p>
        </w:tc>
        <w:tc>
          <w:tcPr>
            <w:tcW w:w="1173" w:type="dxa"/>
            <w:gridSpan w:val="2"/>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121 893</w:t>
            </w:r>
          </w:p>
        </w:tc>
        <w:tc>
          <w:tcPr>
            <w:tcW w:w="106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675 215</w:t>
            </w:r>
          </w:p>
        </w:tc>
        <w:tc>
          <w:tcPr>
            <w:tcW w:w="1185"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5,54</w:t>
            </w:r>
          </w:p>
        </w:tc>
        <w:tc>
          <w:tcPr>
            <w:tcW w:w="1173"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102,64%</w:t>
            </w:r>
          </w:p>
        </w:tc>
        <w:tc>
          <w:tcPr>
            <w:tcW w:w="1351"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97,69%</w:t>
            </w:r>
          </w:p>
        </w:tc>
        <w:tc>
          <w:tcPr>
            <w:tcW w:w="134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45,88%</w:t>
            </w:r>
          </w:p>
        </w:tc>
        <w:tc>
          <w:tcPr>
            <w:tcW w:w="1081"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58,98%</w:t>
            </w:r>
          </w:p>
        </w:tc>
      </w:tr>
      <w:tr w:rsidR="000B5C1F" w:rsidRPr="00706A7B" w:rsidTr="00A67DB9">
        <w:trPr>
          <w:trHeight w:val="276"/>
        </w:trPr>
        <w:tc>
          <w:tcPr>
            <w:tcW w:w="2269" w:type="dxa"/>
            <w:gridSpan w:val="2"/>
            <w:tcBorders>
              <w:top w:val="single" w:sz="4" w:space="0" w:color="auto"/>
              <w:left w:val="single" w:sz="4" w:space="0" w:color="auto"/>
              <w:bottom w:val="single" w:sz="4" w:space="0" w:color="auto"/>
              <w:right w:val="single" w:sz="4" w:space="0" w:color="auto"/>
            </w:tcBorders>
            <w:shd w:val="clear" w:color="auto" w:fill="C6D9F1"/>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Belföld összesen</w:t>
            </w:r>
          </w:p>
        </w:tc>
        <w:tc>
          <w:tcPr>
            <w:tcW w:w="1173" w:type="dxa"/>
            <w:gridSpan w:val="2"/>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143 784</w:t>
            </w:r>
          </w:p>
        </w:tc>
        <w:tc>
          <w:tcPr>
            <w:tcW w:w="106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469 554</w:t>
            </w:r>
          </w:p>
        </w:tc>
        <w:tc>
          <w:tcPr>
            <w:tcW w:w="1185"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3,27</w:t>
            </w:r>
          </w:p>
        </w:tc>
        <w:tc>
          <w:tcPr>
            <w:tcW w:w="1173"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109,84%</w:t>
            </w:r>
          </w:p>
        </w:tc>
        <w:tc>
          <w:tcPr>
            <w:tcW w:w="1351"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105,65%</w:t>
            </w:r>
          </w:p>
        </w:tc>
        <w:tc>
          <w:tcPr>
            <w:tcW w:w="134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54,12%</w:t>
            </w:r>
          </w:p>
        </w:tc>
        <w:tc>
          <w:tcPr>
            <w:tcW w:w="1081"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41,02%</w:t>
            </w:r>
          </w:p>
        </w:tc>
      </w:tr>
      <w:tr w:rsidR="000B5C1F" w:rsidRPr="00706A7B" w:rsidTr="00A67DB9">
        <w:trPr>
          <w:trHeight w:val="276"/>
        </w:trPr>
        <w:tc>
          <w:tcPr>
            <w:tcW w:w="2269" w:type="dxa"/>
            <w:gridSpan w:val="2"/>
            <w:tcBorders>
              <w:top w:val="single" w:sz="4" w:space="0" w:color="auto"/>
              <w:left w:val="single" w:sz="4" w:space="0" w:color="auto"/>
              <w:bottom w:val="single" w:sz="4" w:space="0" w:color="auto"/>
              <w:right w:val="single" w:sz="4" w:space="0" w:color="auto"/>
            </w:tcBorders>
            <w:shd w:val="clear" w:color="auto" w:fill="C6D9F1"/>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Mindösszesen</w:t>
            </w:r>
          </w:p>
        </w:tc>
        <w:tc>
          <w:tcPr>
            <w:tcW w:w="1173" w:type="dxa"/>
            <w:gridSpan w:val="2"/>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265 677</w:t>
            </w:r>
          </w:p>
        </w:tc>
        <w:tc>
          <w:tcPr>
            <w:tcW w:w="106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1 144 769</w:t>
            </w:r>
          </w:p>
        </w:tc>
        <w:tc>
          <w:tcPr>
            <w:tcW w:w="1185"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4,31</w:t>
            </w:r>
          </w:p>
        </w:tc>
        <w:tc>
          <w:tcPr>
            <w:tcW w:w="1173"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106,42%</w:t>
            </w:r>
          </w:p>
        </w:tc>
        <w:tc>
          <w:tcPr>
            <w:tcW w:w="1351"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100,81%</w:t>
            </w:r>
          </w:p>
        </w:tc>
        <w:tc>
          <w:tcPr>
            <w:tcW w:w="134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 </w:t>
            </w:r>
          </w:p>
        </w:tc>
        <w:tc>
          <w:tcPr>
            <w:tcW w:w="1081"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 </w:t>
            </w:r>
          </w:p>
        </w:tc>
      </w:tr>
      <w:tr w:rsidR="000B5C1F" w:rsidRPr="00706A7B" w:rsidTr="00A67DB9">
        <w:trPr>
          <w:trHeight w:val="276"/>
        </w:trPr>
        <w:tc>
          <w:tcPr>
            <w:tcW w:w="2269" w:type="dxa"/>
            <w:gridSpan w:val="2"/>
            <w:tcBorders>
              <w:top w:val="single" w:sz="4" w:space="0" w:color="auto"/>
              <w:left w:val="single" w:sz="4" w:space="0" w:color="auto"/>
              <w:bottom w:val="single" w:sz="4" w:space="0" w:color="auto"/>
              <w:right w:val="single" w:sz="4" w:space="0" w:color="auto"/>
            </w:tcBorders>
            <w:shd w:val="clear" w:color="auto" w:fill="C6D9F1"/>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Ebből: Ausztria</w:t>
            </w:r>
          </w:p>
        </w:tc>
        <w:tc>
          <w:tcPr>
            <w:tcW w:w="1173" w:type="dxa"/>
            <w:gridSpan w:val="2"/>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23 488</w:t>
            </w:r>
          </w:p>
        </w:tc>
        <w:tc>
          <w:tcPr>
            <w:tcW w:w="106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89 905</w:t>
            </w:r>
          </w:p>
        </w:tc>
        <w:tc>
          <w:tcPr>
            <w:tcW w:w="1185"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3,83</w:t>
            </w:r>
          </w:p>
        </w:tc>
        <w:tc>
          <w:tcPr>
            <w:tcW w:w="1173"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98,42%</w:t>
            </w:r>
          </w:p>
        </w:tc>
        <w:tc>
          <w:tcPr>
            <w:tcW w:w="1351"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97,20%</w:t>
            </w:r>
          </w:p>
        </w:tc>
        <w:tc>
          <w:tcPr>
            <w:tcW w:w="134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8,84%</w:t>
            </w:r>
          </w:p>
        </w:tc>
        <w:tc>
          <w:tcPr>
            <w:tcW w:w="1081"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7,85%</w:t>
            </w:r>
          </w:p>
        </w:tc>
      </w:tr>
      <w:tr w:rsidR="000B5C1F" w:rsidRPr="00706A7B" w:rsidTr="00A67DB9">
        <w:trPr>
          <w:trHeight w:val="276"/>
        </w:trPr>
        <w:tc>
          <w:tcPr>
            <w:tcW w:w="2269" w:type="dxa"/>
            <w:gridSpan w:val="2"/>
            <w:tcBorders>
              <w:top w:val="single" w:sz="4" w:space="0" w:color="auto"/>
              <w:left w:val="single" w:sz="4" w:space="0" w:color="auto"/>
              <w:bottom w:val="single" w:sz="4" w:space="0" w:color="auto"/>
              <w:right w:val="single" w:sz="4" w:space="0" w:color="auto"/>
            </w:tcBorders>
            <w:shd w:val="clear" w:color="auto" w:fill="C6D9F1"/>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xml:space="preserve">             Csehország</w:t>
            </w:r>
          </w:p>
        </w:tc>
        <w:tc>
          <w:tcPr>
            <w:tcW w:w="1173" w:type="dxa"/>
            <w:gridSpan w:val="2"/>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10 715</w:t>
            </w:r>
          </w:p>
        </w:tc>
        <w:tc>
          <w:tcPr>
            <w:tcW w:w="106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40 058</w:t>
            </w:r>
          </w:p>
        </w:tc>
        <w:tc>
          <w:tcPr>
            <w:tcW w:w="1185"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3,74</w:t>
            </w:r>
          </w:p>
        </w:tc>
        <w:tc>
          <w:tcPr>
            <w:tcW w:w="1173"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93,93%</w:t>
            </w:r>
          </w:p>
        </w:tc>
        <w:tc>
          <w:tcPr>
            <w:tcW w:w="1351"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89,66%</w:t>
            </w:r>
          </w:p>
        </w:tc>
        <w:tc>
          <w:tcPr>
            <w:tcW w:w="134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4,03%</w:t>
            </w:r>
          </w:p>
        </w:tc>
        <w:tc>
          <w:tcPr>
            <w:tcW w:w="1081"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3,50%</w:t>
            </w:r>
          </w:p>
        </w:tc>
      </w:tr>
      <w:tr w:rsidR="000B5C1F" w:rsidRPr="00706A7B" w:rsidTr="00A67DB9">
        <w:trPr>
          <w:trHeight w:val="276"/>
        </w:trPr>
        <w:tc>
          <w:tcPr>
            <w:tcW w:w="2269" w:type="dxa"/>
            <w:gridSpan w:val="2"/>
            <w:tcBorders>
              <w:top w:val="single" w:sz="4" w:space="0" w:color="auto"/>
              <w:left w:val="single" w:sz="4" w:space="0" w:color="auto"/>
              <w:bottom w:val="single" w:sz="4" w:space="0" w:color="auto"/>
              <w:right w:val="single" w:sz="4" w:space="0" w:color="auto"/>
            </w:tcBorders>
            <w:shd w:val="clear" w:color="auto" w:fill="C6D9F1"/>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xml:space="preserve">             </w:t>
            </w:r>
            <w:r w:rsidR="00450C5E">
              <w:rPr>
                <w:rFonts w:ascii="Times New Roman" w:eastAsia="Times New Roman" w:hAnsi="Times New Roman"/>
                <w:color w:val="FF0000"/>
                <w:sz w:val="20"/>
                <w:szCs w:val="20"/>
                <w:lang w:eastAsia="hu-HU"/>
              </w:rPr>
              <w:t>Le</w:t>
            </w:r>
            <w:r w:rsidRPr="00706A7B">
              <w:rPr>
                <w:rFonts w:ascii="Times New Roman" w:eastAsia="Times New Roman" w:hAnsi="Times New Roman"/>
                <w:color w:val="FF0000"/>
                <w:sz w:val="20"/>
                <w:szCs w:val="20"/>
                <w:lang w:eastAsia="hu-HU"/>
              </w:rPr>
              <w:t>ngyelország</w:t>
            </w:r>
          </w:p>
        </w:tc>
        <w:tc>
          <w:tcPr>
            <w:tcW w:w="1173" w:type="dxa"/>
            <w:gridSpan w:val="2"/>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2 367</w:t>
            </w:r>
          </w:p>
        </w:tc>
        <w:tc>
          <w:tcPr>
            <w:tcW w:w="106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8 720</w:t>
            </w:r>
          </w:p>
        </w:tc>
        <w:tc>
          <w:tcPr>
            <w:tcW w:w="1185"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3,68</w:t>
            </w:r>
          </w:p>
        </w:tc>
        <w:tc>
          <w:tcPr>
            <w:tcW w:w="1173"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113,58%</w:t>
            </w:r>
          </w:p>
        </w:tc>
        <w:tc>
          <w:tcPr>
            <w:tcW w:w="1351"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100,77%</w:t>
            </w:r>
          </w:p>
        </w:tc>
        <w:tc>
          <w:tcPr>
            <w:tcW w:w="134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0,89%</w:t>
            </w:r>
          </w:p>
        </w:tc>
        <w:tc>
          <w:tcPr>
            <w:tcW w:w="1081"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0,76%</w:t>
            </w:r>
          </w:p>
        </w:tc>
      </w:tr>
      <w:tr w:rsidR="000B5C1F" w:rsidRPr="00706A7B" w:rsidTr="00A67DB9">
        <w:trPr>
          <w:trHeight w:val="276"/>
        </w:trPr>
        <w:tc>
          <w:tcPr>
            <w:tcW w:w="2269" w:type="dxa"/>
            <w:gridSpan w:val="2"/>
            <w:tcBorders>
              <w:top w:val="single" w:sz="4" w:space="0" w:color="auto"/>
              <w:left w:val="single" w:sz="4" w:space="0" w:color="auto"/>
              <w:bottom w:val="single" w:sz="4" w:space="0" w:color="auto"/>
              <w:right w:val="single" w:sz="4" w:space="0" w:color="auto"/>
            </w:tcBorders>
            <w:shd w:val="clear" w:color="auto" w:fill="C6D9F1"/>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xml:space="preserve">             Németország</w:t>
            </w:r>
          </w:p>
        </w:tc>
        <w:tc>
          <w:tcPr>
            <w:tcW w:w="1173" w:type="dxa"/>
            <w:gridSpan w:val="2"/>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20 756</w:t>
            </w:r>
          </w:p>
        </w:tc>
        <w:tc>
          <w:tcPr>
            <w:tcW w:w="106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189 375</w:t>
            </w:r>
          </w:p>
        </w:tc>
        <w:tc>
          <w:tcPr>
            <w:tcW w:w="1185"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9,12</w:t>
            </w:r>
          </w:p>
        </w:tc>
        <w:tc>
          <w:tcPr>
            <w:tcW w:w="1173"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97,35%</w:t>
            </w:r>
          </w:p>
        </w:tc>
        <w:tc>
          <w:tcPr>
            <w:tcW w:w="1351"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93,71%</w:t>
            </w:r>
          </w:p>
        </w:tc>
        <w:tc>
          <w:tcPr>
            <w:tcW w:w="134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7,81%</w:t>
            </w:r>
          </w:p>
        </w:tc>
        <w:tc>
          <w:tcPr>
            <w:tcW w:w="1081"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16,54%</w:t>
            </w:r>
          </w:p>
        </w:tc>
      </w:tr>
      <w:tr w:rsidR="000B5C1F" w:rsidRPr="00706A7B" w:rsidTr="00A67DB9">
        <w:trPr>
          <w:trHeight w:val="276"/>
        </w:trPr>
        <w:tc>
          <w:tcPr>
            <w:tcW w:w="2269" w:type="dxa"/>
            <w:gridSpan w:val="2"/>
            <w:tcBorders>
              <w:top w:val="single" w:sz="4" w:space="0" w:color="auto"/>
              <w:left w:val="single" w:sz="4" w:space="0" w:color="auto"/>
              <w:bottom w:val="single" w:sz="4" w:space="0" w:color="auto"/>
              <w:right w:val="single" w:sz="4" w:space="0" w:color="auto"/>
            </w:tcBorders>
            <w:shd w:val="clear" w:color="auto" w:fill="C6D9F1"/>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xml:space="preserve">             Oroszország</w:t>
            </w:r>
          </w:p>
        </w:tc>
        <w:tc>
          <w:tcPr>
            <w:tcW w:w="1173" w:type="dxa"/>
            <w:gridSpan w:val="2"/>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20 552</w:t>
            </w:r>
          </w:p>
        </w:tc>
        <w:tc>
          <w:tcPr>
            <w:tcW w:w="106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197 582</w:t>
            </w:r>
          </w:p>
        </w:tc>
        <w:tc>
          <w:tcPr>
            <w:tcW w:w="1185"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9,61</w:t>
            </w:r>
          </w:p>
        </w:tc>
        <w:tc>
          <w:tcPr>
            <w:tcW w:w="1173"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99,15%</w:t>
            </w:r>
          </w:p>
        </w:tc>
        <w:tc>
          <w:tcPr>
            <w:tcW w:w="1351"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98,19%</w:t>
            </w:r>
          </w:p>
        </w:tc>
        <w:tc>
          <w:tcPr>
            <w:tcW w:w="134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7,74%</w:t>
            </w:r>
          </w:p>
        </w:tc>
        <w:tc>
          <w:tcPr>
            <w:tcW w:w="1081"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17,26%</w:t>
            </w:r>
          </w:p>
        </w:tc>
      </w:tr>
      <w:tr w:rsidR="000B5C1F" w:rsidRPr="00706A7B" w:rsidTr="00A67DB9">
        <w:trPr>
          <w:trHeight w:val="276"/>
        </w:trPr>
        <w:tc>
          <w:tcPr>
            <w:tcW w:w="2269" w:type="dxa"/>
            <w:gridSpan w:val="2"/>
            <w:tcBorders>
              <w:top w:val="single" w:sz="4" w:space="0" w:color="auto"/>
              <w:left w:val="single" w:sz="4" w:space="0" w:color="auto"/>
              <w:bottom w:val="single" w:sz="4" w:space="0" w:color="auto"/>
              <w:right w:val="single" w:sz="4" w:space="0" w:color="auto"/>
            </w:tcBorders>
            <w:shd w:val="clear" w:color="auto" w:fill="C6D9F1"/>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xml:space="preserve">             Románia</w:t>
            </w:r>
          </w:p>
        </w:tc>
        <w:tc>
          <w:tcPr>
            <w:tcW w:w="1173" w:type="dxa"/>
            <w:gridSpan w:val="2"/>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1 370</w:t>
            </w:r>
          </w:p>
        </w:tc>
        <w:tc>
          <w:tcPr>
            <w:tcW w:w="106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4 491</w:t>
            </w:r>
          </w:p>
        </w:tc>
        <w:tc>
          <w:tcPr>
            <w:tcW w:w="1185"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3,28</w:t>
            </w:r>
          </w:p>
        </w:tc>
        <w:tc>
          <w:tcPr>
            <w:tcW w:w="1173"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135,64%</w:t>
            </w:r>
          </w:p>
        </w:tc>
        <w:tc>
          <w:tcPr>
            <w:tcW w:w="1351"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127,88%</w:t>
            </w:r>
          </w:p>
        </w:tc>
        <w:tc>
          <w:tcPr>
            <w:tcW w:w="134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0,52%</w:t>
            </w:r>
          </w:p>
        </w:tc>
        <w:tc>
          <w:tcPr>
            <w:tcW w:w="1081"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0,39%</w:t>
            </w:r>
          </w:p>
        </w:tc>
      </w:tr>
      <w:tr w:rsidR="000B5C1F" w:rsidRPr="00706A7B" w:rsidTr="00A67DB9">
        <w:trPr>
          <w:trHeight w:val="276"/>
        </w:trPr>
        <w:tc>
          <w:tcPr>
            <w:tcW w:w="2269" w:type="dxa"/>
            <w:gridSpan w:val="2"/>
            <w:tcBorders>
              <w:top w:val="single" w:sz="4" w:space="0" w:color="auto"/>
              <w:left w:val="single" w:sz="4" w:space="0" w:color="auto"/>
              <w:bottom w:val="single" w:sz="4" w:space="0" w:color="auto"/>
              <w:right w:val="single" w:sz="4" w:space="0" w:color="auto"/>
            </w:tcBorders>
            <w:shd w:val="clear" w:color="auto" w:fill="C6D9F1"/>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xml:space="preserve">             Szlovákia</w:t>
            </w:r>
          </w:p>
        </w:tc>
        <w:tc>
          <w:tcPr>
            <w:tcW w:w="1173" w:type="dxa"/>
            <w:gridSpan w:val="2"/>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8 672</w:t>
            </w:r>
          </w:p>
        </w:tc>
        <w:tc>
          <w:tcPr>
            <w:tcW w:w="106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25 369</w:t>
            </w:r>
          </w:p>
        </w:tc>
        <w:tc>
          <w:tcPr>
            <w:tcW w:w="1185"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2,93</w:t>
            </w:r>
          </w:p>
        </w:tc>
        <w:tc>
          <w:tcPr>
            <w:tcW w:w="1173"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103,79%</w:t>
            </w:r>
          </w:p>
        </w:tc>
        <w:tc>
          <w:tcPr>
            <w:tcW w:w="1351"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104,24%</w:t>
            </w:r>
          </w:p>
        </w:tc>
        <w:tc>
          <w:tcPr>
            <w:tcW w:w="134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3,26%</w:t>
            </w:r>
          </w:p>
        </w:tc>
        <w:tc>
          <w:tcPr>
            <w:tcW w:w="1081"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2,22%</w:t>
            </w:r>
          </w:p>
        </w:tc>
      </w:tr>
      <w:tr w:rsidR="000B5C1F" w:rsidRPr="00706A7B" w:rsidTr="00A67DB9">
        <w:trPr>
          <w:trHeight w:val="276"/>
        </w:trPr>
        <w:tc>
          <w:tcPr>
            <w:tcW w:w="2269" w:type="dxa"/>
            <w:gridSpan w:val="2"/>
            <w:tcBorders>
              <w:top w:val="single" w:sz="4" w:space="0" w:color="auto"/>
              <w:left w:val="single" w:sz="4" w:space="0" w:color="auto"/>
              <w:bottom w:val="single" w:sz="4" w:space="0" w:color="auto"/>
              <w:right w:val="single" w:sz="4" w:space="0" w:color="auto"/>
            </w:tcBorders>
            <w:shd w:val="clear" w:color="auto" w:fill="EAF1DD"/>
            <w:noWrap/>
            <w:vAlign w:val="center"/>
            <w:hideMark/>
          </w:tcPr>
          <w:p w:rsidR="000B5C1F" w:rsidRPr="00706A7B" w:rsidRDefault="000B5C1F" w:rsidP="00A67DB9">
            <w:pPr>
              <w:spacing w:after="0" w:line="240" w:lineRule="auto"/>
              <w:jc w:val="both"/>
              <w:rPr>
                <w:rFonts w:ascii="Times New Roman" w:eastAsia="Times New Roman" w:hAnsi="Times New Roman"/>
                <w:b/>
                <w:color w:val="FF0000"/>
                <w:sz w:val="24"/>
                <w:szCs w:val="24"/>
                <w:lang w:eastAsia="hu-HU"/>
              </w:rPr>
            </w:pPr>
            <w:r w:rsidRPr="00706A7B">
              <w:rPr>
                <w:rFonts w:ascii="Times New Roman" w:eastAsia="Times New Roman" w:hAnsi="Times New Roman"/>
                <w:b/>
                <w:color w:val="FF0000"/>
                <w:sz w:val="24"/>
                <w:szCs w:val="24"/>
                <w:lang w:eastAsia="hu-HU"/>
              </w:rPr>
              <w:t>Bük</w:t>
            </w:r>
          </w:p>
        </w:tc>
        <w:tc>
          <w:tcPr>
            <w:tcW w:w="1173" w:type="dxa"/>
            <w:gridSpan w:val="2"/>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w:t>
            </w:r>
          </w:p>
        </w:tc>
        <w:tc>
          <w:tcPr>
            <w:tcW w:w="1060"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w:t>
            </w:r>
          </w:p>
        </w:tc>
        <w:tc>
          <w:tcPr>
            <w:tcW w:w="1185"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w:t>
            </w:r>
          </w:p>
        </w:tc>
        <w:tc>
          <w:tcPr>
            <w:tcW w:w="1173"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w:t>
            </w:r>
          </w:p>
        </w:tc>
        <w:tc>
          <w:tcPr>
            <w:tcW w:w="1351"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w:t>
            </w:r>
          </w:p>
        </w:tc>
        <w:tc>
          <w:tcPr>
            <w:tcW w:w="1340"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 </w:t>
            </w:r>
          </w:p>
        </w:tc>
        <w:tc>
          <w:tcPr>
            <w:tcW w:w="1081"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 </w:t>
            </w:r>
          </w:p>
        </w:tc>
      </w:tr>
      <w:tr w:rsidR="000B5C1F" w:rsidRPr="00706A7B" w:rsidTr="00A67DB9">
        <w:trPr>
          <w:trHeight w:val="276"/>
        </w:trPr>
        <w:tc>
          <w:tcPr>
            <w:tcW w:w="2269" w:type="dxa"/>
            <w:gridSpan w:val="2"/>
            <w:tcBorders>
              <w:top w:val="single" w:sz="4" w:space="0" w:color="auto"/>
              <w:left w:val="single" w:sz="4" w:space="0" w:color="auto"/>
              <w:bottom w:val="single" w:sz="4" w:space="0" w:color="auto"/>
              <w:right w:val="single" w:sz="4" w:space="0" w:color="auto"/>
            </w:tcBorders>
            <w:shd w:val="clear" w:color="auto" w:fill="EAF1DD"/>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Külföld összesen</w:t>
            </w:r>
          </w:p>
        </w:tc>
        <w:tc>
          <w:tcPr>
            <w:tcW w:w="1173" w:type="dxa"/>
            <w:gridSpan w:val="2"/>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104 971</w:t>
            </w:r>
          </w:p>
        </w:tc>
        <w:tc>
          <w:tcPr>
            <w:tcW w:w="1060"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416 537</w:t>
            </w:r>
          </w:p>
        </w:tc>
        <w:tc>
          <w:tcPr>
            <w:tcW w:w="1185"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3,97</w:t>
            </w:r>
          </w:p>
        </w:tc>
        <w:tc>
          <w:tcPr>
            <w:tcW w:w="1173"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93,65%</w:t>
            </w:r>
          </w:p>
        </w:tc>
        <w:tc>
          <w:tcPr>
            <w:tcW w:w="1351"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96,13%</w:t>
            </w:r>
          </w:p>
        </w:tc>
        <w:tc>
          <w:tcPr>
            <w:tcW w:w="1340"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53,76%</w:t>
            </w:r>
          </w:p>
        </w:tc>
        <w:tc>
          <w:tcPr>
            <w:tcW w:w="1081"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57,55%</w:t>
            </w:r>
          </w:p>
        </w:tc>
      </w:tr>
      <w:tr w:rsidR="000B5C1F" w:rsidRPr="00706A7B" w:rsidTr="00A67DB9">
        <w:trPr>
          <w:trHeight w:val="276"/>
        </w:trPr>
        <w:tc>
          <w:tcPr>
            <w:tcW w:w="2269" w:type="dxa"/>
            <w:gridSpan w:val="2"/>
            <w:tcBorders>
              <w:top w:val="single" w:sz="4" w:space="0" w:color="auto"/>
              <w:left w:val="single" w:sz="4" w:space="0" w:color="auto"/>
              <w:bottom w:val="single" w:sz="4" w:space="0" w:color="auto"/>
              <w:right w:val="single" w:sz="4" w:space="0" w:color="auto"/>
            </w:tcBorders>
            <w:shd w:val="clear" w:color="auto" w:fill="EAF1DD"/>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Belföld összesen</w:t>
            </w:r>
          </w:p>
        </w:tc>
        <w:tc>
          <w:tcPr>
            <w:tcW w:w="1173" w:type="dxa"/>
            <w:gridSpan w:val="2"/>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90 294</w:t>
            </w:r>
          </w:p>
        </w:tc>
        <w:tc>
          <w:tcPr>
            <w:tcW w:w="1060"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307 221</w:t>
            </w:r>
          </w:p>
        </w:tc>
        <w:tc>
          <w:tcPr>
            <w:tcW w:w="1185"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3,40</w:t>
            </w:r>
          </w:p>
        </w:tc>
        <w:tc>
          <w:tcPr>
            <w:tcW w:w="1173"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100,62%</w:t>
            </w:r>
          </w:p>
        </w:tc>
        <w:tc>
          <w:tcPr>
            <w:tcW w:w="1351"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100,14%</w:t>
            </w:r>
          </w:p>
        </w:tc>
        <w:tc>
          <w:tcPr>
            <w:tcW w:w="1340"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46,24%</w:t>
            </w:r>
          </w:p>
        </w:tc>
        <w:tc>
          <w:tcPr>
            <w:tcW w:w="1081"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42,45%</w:t>
            </w:r>
          </w:p>
        </w:tc>
      </w:tr>
      <w:tr w:rsidR="000B5C1F" w:rsidRPr="00706A7B" w:rsidTr="00A67DB9">
        <w:trPr>
          <w:trHeight w:val="276"/>
        </w:trPr>
        <w:tc>
          <w:tcPr>
            <w:tcW w:w="2269" w:type="dxa"/>
            <w:gridSpan w:val="2"/>
            <w:tcBorders>
              <w:top w:val="single" w:sz="4" w:space="0" w:color="auto"/>
              <w:left w:val="single" w:sz="4" w:space="0" w:color="auto"/>
              <w:bottom w:val="single" w:sz="4" w:space="0" w:color="auto"/>
              <w:right w:val="single" w:sz="4" w:space="0" w:color="auto"/>
            </w:tcBorders>
            <w:shd w:val="clear" w:color="auto" w:fill="EAF1DD"/>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Mindösszesen</w:t>
            </w:r>
          </w:p>
        </w:tc>
        <w:tc>
          <w:tcPr>
            <w:tcW w:w="1173" w:type="dxa"/>
            <w:gridSpan w:val="2"/>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195 265</w:t>
            </w:r>
          </w:p>
        </w:tc>
        <w:tc>
          <w:tcPr>
            <w:tcW w:w="1060"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723 758</w:t>
            </w:r>
          </w:p>
        </w:tc>
        <w:tc>
          <w:tcPr>
            <w:tcW w:w="1185"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3,71</w:t>
            </w:r>
          </w:p>
        </w:tc>
        <w:tc>
          <w:tcPr>
            <w:tcW w:w="1173"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96,75%</w:t>
            </w:r>
          </w:p>
        </w:tc>
        <w:tc>
          <w:tcPr>
            <w:tcW w:w="1351"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97,79%</w:t>
            </w:r>
          </w:p>
        </w:tc>
        <w:tc>
          <w:tcPr>
            <w:tcW w:w="1340"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 </w:t>
            </w:r>
          </w:p>
        </w:tc>
        <w:tc>
          <w:tcPr>
            <w:tcW w:w="1081"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 </w:t>
            </w:r>
          </w:p>
        </w:tc>
      </w:tr>
      <w:tr w:rsidR="000B5C1F" w:rsidRPr="00706A7B" w:rsidTr="00A67DB9">
        <w:trPr>
          <w:trHeight w:val="276"/>
        </w:trPr>
        <w:tc>
          <w:tcPr>
            <w:tcW w:w="2269" w:type="dxa"/>
            <w:gridSpan w:val="2"/>
            <w:tcBorders>
              <w:top w:val="single" w:sz="4" w:space="0" w:color="auto"/>
              <w:left w:val="single" w:sz="4" w:space="0" w:color="auto"/>
              <w:bottom w:val="single" w:sz="4" w:space="0" w:color="auto"/>
              <w:right w:val="single" w:sz="4" w:space="0" w:color="auto"/>
            </w:tcBorders>
            <w:shd w:val="clear" w:color="auto" w:fill="EAF1DD"/>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Ebből: Ausztria</w:t>
            </w:r>
          </w:p>
        </w:tc>
        <w:tc>
          <w:tcPr>
            <w:tcW w:w="1173" w:type="dxa"/>
            <w:gridSpan w:val="2"/>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28 873</w:t>
            </w:r>
          </w:p>
        </w:tc>
        <w:tc>
          <w:tcPr>
            <w:tcW w:w="1060"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92 427</w:t>
            </w:r>
          </w:p>
        </w:tc>
        <w:tc>
          <w:tcPr>
            <w:tcW w:w="1185"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3,20</w:t>
            </w:r>
          </w:p>
        </w:tc>
        <w:tc>
          <w:tcPr>
            <w:tcW w:w="1173"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90,28%</w:t>
            </w:r>
          </w:p>
        </w:tc>
        <w:tc>
          <w:tcPr>
            <w:tcW w:w="1351"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91,98%</w:t>
            </w:r>
          </w:p>
        </w:tc>
        <w:tc>
          <w:tcPr>
            <w:tcW w:w="1340"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14,79%</w:t>
            </w:r>
          </w:p>
        </w:tc>
        <w:tc>
          <w:tcPr>
            <w:tcW w:w="1081"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12,77%</w:t>
            </w:r>
          </w:p>
        </w:tc>
      </w:tr>
      <w:tr w:rsidR="000B5C1F" w:rsidRPr="00706A7B" w:rsidTr="00A67DB9">
        <w:trPr>
          <w:trHeight w:val="276"/>
        </w:trPr>
        <w:tc>
          <w:tcPr>
            <w:tcW w:w="2269" w:type="dxa"/>
            <w:gridSpan w:val="2"/>
            <w:tcBorders>
              <w:top w:val="single" w:sz="4" w:space="0" w:color="auto"/>
              <w:left w:val="single" w:sz="4" w:space="0" w:color="auto"/>
              <w:bottom w:val="single" w:sz="4" w:space="0" w:color="auto"/>
              <w:right w:val="single" w:sz="4" w:space="0" w:color="auto"/>
            </w:tcBorders>
            <w:shd w:val="clear" w:color="auto" w:fill="EAF1DD"/>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xml:space="preserve">             Csehország</w:t>
            </w:r>
          </w:p>
        </w:tc>
        <w:tc>
          <w:tcPr>
            <w:tcW w:w="1173" w:type="dxa"/>
            <w:gridSpan w:val="2"/>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50 006</w:t>
            </w:r>
          </w:p>
        </w:tc>
        <w:tc>
          <w:tcPr>
            <w:tcW w:w="1060"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187 389</w:t>
            </w:r>
          </w:p>
        </w:tc>
        <w:tc>
          <w:tcPr>
            <w:tcW w:w="1185"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3,75</w:t>
            </w:r>
          </w:p>
        </w:tc>
        <w:tc>
          <w:tcPr>
            <w:tcW w:w="1173"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100,45%</w:t>
            </w:r>
          </w:p>
        </w:tc>
        <w:tc>
          <w:tcPr>
            <w:tcW w:w="1351"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99,21%</w:t>
            </w:r>
          </w:p>
        </w:tc>
        <w:tc>
          <w:tcPr>
            <w:tcW w:w="1340"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25,61%</w:t>
            </w:r>
          </w:p>
        </w:tc>
        <w:tc>
          <w:tcPr>
            <w:tcW w:w="1081"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25,89%</w:t>
            </w:r>
          </w:p>
        </w:tc>
      </w:tr>
      <w:tr w:rsidR="000B5C1F" w:rsidRPr="00706A7B" w:rsidTr="00A67DB9">
        <w:trPr>
          <w:trHeight w:val="276"/>
        </w:trPr>
        <w:tc>
          <w:tcPr>
            <w:tcW w:w="2269" w:type="dxa"/>
            <w:gridSpan w:val="2"/>
            <w:tcBorders>
              <w:top w:val="single" w:sz="4" w:space="0" w:color="auto"/>
              <w:left w:val="single" w:sz="4" w:space="0" w:color="auto"/>
              <w:bottom w:val="single" w:sz="4" w:space="0" w:color="auto"/>
              <w:right w:val="single" w:sz="4" w:space="0" w:color="auto"/>
            </w:tcBorders>
            <w:shd w:val="clear" w:color="auto" w:fill="EAF1DD"/>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xml:space="preserve">             Lengyelország</w:t>
            </w:r>
          </w:p>
        </w:tc>
        <w:tc>
          <w:tcPr>
            <w:tcW w:w="1173" w:type="dxa"/>
            <w:gridSpan w:val="2"/>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2 242</w:t>
            </w:r>
          </w:p>
        </w:tc>
        <w:tc>
          <w:tcPr>
            <w:tcW w:w="1060"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7 587</w:t>
            </w:r>
          </w:p>
        </w:tc>
        <w:tc>
          <w:tcPr>
            <w:tcW w:w="1185"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3,38</w:t>
            </w:r>
          </w:p>
        </w:tc>
        <w:tc>
          <w:tcPr>
            <w:tcW w:w="1173"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104,18%</w:t>
            </w:r>
          </w:p>
        </w:tc>
        <w:tc>
          <w:tcPr>
            <w:tcW w:w="1351"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93,13%</w:t>
            </w:r>
          </w:p>
        </w:tc>
        <w:tc>
          <w:tcPr>
            <w:tcW w:w="1340"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1,15%</w:t>
            </w:r>
          </w:p>
        </w:tc>
        <w:tc>
          <w:tcPr>
            <w:tcW w:w="1081"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1,05%</w:t>
            </w:r>
          </w:p>
        </w:tc>
      </w:tr>
      <w:tr w:rsidR="000B5C1F" w:rsidRPr="00706A7B" w:rsidTr="00A67DB9">
        <w:trPr>
          <w:trHeight w:val="276"/>
        </w:trPr>
        <w:tc>
          <w:tcPr>
            <w:tcW w:w="2269" w:type="dxa"/>
            <w:gridSpan w:val="2"/>
            <w:tcBorders>
              <w:top w:val="single" w:sz="4" w:space="0" w:color="auto"/>
              <w:left w:val="single" w:sz="4" w:space="0" w:color="auto"/>
              <w:bottom w:val="single" w:sz="4" w:space="0" w:color="auto"/>
              <w:right w:val="single" w:sz="4" w:space="0" w:color="auto"/>
            </w:tcBorders>
            <w:shd w:val="clear" w:color="auto" w:fill="EAF1DD"/>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xml:space="preserve">             Németország</w:t>
            </w:r>
          </w:p>
        </w:tc>
        <w:tc>
          <w:tcPr>
            <w:tcW w:w="1173" w:type="dxa"/>
            <w:gridSpan w:val="2"/>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11 465</w:t>
            </w:r>
          </w:p>
        </w:tc>
        <w:tc>
          <w:tcPr>
            <w:tcW w:w="1060"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87 486</w:t>
            </w:r>
          </w:p>
        </w:tc>
        <w:tc>
          <w:tcPr>
            <w:tcW w:w="1185"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7,63</w:t>
            </w:r>
          </w:p>
        </w:tc>
        <w:tc>
          <w:tcPr>
            <w:tcW w:w="1173"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73,11%</w:t>
            </w:r>
          </w:p>
        </w:tc>
        <w:tc>
          <w:tcPr>
            <w:tcW w:w="1351"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93,14%</w:t>
            </w:r>
          </w:p>
        </w:tc>
        <w:tc>
          <w:tcPr>
            <w:tcW w:w="1340"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5,87%</w:t>
            </w:r>
          </w:p>
        </w:tc>
        <w:tc>
          <w:tcPr>
            <w:tcW w:w="1081"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12,09%</w:t>
            </w:r>
          </w:p>
        </w:tc>
      </w:tr>
      <w:tr w:rsidR="000B5C1F" w:rsidRPr="00706A7B" w:rsidTr="00A67DB9">
        <w:trPr>
          <w:trHeight w:val="276"/>
        </w:trPr>
        <w:tc>
          <w:tcPr>
            <w:tcW w:w="2269" w:type="dxa"/>
            <w:gridSpan w:val="2"/>
            <w:tcBorders>
              <w:top w:val="single" w:sz="4" w:space="0" w:color="auto"/>
              <w:left w:val="single" w:sz="4" w:space="0" w:color="auto"/>
              <w:bottom w:val="single" w:sz="4" w:space="0" w:color="auto"/>
              <w:right w:val="single" w:sz="4" w:space="0" w:color="auto"/>
            </w:tcBorders>
            <w:shd w:val="clear" w:color="auto" w:fill="EAF1DD"/>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xml:space="preserve">             Oroszország</w:t>
            </w:r>
          </w:p>
        </w:tc>
        <w:tc>
          <w:tcPr>
            <w:tcW w:w="1173" w:type="dxa"/>
            <w:gridSpan w:val="2"/>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583</w:t>
            </w:r>
          </w:p>
        </w:tc>
        <w:tc>
          <w:tcPr>
            <w:tcW w:w="1060"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4 736</w:t>
            </w:r>
          </w:p>
        </w:tc>
        <w:tc>
          <w:tcPr>
            <w:tcW w:w="1185"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8,12</w:t>
            </w:r>
          </w:p>
        </w:tc>
        <w:tc>
          <w:tcPr>
            <w:tcW w:w="1173"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85,36%</w:t>
            </w:r>
          </w:p>
        </w:tc>
        <w:tc>
          <w:tcPr>
            <w:tcW w:w="1351"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103,77%</w:t>
            </w:r>
          </w:p>
        </w:tc>
        <w:tc>
          <w:tcPr>
            <w:tcW w:w="1340"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0,30%</w:t>
            </w:r>
          </w:p>
        </w:tc>
        <w:tc>
          <w:tcPr>
            <w:tcW w:w="1081"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0,65%</w:t>
            </w:r>
          </w:p>
        </w:tc>
      </w:tr>
      <w:tr w:rsidR="000B5C1F" w:rsidRPr="00706A7B" w:rsidTr="00A67DB9">
        <w:trPr>
          <w:trHeight w:val="276"/>
        </w:trPr>
        <w:tc>
          <w:tcPr>
            <w:tcW w:w="2269" w:type="dxa"/>
            <w:gridSpan w:val="2"/>
            <w:tcBorders>
              <w:top w:val="single" w:sz="4" w:space="0" w:color="auto"/>
              <w:left w:val="single" w:sz="4" w:space="0" w:color="auto"/>
              <w:bottom w:val="single" w:sz="4" w:space="0" w:color="auto"/>
              <w:right w:val="single" w:sz="4" w:space="0" w:color="auto"/>
            </w:tcBorders>
            <w:shd w:val="clear" w:color="auto" w:fill="EAF1DD"/>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xml:space="preserve">             Románia</w:t>
            </w:r>
          </w:p>
        </w:tc>
        <w:tc>
          <w:tcPr>
            <w:tcW w:w="1173" w:type="dxa"/>
            <w:gridSpan w:val="2"/>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496</w:t>
            </w:r>
          </w:p>
        </w:tc>
        <w:tc>
          <w:tcPr>
            <w:tcW w:w="1060"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1 516</w:t>
            </w:r>
          </w:p>
        </w:tc>
        <w:tc>
          <w:tcPr>
            <w:tcW w:w="1185"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3,06</w:t>
            </w:r>
          </w:p>
        </w:tc>
        <w:tc>
          <w:tcPr>
            <w:tcW w:w="1173"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104,64%</w:t>
            </w:r>
          </w:p>
        </w:tc>
        <w:tc>
          <w:tcPr>
            <w:tcW w:w="1351"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101,61%</w:t>
            </w:r>
          </w:p>
        </w:tc>
        <w:tc>
          <w:tcPr>
            <w:tcW w:w="1340"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0,25%</w:t>
            </w:r>
          </w:p>
        </w:tc>
        <w:tc>
          <w:tcPr>
            <w:tcW w:w="1081"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0,21%</w:t>
            </w:r>
          </w:p>
        </w:tc>
      </w:tr>
      <w:tr w:rsidR="000B5C1F" w:rsidRPr="00706A7B" w:rsidTr="00A67DB9">
        <w:trPr>
          <w:trHeight w:val="559"/>
        </w:trPr>
        <w:tc>
          <w:tcPr>
            <w:tcW w:w="2269" w:type="dxa"/>
            <w:gridSpan w:val="2"/>
            <w:tcBorders>
              <w:top w:val="single" w:sz="4" w:space="0" w:color="auto"/>
              <w:left w:val="single" w:sz="4" w:space="0" w:color="auto"/>
              <w:bottom w:val="single" w:sz="4" w:space="0" w:color="auto"/>
              <w:right w:val="single" w:sz="4" w:space="0" w:color="auto"/>
            </w:tcBorders>
            <w:shd w:val="clear" w:color="auto" w:fill="EAF1DD"/>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xml:space="preserve">             Szlovákia</w:t>
            </w:r>
          </w:p>
        </w:tc>
        <w:tc>
          <w:tcPr>
            <w:tcW w:w="1173" w:type="dxa"/>
            <w:gridSpan w:val="2"/>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6 993</w:t>
            </w:r>
          </w:p>
        </w:tc>
        <w:tc>
          <w:tcPr>
            <w:tcW w:w="1060"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19 211</w:t>
            </w:r>
          </w:p>
        </w:tc>
        <w:tc>
          <w:tcPr>
            <w:tcW w:w="1185"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2,75</w:t>
            </w:r>
          </w:p>
        </w:tc>
        <w:tc>
          <w:tcPr>
            <w:tcW w:w="1173"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92,39%</w:t>
            </w:r>
          </w:p>
        </w:tc>
        <w:tc>
          <w:tcPr>
            <w:tcW w:w="1351"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95,03%</w:t>
            </w:r>
          </w:p>
        </w:tc>
        <w:tc>
          <w:tcPr>
            <w:tcW w:w="1340"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3,58%</w:t>
            </w:r>
          </w:p>
        </w:tc>
        <w:tc>
          <w:tcPr>
            <w:tcW w:w="1081" w:type="dxa"/>
            <w:tcBorders>
              <w:top w:val="single" w:sz="4" w:space="0" w:color="auto"/>
              <w:left w:val="nil"/>
              <w:bottom w:val="single" w:sz="4" w:space="0" w:color="auto"/>
              <w:right w:val="single" w:sz="4" w:space="0" w:color="auto"/>
            </w:tcBorders>
            <w:shd w:val="clear" w:color="auto" w:fill="EAF1DD"/>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2,65%</w:t>
            </w:r>
          </w:p>
        </w:tc>
      </w:tr>
      <w:tr w:rsidR="000B5C1F" w:rsidRPr="00706A7B" w:rsidTr="00A67DB9">
        <w:trPr>
          <w:trHeight w:val="276"/>
        </w:trPr>
        <w:tc>
          <w:tcPr>
            <w:tcW w:w="2269" w:type="dxa"/>
            <w:gridSpan w:val="2"/>
            <w:tcBorders>
              <w:top w:val="single" w:sz="4" w:space="0" w:color="auto"/>
              <w:left w:val="single" w:sz="4" w:space="0" w:color="auto"/>
              <w:bottom w:val="single" w:sz="4" w:space="0" w:color="auto"/>
              <w:right w:val="single" w:sz="4" w:space="0" w:color="auto"/>
            </w:tcBorders>
            <w:shd w:val="clear" w:color="auto" w:fill="F2DBDB"/>
            <w:noWrap/>
            <w:vAlign w:val="center"/>
            <w:hideMark/>
          </w:tcPr>
          <w:p w:rsidR="000B5C1F" w:rsidRPr="00706A7B" w:rsidRDefault="000B5C1F" w:rsidP="00A67DB9">
            <w:pPr>
              <w:spacing w:after="0" w:line="240" w:lineRule="auto"/>
              <w:jc w:val="both"/>
              <w:rPr>
                <w:rFonts w:ascii="Times New Roman" w:eastAsia="Times New Roman" w:hAnsi="Times New Roman"/>
                <w:b/>
                <w:color w:val="FF0000"/>
                <w:sz w:val="24"/>
                <w:szCs w:val="24"/>
                <w:lang w:eastAsia="hu-HU"/>
              </w:rPr>
            </w:pPr>
            <w:r w:rsidRPr="00706A7B">
              <w:rPr>
                <w:rFonts w:ascii="Times New Roman" w:eastAsia="Times New Roman" w:hAnsi="Times New Roman"/>
                <w:b/>
                <w:color w:val="FF0000"/>
                <w:sz w:val="24"/>
                <w:szCs w:val="24"/>
                <w:lang w:eastAsia="hu-HU"/>
              </w:rPr>
              <w:t>Sárvár</w:t>
            </w:r>
          </w:p>
        </w:tc>
        <w:tc>
          <w:tcPr>
            <w:tcW w:w="1173" w:type="dxa"/>
            <w:gridSpan w:val="2"/>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w:t>
            </w:r>
          </w:p>
        </w:tc>
        <w:tc>
          <w:tcPr>
            <w:tcW w:w="1060"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w:t>
            </w:r>
          </w:p>
        </w:tc>
        <w:tc>
          <w:tcPr>
            <w:tcW w:w="1185"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w:t>
            </w:r>
          </w:p>
        </w:tc>
        <w:tc>
          <w:tcPr>
            <w:tcW w:w="1173"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w:t>
            </w:r>
          </w:p>
        </w:tc>
        <w:tc>
          <w:tcPr>
            <w:tcW w:w="1351"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w:t>
            </w:r>
          </w:p>
        </w:tc>
        <w:tc>
          <w:tcPr>
            <w:tcW w:w="1340"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 </w:t>
            </w:r>
          </w:p>
        </w:tc>
        <w:tc>
          <w:tcPr>
            <w:tcW w:w="1081"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 </w:t>
            </w:r>
          </w:p>
        </w:tc>
      </w:tr>
      <w:tr w:rsidR="000B5C1F" w:rsidRPr="00706A7B" w:rsidTr="00A67DB9">
        <w:trPr>
          <w:trHeight w:val="276"/>
        </w:trPr>
        <w:tc>
          <w:tcPr>
            <w:tcW w:w="2269" w:type="dxa"/>
            <w:gridSpan w:val="2"/>
            <w:tcBorders>
              <w:top w:val="single" w:sz="4" w:space="0" w:color="auto"/>
              <w:left w:val="single" w:sz="4" w:space="0" w:color="auto"/>
              <w:bottom w:val="single" w:sz="4" w:space="0" w:color="auto"/>
              <w:right w:val="single" w:sz="4" w:space="0" w:color="auto"/>
            </w:tcBorders>
            <w:shd w:val="clear" w:color="auto" w:fill="F2DBDB"/>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Külföld összesen</w:t>
            </w:r>
          </w:p>
        </w:tc>
        <w:tc>
          <w:tcPr>
            <w:tcW w:w="1173" w:type="dxa"/>
            <w:gridSpan w:val="2"/>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91 545</w:t>
            </w:r>
          </w:p>
        </w:tc>
        <w:tc>
          <w:tcPr>
            <w:tcW w:w="1060"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307 504</w:t>
            </w:r>
          </w:p>
        </w:tc>
        <w:tc>
          <w:tcPr>
            <w:tcW w:w="1185"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3,36</w:t>
            </w:r>
          </w:p>
        </w:tc>
        <w:tc>
          <w:tcPr>
            <w:tcW w:w="1173"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106,63%</w:t>
            </w:r>
          </w:p>
        </w:tc>
        <w:tc>
          <w:tcPr>
            <w:tcW w:w="1351"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109,11%</w:t>
            </w:r>
          </w:p>
        </w:tc>
        <w:tc>
          <w:tcPr>
            <w:tcW w:w="1340"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51,21%</w:t>
            </w:r>
          </w:p>
        </w:tc>
        <w:tc>
          <w:tcPr>
            <w:tcW w:w="1081"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57,77%</w:t>
            </w:r>
          </w:p>
        </w:tc>
      </w:tr>
      <w:tr w:rsidR="000B5C1F" w:rsidRPr="00706A7B" w:rsidTr="00A67DB9">
        <w:trPr>
          <w:trHeight w:val="276"/>
        </w:trPr>
        <w:tc>
          <w:tcPr>
            <w:tcW w:w="2269" w:type="dxa"/>
            <w:gridSpan w:val="2"/>
            <w:tcBorders>
              <w:top w:val="single" w:sz="4" w:space="0" w:color="auto"/>
              <w:left w:val="single" w:sz="4" w:space="0" w:color="auto"/>
              <w:bottom w:val="single" w:sz="4" w:space="0" w:color="auto"/>
              <w:right w:val="single" w:sz="4" w:space="0" w:color="auto"/>
            </w:tcBorders>
            <w:shd w:val="clear" w:color="auto" w:fill="F2DBDB"/>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Belföld összesen</w:t>
            </w:r>
          </w:p>
        </w:tc>
        <w:tc>
          <w:tcPr>
            <w:tcW w:w="1173" w:type="dxa"/>
            <w:gridSpan w:val="2"/>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87 209</w:t>
            </w:r>
          </w:p>
        </w:tc>
        <w:tc>
          <w:tcPr>
            <w:tcW w:w="1060"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224 807</w:t>
            </w:r>
          </w:p>
        </w:tc>
        <w:tc>
          <w:tcPr>
            <w:tcW w:w="1185"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2,58</w:t>
            </w:r>
          </w:p>
        </w:tc>
        <w:tc>
          <w:tcPr>
            <w:tcW w:w="1173"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111,26%</w:t>
            </w:r>
          </w:p>
        </w:tc>
        <w:tc>
          <w:tcPr>
            <w:tcW w:w="1351"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108,82%</w:t>
            </w:r>
          </w:p>
        </w:tc>
        <w:tc>
          <w:tcPr>
            <w:tcW w:w="1340"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48,79%</w:t>
            </w:r>
          </w:p>
        </w:tc>
        <w:tc>
          <w:tcPr>
            <w:tcW w:w="1081"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42,23%</w:t>
            </w:r>
          </w:p>
        </w:tc>
      </w:tr>
      <w:tr w:rsidR="000B5C1F" w:rsidRPr="00706A7B" w:rsidTr="00A67DB9">
        <w:trPr>
          <w:trHeight w:val="276"/>
        </w:trPr>
        <w:tc>
          <w:tcPr>
            <w:tcW w:w="2269" w:type="dxa"/>
            <w:gridSpan w:val="2"/>
            <w:tcBorders>
              <w:top w:val="single" w:sz="4" w:space="0" w:color="auto"/>
              <w:left w:val="single" w:sz="4" w:space="0" w:color="auto"/>
              <w:bottom w:val="single" w:sz="4" w:space="0" w:color="auto"/>
              <w:right w:val="single" w:sz="4" w:space="0" w:color="auto"/>
            </w:tcBorders>
            <w:shd w:val="clear" w:color="auto" w:fill="F2DBDB"/>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Mindösszesen</w:t>
            </w:r>
          </w:p>
        </w:tc>
        <w:tc>
          <w:tcPr>
            <w:tcW w:w="1173" w:type="dxa"/>
            <w:gridSpan w:val="2"/>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178 754</w:t>
            </w:r>
          </w:p>
        </w:tc>
        <w:tc>
          <w:tcPr>
            <w:tcW w:w="1060"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532 311</w:t>
            </w:r>
          </w:p>
        </w:tc>
        <w:tc>
          <w:tcPr>
            <w:tcW w:w="1185"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2,98</w:t>
            </w:r>
          </w:p>
        </w:tc>
        <w:tc>
          <w:tcPr>
            <w:tcW w:w="1173"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108,84%</w:t>
            </w:r>
          </w:p>
        </w:tc>
        <w:tc>
          <w:tcPr>
            <w:tcW w:w="1351"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108,99%</w:t>
            </w:r>
          </w:p>
        </w:tc>
        <w:tc>
          <w:tcPr>
            <w:tcW w:w="1340"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 </w:t>
            </w:r>
          </w:p>
        </w:tc>
        <w:tc>
          <w:tcPr>
            <w:tcW w:w="1081"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 </w:t>
            </w:r>
          </w:p>
        </w:tc>
      </w:tr>
      <w:tr w:rsidR="000B5C1F" w:rsidRPr="00706A7B" w:rsidTr="00A67DB9">
        <w:trPr>
          <w:trHeight w:val="276"/>
        </w:trPr>
        <w:tc>
          <w:tcPr>
            <w:tcW w:w="2269" w:type="dxa"/>
            <w:gridSpan w:val="2"/>
            <w:tcBorders>
              <w:top w:val="single" w:sz="4" w:space="0" w:color="auto"/>
              <w:left w:val="single" w:sz="4" w:space="0" w:color="auto"/>
              <w:bottom w:val="single" w:sz="4" w:space="0" w:color="auto"/>
              <w:right w:val="single" w:sz="4" w:space="0" w:color="auto"/>
            </w:tcBorders>
            <w:shd w:val="clear" w:color="auto" w:fill="F2DBDB"/>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Ebből: Ausztria</w:t>
            </w:r>
          </w:p>
        </w:tc>
        <w:tc>
          <w:tcPr>
            <w:tcW w:w="1173" w:type="dxa"/>
            <w:gridSpan w:val="2"/>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23 457</w:t>
            </w:r>
          </w:p>
        </w:tc>
        <w:tc>
          <w:tcPr>
            <w:tcW w:w="1060"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66 326</w:t>
            </w:r>
          </w:p>
        </w:tc>
        <w:tc>
          <w:tcPr>
            <w:tcW w:w="1185"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2,83</w:t>
            </w:r>
          </w:p>
        </w:tc>
        <w:tc>
          <w:tcPr>
            <w:tcW w:w="1173"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97,90%</w:t>
            </w:r>
          </w:p>
        </w:tc>
        <w:tc>
          <w:tcPr>
            <w:tcW w:w="1351"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97,78%</w:t>
            </w:r>
          </w:p>
        </w:tc>
        <w:tc>
          <w:tcPr>
            <w:tcW w:w="1340"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13,12%</w:t>
            </w:r>
          </w:p>
        </w:tc>
        <w:tc>
          <w:tcPr>
            <w:tcW w:w="1081"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12,46%</w:t>
            </w:r>
          </w:p>
        </w:tc>
      </w:tr>
      <w:tr w:rsidR="000B5C1F" w:rsidRPr="00706A7B" w:rsidTr="00A67DB9">
        <w:trPr>
          <w:trHeight w:val="276"/>
        </w:trPr>
        <w:tc>
          <w:tcPr>
            <w:tcW w:w="2269" w:type="dxa"/>
            <w:gridSpan w:val="2"/>
            <w:tcBorders>
              <w:top w:val="single" w:sz="4" w:space="0" w:color="auto"/>
              <w:left w:val="single" w:sz="4" w:space="0" w:color="auto"/>
              <w:bottom w:val="single" w:sz="4" w:space="0" w:color="auto"/>
              <w:right w:val="single" w:sz="4" w:space="0" w:color="auto"/>
            </w:tcBorders>
            <w:shd w:val="clear" w:color="auto" w:fill="F2DBDB"/>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xml:space="preserve">             Csehország</w:t>
            </w:r>
          </w:p>
        </w:tc>
        <w:tc>
          <w:tcPr>
            <w:tcW w:w="1173" w:type="dxa"/>
            <w:gridSpan w:val="2"/>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47 514</w:t>
            </w:r>
          </w:p>
        </w:tc>
        <w:tc>
          <w:tcPr>
            <w:tcW w:w="1060"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160 664</w:t>
            </w:r>
          </w:p>
        </w:tc>
        <w:tc>
          <w:tcPr>
            <w:tcW w:w="1185"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3,38</w:t>
            </w:r>
          </w:p>
        </w:tc>
        <w:tc>
          <w:tcPr>
            <w:tcW w:w="1173"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113,71%</w:t>
            </w:r>
          </w:p>
        </w:tc>
        <w:tc>
          <w:tcPr>
            <w:tcW w:w="1351"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115,03%</w:t>
            </w:r>
          </w:p>
        </w:tc>
        <w:tc>
          <w:tcPr>
            <w:tcW w:w="1340"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26,58%</w:t>
            </w:r>
          </w:p>
        </w:tc>
        <w:tc>
          <w:tcPr>
            <w:tcW w:w="1081"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30,18%</w:t>
            </w:r>
          </w:p>
        </w:tc>
      </w:tr>
      <w:tr w:rsidR="000B5C1F" w:rsidRPr="00706A7B" w:rsidTr="00A67DB9">
        <w:trPr>
          <w:trHeight w:val="276"/>
        </w:trPr>
        <w:tc>
          <w:tcPr>
            <w:tcW w:w="2269" w:type="dxa"/>
            <w:gridSpan w:val="2"/>
            <w:tcBorders>
              <w:top w:val="single" w:sz="4" w:space="0" w:color="auto"/>
              <w:left w:val="single" w:sz="4" w:space="0" w:color="auto"/>
              <w:bottom w:val="single" w:sz="4" w:space="0" w:color="auto"/>
              <w:right w:val="single" w:sz="4" w:space="0" w:color="auto"/>
            </w:tcBorders>
            <w:shd w:val="clear" w:color="auto" w:fill="F2DBDB"/>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xml:space="preserve">             Lengyelország</w:t>
            </w:r>
          </w:p>
        </w:tc>
        <w:tc>
          <w:tcPr>
            <w:tcW w:w="1173" w:type="dxa"/>
            <w:gridSpan w:val="2"/>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1 648</w:t>
            </w:r>
          </w:p>
        </w:tc>
        <w:tc>
          <w:tcPr>
            <w:tcW w:w="1060"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4 598</w:t>
            </w:r>
          </w:p>
        </w:tc>
        <w:tc>
          <w:tcPr>
            <w:tcW w:w="1185"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2,79</w:t>
            </w:r>
          </w:p>
        </w:tc>
        <w:tc>
          <w:tcPr>
            <w:tcW w:w="1173"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103,06%</w:t>
            </w:r>
          </w:p>
        </w:tc>
        <w:tc>
          <w:tcPr>
            <w:tcW w:w="1351"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103,82%</w:t>
            </w:r>
          </w:p>
        </w:tc>
        <w:tc>
          <w:tcPr>
            <w:tcW w:w="1340"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0,92%</w:t>
            </w:r>
          </w:p>
        </w:tc>
        <w:tc>
          <w:tcPr>
            <w:tcW w:w="1081"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0,86%</w:t>
            </w:r>
          </w:p>
        </w:tc>
      </w:tr>
      <w:tr w:rsidR="000B5C1F" w:rsidRPr="00706A7B" w:rsidTr="00A67DB9">
        <w:trPr>
          <w:trHeight w:val="276"/>
        </w:trPr>
        <w:tc>
          <w:tcPr>
            <w:tcW w:w="2269" w:type="dxa"/>
            <w:gridSpan w:val="2"/>
            <w:tcBorders>
              <w:top w:val="single" w:sz="4" w:space="0" w:color="auto"/>
              <w:left w:val="single" w:sz="4" w:space="0" w:color="auto"/>
              <w:bottom w:val="single" w:sz="4" w:space="0" w:color="auto"/>
              <w:right w:val="single" w:sz="4" w:space="0" w:color="auto"/>
            </w:tcBorders>
            <w:shd w:val="clear" w:color="auto" w:fill="F2DBDB"/>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xml:space="preserve">             Németország</w:t>
            </w:r>
          </w:p>
        </w:tc>
        <w:tc>
          <w:tcPr>
            <w:tcW w:w="1173" w:type="dxa"/>
            <w:gridSpan w:val="2"/>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3 999</w:t>
            </w:r>
          </w:p>
        </w:tc>
        <w:tc>
          <w:tcPr>
            <w:tcW w:w="1060"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23 603</w:t>
            </w:r>
          </w:p>
        </w:tc>
        <w:tc>
          <w:tcPr>
            <w:tcW w:w="1185"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5,90</w:t>
            </w:r>
          </w:p>
        </w:tc>
        <w:tc>
          <w:tcPr>
            <w:tcW w:w="1173"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95,62%</w:t>
            </w:r>
          </w:p>
        </w:tc>
        <w:tc>
          <w:tcPr>
            <w:tcW w:w="1351"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102,00%</w:t>
            </w:r>
          </w:p>
        </w:tc>
        <w:tc>
          <w:tcPr>
            <w:tcW w:w="1340"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2,24%</w:t>
            </w:r>
          </w:p>
        </w:tc>
        <w:tc>
          <w:tcPr>
            <w:tcW w:w="1081"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4,43%</w:t>
            </w:r>
          </w:p>
        </w:tc>
      </w:tr>
      <w:tr w:rsidR="000B5C1F" w:rsidRPr="00706A7B" w:rsidTr="00A67DB9">
        <w:trPr>
          <w:trHeight w:val="276"/>
        </w:trPr>
        <w:tc>
          <w:tcPr>
            <w:tcW w:w="2269" w:type="dxa"/>
            <w:gridSpan w:val="2"/>
            <w:tcBorders>
              <w:top w:val="single" w:sz="4" w:space="0" w:color="auto"/>
              <w:left w:val="single" w:sz="4" w:space="0" w:color="auto"/>
              <w:bottom w:val="single" w:sz="4" w:space="0" w:color="auto"/>
              <w:right w:val="single" w:sz="4" w:space="0" w:color="auto"/>
            </w:tcBorders>
            <w:shd w:val="clear" w:color="auto" w:fill="F2DBDB"/>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xml:space="preserve">             Oroszország</w:t>
            </w:r>
          </w:p>
        </w:tc>
        <w:tc>
          <w:tcPr>
            <w:tcW w:w="1173" w:type="dxa"/>
            <w:gridSpan w:val="2"/>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1 646</w:t>
            </w:r>
          </w:p>
        </w:tc>
        <w:tc>
          <w:tcPr>
            <w:tcW w:w="1060"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10 711</w:t>
            </w:r>
          </w:p>
        </w:tc>
        <w:tc>
          <w:tcPr>
            <w:tcW w:w="1185"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6,51</w:t>
            </w:r>
          </w:p>
        </w:tc>
        <w:tc>
          <w:tcPr>
            <w:tcW w:w="1173"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105,24%</w:t>
            </w:r>
          </w:p>
        </w:tc>
        <w:tc>
          <w:tcPr>
            <w:tcW w:w="1351"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99,04%</w:t>
            </w:r>
          </w:p>
        </w:tc>
        <w:tc>
          <w:tcPr>
            <w:tcW w:w="1340"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0,92%</w:t>
            </w:r>
          </w:p>
        </w:tc>
        <w:tc>
          <w:tcPr>
            <w:tcW w:w="1081"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2,01%</w:t>
            </w:r>
          </w:p>
        </w:tc>
      </w:tr>
      <w:tr w:rsidR="000B5C1F" w:rsidRPr="00706A7B" w:rsidTr="00A67DB9">
        <w:trPr>
          <w:trHeight w:val="276"/>
        </w:trPr>
        <w:tc>
          <w:tcPr>
            <w:tcW w:w="2269" w:type="dxa"/>
            <w:gridSpan w:val="2"/>
            <w:tcBorders>
              <w:top w:val="single" w:sz="4" w:space="0" w:color="auto"/>
              <w:left w:val="single" w:sz="4" w:space="0" w:color="auto"/>
              <w:bottom w:val="single" w:sz="4" w:space="0" w:color="auto"/>
              <w:right w:val="single" w:sz="4" w:space="0" w:color="auto"/>
            </w:tcBorders>
            <w:shd w:val="clear" w:color="auto" w:fill="F2DBDB"/>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xml:space="preserve">             Románia</w:t>
            </w:r>
          </w:p>
        </w:tc>
        <w:tc>
          <w:tcPr>
            <w:tcW w:w="1173" w:type="dxa"/>
            <w:gridSpan w:val="2"/>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656</w:t>
            </w:r>
          </w:p>
        </w:tc>
        <w:tc>
          <w:tcPr>
            <w:tcW w:w="1060"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1 944</w:t>
            </w:r>
          </w:p>
        </w:tc>
        <w:tc>
          <w:tcPr>
            <w:tcW w:w="1185"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2,96</w:t>
            </w:r>
          </w:p>
        </w:tc>
        <w:tc>
          <w:tcPr>
            <w:tcW w:w="1173"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80,69%</w:t>
            </w:r>
          </w:p>
        </w:tc>
        <w:tc>
          <w:tcPr>
            <w:tcW w:w="1351"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85,23%</w:t>
            </w:r>
          </w:p>
        </w:tc>
        <w:tc>
          <w:tcPr>
            <w:tcW w:w="1340"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0,37%</w:t>
            </w:r>
          </w:p>
        </w:tc>
        <w:tc>
          <w:tcPr>
            <w:tcW w:w="1081"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0,37%</w:t>
            </w:r>
          </w:p>
        </w:tc>
      </w:tr>
      <w:tr w:rsidR="000B5C1F" w:rsidRPr="00706A7B" w:rsidTr="00A67DB9">
        <w:trPr>
          <w:trHeight w:val="276"/>
        </w:trPr>
        <w:tc>
          <w:tcPr>
            <w:tcW w:w="2269" w:type="dxa"/>
            <w:gridSpan w:val="2"/>
            <w:tcBorders>
              <w:top w:val="single" w:sz="4" w:space="0" w:color="auto"/>
              <w:left w:val="single" w:sz="4" w:space="0" w:color="auto"/>
              <w:bottom w:val="single" w:sz="4" w:space="0" w:color="auto"/>
              <w:right w:val="single" w:sz="4" w:space="0" w:color="auto"/>
            </w:tcBorders>
            <w:shd w:val="clear" w:color="auto" w:fill="F2DBDB"/>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xml:space="preserve">             Szlovákia</w:t>
            </w:r>
          </w:p>
        </w:tc>
        <w:tc>
          <w:tcPr>
            <w:tcW w:w="1173" w:type="dxa"/>
            <w:gridSpan w:val="2"/>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7 400</w:t>
            </w:r>
          </w:p>
        </w:tc>
        <w:tc>
          <w:tcPr>
            <w:tcW w:w="1060"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19 615</w:t>
            </w:r>
          </w:p>
        </w:tc>
        <w:tc>
          <w:tcPr>
            <w:tcW w:w="1185"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2,65</w:t>
            </w:r>
          </w:p>
        </w:tc>
        <w:tc>
          <w:tcPr>
            <w:tcW w:w="1173"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111,51%</w:t>
            </w:r>
          </w:p>
        </w:tc>
        <w:tc>
          <w:tcPr>
            <w:tcW w:w="1351"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111,57%</w:t>
            </w:r>
          </w:p>
        </w:tc>
        <w:tc>
          <w:tcPr>
            <w:tcW w:w="1340"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4,14%</w:t>
            </w:r>
          </w:p>
        </w:tc>
        <w:tc>
          <w:tcPr>
            <w:tcW w:w="1081" w:type="dxa"/>
            <w:tcBorders>
              <w:top w:val="single" w:sz="4" w:space="0" w:color="auto"/>
              <w:left w:val="nil"/>
              <w:bottom w:val="single" w:sz="4" w:space="0" w:color="auto"/>
              <w:right w:val="single" w:sz="4" w:space="0" w:color="auto"/>
            </w:tcBorders>
            <w:shd w:val="clear" w:color="auto" w:fill="F2DBDB"/>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3,68%</w:t>
            </w:r>
          </w:p>
        </w:tc>
      </w:tr>
    </w:tbl>
    <w:p w:rsidR="000C48D5" w:rsidRDefault="000C48D5" w:rsidP="000C48D5">
      <w:pPr>
        <w:ind w:firstLine="708"/>
        <w:rPr>
          <w:b/>
          <w:color w:val="FF0000"/>
          <w:sz w:val="24"/>
          <w:szCs w:val="24"/>
        </w:rPr>
      </w:pPr>
    </w:p>
    <w:p w:rsidR="00450C5E" w:rsidRDefault="00450C5E" w:rsidP="000C48D5">
      <w:pPr>
        <w:ind w:firstLine="708"/>
        <w:rPr>
          <w:b/>
          <w:color w:val="FF0000"/>
          <w:sz w:val="24"/>
          <w:szCs w:val="24"/>
        </w:rPr>
      </w:pPr>
    </w:p>
    <w:p w:rsidR="00450C5E" w:rsidRPr="00706A7B" w:rsidRDefault="00450C5E" w:rsidP="000C48D5">
      <w:pPr>
        <w:ind w:firstLine="708"/>
        <w:rPr>
          <w:b/>
          <w:color w:val="FF0000"/>
          <w:sz w:val="24"/>
          <w:szCs w:val="24"/>
        </w:rPr>
      </w:pPr>
    </w:p>
    <w:tbl>
      <w:tblPr>
        <w:tblW w:w="10627" w:type="dxa"/>
        <w:tblInd w:w="-356" w:type="dxa"/>
        <w:tblCellMar>
          <w:left w:w="70" w:type="dxa"/>
          <w:right w:w="70" w:type="dxa"/>
        </w:tblCellMar>
        <w:tblLook w:val="04A0" w:firstRow="1" w:lastRow="0" w:firstColumn="1" w:lastColumn="0" w:noHBand="0" w:noVBand="1"/>
      </w:tblPr>
      <w:tblGrid>
        <w:gridCol w:w="2269"/>
        <w:gridCol w:w="1129"/>
        <w:gridCol w:w="1060"/>
        <w:gridCol w:w="1118"/>
        <w:gridCol w:w="1000"/>
        <w:gridCol w:w="1351"/>
        <w:gridCol w:w="1340"/>
        <w:gridCol w:w="1360"/>
      </w:tblGrid>
      <w:tr w:rsidR="000B5C1F" w:rsidRPr="00706A7B" w:rsidTr="00450C5E">
        <w:trPr>
          <w:trHeight w:val="276"/>
        </w:trPr>
        <w:tc>
          <w:tcPr>
            <w:tcW w:w="2269" w:type="dxa"/>
            <w:tcBorders>
              <w:top w:val="nil"/>
              <w:left w:val="single" w:sz="4" w:space="0" w:color="auto"/>
              <w:bottom w:val="single" w:sz="4" w:space="0" w:color="auto"/>
              <w:right w:val="single" w:sz="4" w:space="0" w:color="auto"/>
            </w:tcBorders>
            <w:shd w:val="clear" w:color="auto" w:fill="DAEEF3"/>
            <w:noWrap/>
            <w:vAlign w:val="center"/>
            <w:hideMark/>
          </w:tcPr>
          <w:p w:rsidR="000B5C1F" w:rsidRPr="00706A7B" w:rsidRDefault="000B5C1F" w:rsidP="00A67DB9">
            <w:pPr>
              <w:spacing w:after="0" w:line="240" w:lineRule="auto"/>
              <w:jc w:val="both"/>
              <w:rPr>
                <w:rFonts w:ascii="Times New Roman" w:eastAsia="Times New Roman" w:hAnsi="Times New Roman"/>
                <w:b/>
                <w:color w:val="FF0000"/>
                <w:sz w:val="24"/>
                <w:szCs w:val="24"/>
                <w:lang w:eastAsia="hu-HU"/>
              </w:rPr>
            </w:pPr>
            <w:r w:rsidRPr="00706A7B">
              <w:rPr>
                <w:rFonts w:ascii="Times New Roman" w:eastAsia="Times New Roman" w:hAnsi="Times New Roman"/>
                <w:b/>
                <w:color w:val="FF0000"/>
                <w:sz w:val="24"/>
                <w:szCs w:val="24"/>
                <w:lang w:eastAsia="hu-HU"/>
              </w:rPr>
              <w:t>Zalakaros</w:t>
            </w:r>
          </w:p>
        </w:tc>
        <w:tc>
          <w:tcPr>
            <w:tcW w:w="1129" w:type="dxa"/>
            <w:tcBorders>
              <w:top w:val="nil"/>
              <w:left w:val="nil"/>
              <w:bottom w:val="single" w:sz="4" w:space="0" w:color="auto"/>
              <w:right w:val="single" w:sz="4" w:space="0" w:color="auto"/>
            </w:tcBorders>
            <w:shd w:val="clear" w:color="auto" w:fill="DAEEF3"/>
            <w:noWrap/>
            <w:vAlign w:val="bottom"/>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w:t>
            </w:r>
          </w:p>
        </w:tc>
        <w:tc>
          <w:tcPr>
            <w:tcW w:w="1060" w:type="dxa"/>
            <w:tcBorders>
              <w:top w:val="nil"/>
              <w:left w:val="nil"/>
              <w:bottom w:val="single" w:sz="4" w:space="0" w:color="auto"/>
              <w:right w:val="single" w:sz="4" w:space="0" w:color="auto"/>
            </w:tcBorders>
            <w:shd w:val="clear" w:color="auto" w:fill="DAEEF3"/>
            <w:noWrap/>
            <w:vAlign w:val="bottom"/>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w:t>
            </w:r>
          </w:p>
        </w:tc>
        <w:tc>
          <w:tcPr>
            <w:tcW w:w="1118" w:type="dxa"/>
            <w:tcBorders>
              <w:top w:val="nil"/>
              <w:left w:val="nil"/>
              <w:bottom w:val="single" w:sz="4" w:space="0" w:color="auto"/>
              <w:right w:val="single" w:sz="4" w:space="0" w:color="auto"/>
            </w:tcBorders>
            <w:shd w:val="clear" w:color="auto" w:fill="DAEEF3"/>
            <w:noWrap/>
            <w:vAlign w:val="bottom"/>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w:t>
            </w:r>
          </w:p>
        </w:tc>
        <w:tc>
          <w:tcPr>
            <w:tcW w:w="1000" w:type="dxa"/>
            <w:tcBorders>
              <w:top w:val="nil"/>
              <w:left w:val="nil"/>
              <w:bottom w:val="single" w:sz="4" w:space="0" w:color="auto"/>
              <w:right w:val="single" w:sz="4" w:space="0" w:color="auto"/>
            </w:tcBorders>
            <w:shd w:val="clear" w:color="auto" w:fill="DAEEF3"/>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w:t>
            </w:r>
          </w:p>
        </w:tc>
        <w:tc>
          <w:tcPr>
            <w:tcW w:w="1351" w:type="dxa"/>
            <w:tcBorders>
              <w:top w:val="nil"/>
              <w:left w:val="nil"/>
              <w:bottom w:val="single" w:sz="4" w:space="0" w:color="auto"/>
              <w:right w:val="single" w:sz="4" w:space="0" w:color="auto"/>
            </w:tcBorders>
            <w:shd w:val="clear" w:color="auto" w:fill="DAEEF3"/>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w:t>
            </w:r>
          </w:p>
        </w:tc>
        <w:tc>
          <w:tcPr>
            <w:tcW w:w="1340" w:type="dxa"/>
            <w:tcBorders>
              <w:top w:val="nil"/>
              <w:left w:val="nil"/>
              <w:bottom w:val="single" w:sz="4" w:space="0" w:color="auto"/>
              <w:right w:val="single" w:sz="4" w:space="0" w:color="auto"/>
            </w:tcBorders>
            <w:shd w:val="clear" w:color="auto" w:fill="DAEEF3"/>
            <w:noWrap/>
            <w:vAlign w:val="bottom"/>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 </w:t>
            </w:r>
          </w:p>
        </w:tc>
        <w:tc>
          <w:tcPr>
            <w:tcW w:w="1360" w:type="dxa"/>
            <w:tcBorders>
              <w:top w:val="nil"/>
              <w:left w:val="nil"/>
              <w:bottom w:val="single" w:sz="4" w:space="0" w:color="auto"/>
              <w:right w:val="single" w:sz="4" w:space="0" w:color="auto"/>
            </w:tcBorders>
            <w:shd w:val="clear" w:color="auto" w:fill="DAEEF3"/>
            <w:noWrap/>
            <w:vAlign w:val="bottom"/>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 </w:t>
            </w:r>
          </w:p>
        </w:tc>
      </w:tr>
      <w:tr w:rsidR="000B5C1F" w:rsidRPr="00706A7B" w:rsidTr="00450C5E">
        <w:trPr>
          <w:trHeight w:val="276"/>
        </w:trPr>
        <w:tc>
          <w:tcPr>
            <w:tcW w:w="2269" w:type="dxa"/>
            <w:tcBorders>
              <w:top w:val="single" w:sz="4" w:space="0" w:color="auto"/>
              <w:left w:val="single" w:sz="4" w:space="0" w:color="auto"/>
              <w:bottom w:val="single" w:sz="4" w:space="0" w:color="auto"/>
              <w:right w:val="single" w:sz="4" w:space="0" w:color="auto"/>
            </w:tcBorders>
            <w:shd w:val="clear" w:color="auto" w:fill="DAEEF3"/>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Külföld összesen</w:t>
            </w:r>
          </w:p>
        </w:tc>
        <w:tc>
          <w:tcPr>
            <w:tcW w:w="1129"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39 548</w:t>
            </w:r>
          </w:p>
        </w:tc>
        <w:tc>
          <w:tcPr>
            <w:tcW w:w="106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160 965</w:t>
            </w:r>
          </w:p>
        </w:tc>
        <w:tc>
          <w:tcPr>
            <w:tcW w:w="1118"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4,07</w:t>
            </w:r>
          </w:p>
        </w:tc>
        <w:tc>
          <w:tcPr>
            <w:tcW w:w="100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108,73%</w:t>
            </w:r>
          </w:p>
        </w:tc>
        <w:tc>
          <w:tcPr>
            <w:tcW w:w="1351"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107,83%</w:t>
            </w:r>
          </w:p>
        </w:tc>
        <w:tc>
          <w:tcPr>
            <w:tcW w:w="134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18,47%</w:t>
            </w:r>
          </w:p>
        </w:tc>
        <w:tc>
          <w:tcPr>
            <w:tcW w:w="136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24,10%</w:t>
            </w:r>
          </w:p>
        </w:tc>
      </w:tr>
      <w:tr w:rsidR="000B5C1F" w:rsidRPr="00706A7B" w:rsidTr="00450C5E">
        <w:trPr>
          <w:trHeight w:val="276"/>
        </w:trPr>
        <w:tc>
          <w:tcPr>
            <w:tcW w:w="2269" w:type="dxa"/>
            <w:tcBorders>
              <w:top w:val="single" w:sz="4" w:space="0" w:color="auto"/>
              <w:left w:val="single" w:sz="4" w:space="0" w:color="auto"/>
              <w:bottom w:val="single" w:sz="4" w:space="0" w:color="auto"/>
              <w:right w:val="single" w:sz="4" w:space="0" w:color="auto"/>
            </w:tcBorders>
            <w:shd w:val="clear" w:color="auto" w:fill="DAEEF3"/>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lastRenderedPageBreak/>
              <w:t>Belföld összesen</w:t>
            </w:r>
          </w:p>
        </w:tc>
        <w:tc>
          <w:tcPr>
            <w:tcW w:w="1129"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174 550</w:t>
            </w:r>
          </w:p>
        </w:tc>
        <w:tc>
          <w:tcPr>
            <w:tcW w:w="106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506 994</w:t>
            </w:r>
          </w:p>
        </w:tc>
        <w:tc>
          <w:tcPr>
            <w:tcW w:w="1118"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2,90</w:t>
            </w:r>
          </w:p>
        </w:tc>
        <w:tc>
          <w:tcPr>
            <w:tcW w:w="100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105,58%</w:t>
            </w:r>
          </w:p>
        </w:tc>
        <w:tc>
          <w:tcPr>
            <w:tcW w:w="1351"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103,95%</w:t>
            </w:r>
          </w:p>
        </w:tc>
        <w:tc>
          <w:tcPr>
            <w:tcW w:w="134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81,53%</w:t>
            </w:r>
          </w:p>
        </w:tc>
        <w:tc>
          <w:tcPr>
            <w:tcW w:w="136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75,90%</w:t>
            </w:r>
          </w:p>
        </w:tc>
      </w:tr>
      <w:tr w:rsidR="000B5C1F" w:rsidRPr="00706A7B" w:rsidTr="00450C5E">
        <w:trPr>
          <w:trHeight w:val="276"/>
        </w:trPr>
        <w:tc>
          <w:tcPr>
            <w:tcW w:w="2269" w:type="dxa"/>
            <w:tcBorders>
              <w:top w:val="single" w:sz="4" w:space="0" w:color="auto"/>
              <w:left w:val="single" w:sz="4" w:space="0" w:color="auto"/>
              <w:bottom w:val="single" w:sz="4" w:space="0" w:color="auto"/>
              <w:right w:val="single" w:sz="4" w:space="0" w:color="auto"/>
            </w:tcBorders>
            <w:shd w:val="clear" w:color="auto" w:fill="DAEEF3"/>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Mindösszesen</w:t>
            </w:r>
          </w:p>
        </w:tc>
        <w:tc>
          <w:tcPr>
            <w:tcW w:w="1129"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214 098</w:t>
            </w:r>
          </w:p>
        </w:tc>
        <w:tc>
          <w:tcPr>
            <w:tcW w:w="106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667 959</w:t>
            </w:r>
          </w:p>
        </w:tc>
        <w:tc>
          <w:tcPr>
            <w:tcW w:w="1118"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3,12</w:t>
            </w:r>
          </w:p>
        </w:tc>
        <w:tc>
          <w:tcPr>
            <w:tcW w:w="100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106,15%</w:t>
            </w:r>
          </w:p>
        </w:tc>
        <w:tc>
          <w:tcPr>
            <w:tcW w:w="1351"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104,86%</w:t>
            </w:r>
          </w:p>
        </w:tc>
        <w:tc>
          <w:tcPr>
            <w:tcW w:w="134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 </w:t>
            </w:r>
          </w:p>
        </w:tc>
        <w:tc>
          <w:tcPr>
            <w:tcW w:w="136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 </w:t>
            </w:r>
          </w:p>
        </w:tc>
      </w:tr>
      <w:tr w:rsidR="000B5C1F" w:rsidRPr="00706A7B" w:rsidTr="00450C5E">
        <w:trPr>
          <w:trHeight w:val="276"/>
        </w:trPr>
        <w:tc>
          <w:tcPr>
            <w:tcW w:w="2269" w:type="dxa"/>
            <w:tcBorders>
              <w:top w:val="single" w:sz="4" w:space="0" w:color="auto"/>
              <w:left w:val="single" w:sz="4" w:space="0" w:color="auto"/>
              <w:bottom w:val="single" w:sz="4" w:space="0" w:color="auto"/>
              <w:right w:val="single" w:sz="4" w:space="0" w:color="auto"/>
            </w:tcBorders>
            <w:shd w:val="clear" w:color="auto" w:fill="DAEEF3"/>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Ebből: Ausztria</w:t>
            </w:r>
          </w:p>
        </w:tc>
        <w:tc>
          <w:tcPr>
            <w:tcW w:w="1129"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7 130</w:t>
            </w:r>
          </w:p>
        </w:tc>
        <w:tc>
          <w:tcPr>
            <w:tcW w:w="106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23 352</w:t>
            </w:r>
          </w:p>
        </w:tc>
        <w:tc>
          <w:tcPr>
            <w:tcW w:w="1118"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3,28</w:t>
            </w:r>
          </w:p>
        </w:tc>
        <w:tc>
          <w:tcPr>
            <w:tcW w:w="100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106,98%</w:t>
            </w:r>
          </w:p>
        </w:tc>
        <w:tc>
          <w:tcPr>
            <w:tcW w:w="1351"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101,17%</w:t>
            </w:r>
          </w:p>
        </w:tc>
        <w:tc>
          <w:tcPr>
            <w:tcW w:w="134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3,33%</w:t>
            </w:r>
          </w:p>
        </w:tc>
        <w:tc>
          <w:tcPr>
            <w:tcW w:w="136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3,50%</w:t>
            </w:r>
          </w:p>
        </w:tc>
      </w:tr>
      <w:tr w:rsidR="000B5C1F" w:rsidRPr="00706A7B" w:rsidTr="00450C5E">
        <w:trPr>
          <w:trHeight w:val="276"/>
        </w:trPr>
        <w:tc>
          <w:tcPr>
            <w:tcW w:w="2269" w:type="dxa"/>
            <w:tcBorders>
              <w:top w:val="single" w:sz="4" w:space="0" w:color="auto"/>
              <w:left w:val="single" w:sz="4" w:space="0" w:color="auto"/>
              <w:bottom w:val="single" w:sz="4" w:space="0" w:color="auto"/>
              <w:right w:val="single" w:sz="4" w:space="0" w:color="auto"/>
            </w:tcBorders>
            <w:shd w:val="clear" w:color="auto" w:fill="DAEEF3"/>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xml:space="preserve">             Csehország</w:t>
            </w:r>
          </w:p>
        </w:tc>
        <w:tc>
          <w:tcPr>
            <w:tcW w:w="1129"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13 940</w:t>
            </w:r>
          </w:p>
        </w:tc>
        <w:tc>
          <w:tcPr>
            <w:tcW w:w="106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55 671</w:t>
            </w:r>
          </w:p>
        </w:tc>
        <w:tc>
          <w:tcPr>
            <w:tcW w:w="1118"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3,99</w:t>
            </w:r>
          </w:p>
        </w:tc>
        <w:tc>
          <w:tcPr>
            <w:tcW w:w="100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114,04%</w:t>
            </w:r>
          </w:p>
        </w:tc>
        <w:tc>
          <w:tcPr>
            <w:tcW w:w="1351"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114,08%</w:t>
            </w:r>
          </w:p>
        </w:tc>
        <w:tc>
          <w:tcPr>
            <w:tcW w:w="134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6,51%</w:t>
            </w:r>
          </w:p>
        </w:tc>
        <w:tc>
          <w:tcPr>
            <w:tcW w:w="136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8,33%</w:t>
            </w:r>
          </w:p>
        </w:tc>
      </w:tr>
      <w:tr w:rsidR="000B5C1F" w:rsidRPr="00706A7B" w:rsidTr="00450C5E">
        <w:trPr>
          <w:trHeight w:val="276"/>
        </w:trPr>
        <w:tc>
          <w:tcPr>
            <w:tcW w:w="2269" w:type="dxa"/>
            <w:tcBorders>
              <w:top w:val="single" w:sz="4" w:space="0" w:color="auto"/>
              <w:left w:val="single" w:sz="4" w:space="0" w:color="auto"/>
              <w:bottom w:val="single" w:sz="4" w:space="0" w:color="auto"/>
              <w:right w:val="single" w:sz="4" w:space="0" w:color="auto"/>
            </w:tcBorders>
            <w:shd w:val="clear" w:color="auto" w:fill="DAEEF3"/>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xml:space="preserve">             Lengyelország</w:t>
            </w:r>
          </w:p>
        </w:tc>
        <w:tc>
          <w:tcPr>
            <w:tcW w:w="1129"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1 053</w:t>
            </w:r>
          </w:p>
        </w:tc>
        <w:tc>
          <w:tcPr>
            <w:tcW w:w="106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3 520</w:t>
            </w:r>
          </w:p>
        </w:tc>
        <w:tc>
          <w:tcPr>
            <w:tcW w:w="1118"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3,34</w:t>
            </w:r>
          </w:p>
        </w:tc>
        <w:tc>
          <w:tcPr>
            <w:tcW w:w="100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123,45%</w:t>
            </w:r>
          </w:p>
        </w:tc>
        <w:tc>
          <w:tcPr>
            <w:tcW w:w="1351"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118,92%</w:t>
            </w:r>
          </w:p>
        </w:tc>
        <w:tc>
          <w:tcPr>
            <w:tcW w:w="134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0,49%</w:t>
            </w:r>
          </w:p>
        </w:tc>
        <w:tc>
          <w:tcPr>
            <w:tcW w:w="136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0,53%</w:t>
            </w:r>
          </w:p>
        </w:tc>
      </w:tr>
      <w:tr w:rsidR="000B5C1F" w:rsidRPr="00706A7B" w:rsidTr="00450C5E">
        <w:trPr>
          <w:trHeight w:val="276"/>
        </w:trPr>
        <w:tc>
          <w:tcPr>
            <w:tcW w:w="2269" w:type="dxa"/>
            <w:tcBorders>
              <w:top w:val="single" w:sz="4" w:space="0" w:color="auto"/>
              <w:left w:val="single" w:sz="4" w:space="0" w:color="auto"/>
              <w:bottom w:val="single" w:sz="4" w:space="0" w:color="auto"/>
              <w:right w:val="single" w:sz="4" w:space="0" w:color="auto"/>
            </w:tcBorders>
            <w:shd w:val="clear" w:color="auto" w:fill="DAEEF3"/>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xml:space="preserve">             Németország</w:t>
            </w:r>
          </w:p>
        </w:tc>
        <w:tc>
          <w:tcPr>
            <w:tcW w:w="1129"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5 708</w:t>
            </w:r>
          </w:p>
        </w:tc>
        <w:tc>
          <w:tcPr>
            <w:tcW w:w="106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50 999</w:t>
            </w:r>
          </w:p>
        </w:tc>
        <w:tc>
          <w:tcPr>
            <w:tcW w:w="1118"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8,93</w:t>
            </w:r>
          </w:p>
        </w:tc>
        <w:tc>
          <w:tcPr>
            <w:tcW w:w="100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109,06%</w:t>
            </w:r>
          </w:p>
        </w:tc>
        <w:tc>
          <w:tcPr>
            <w:tcW w:w="1351"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105,27%</w:t>
            </w:r>
          </w:p>
        </w:tc>
        <w:tc>
          <w:tcPr>
            <w:tcW w:w="134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2,67%</w:t>
            </w:r>
          </w:p>
        </w:tc>
        <w:tc>
          <w:tcPr>
            <w:tcW w:w="136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7,64%</w:t>
            </w:r>
          </w:p>
        </w:tc>
      </w:tr>
      <w:tr w:rsidR="000B5C1F" w:rsidRPr="00706A7B" w:rsidTr="00450C5E">
        <w:trPr>
          <w:trHeight w:val="276"/>
        </w:trPr>
        <w:tc>
          <w:tcPr>
            <w:tcW w:w="2269" w:type="dxa"/>
            <w:tcBorders>
              <w:top w:val="single" w:sz="4" w:space="0" w:color="auto"/>
              <w:left w:val="single" w:sz="4" w:space="0" w:color="auto"/>
              <w:bottom w:val="single" w:sz="4" w:space="0" w:color="auto"/>
              <w:right w:val="single" w:sz="4" w:space="0" w:color="auto"/>
            </w:tcBorders>
            <w:shd w:val="clear" w:color="auto" w:fill="DAEEF3"/>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xml:space="preserve">             Oroszország</w:t>
            </w:r>
          </w:p>
        </w:tc>
        <w:tc>
          <w:tcPr>
            <w:tcW w:w="1129"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206</w:t>
            </w:r>
          </w:p>
        </w:tc>
        <w:tc>
          <w:tcPr>
            <w:tcW w:w="106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1 029</w:t>
            </w:r>
          </w:p>
        </w:tc>
        <w:tc>
          <w:tcPr>
            <w:tcW w:w="1118"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5,00</w:t>
            </w:r>
          </w:p>
        </w:tc>
        <w:tc>
          <w:tcPr>
            <w:tcW w:w="100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110,75%</w:t>
            </w:r>
          </w:p>
        </w:tc>
        <w:tc>
          <w:tcPr>
            <w:tcW w:w="1351"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100,98%</w:t>
            </w:r>
          </w:p>
        </w:tc>
        <w:tc>
          <w:tcPr>
            <w:tcW w:w="134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0,10%</w:t>
            </w:r>
          </w:p>
        </w:tc>
        <w:tc>
          <w:tcPr>
            <w:tcW w:w="136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0,15%</w:t>
            </w:r>
          </w:p>
        </w:tc>
      </w:tr>
      <w:tr w:rsidR="000B5C1F" w:rsidRPr="00706A7B" w:rsidTr="00450C5E">
        <w:trPr>
          <w:trHeight w:val="276"/>
        </w:trPr>
        <w:tc>
          <w:tcPr>
            <w:tcW w:w="2269" w:type="dxa"/>
            <w:tcBorders>
              <w:top w:val="single" w:sz="4" w:space="0" w:color="auto"/>
              <w:left w:val="single" w:sz="4" w:space="0" w:color="auto"/>
              <w:bottom w:val="single" w:sz="4" w:space="0" w:color="auto"/>
              <w:right w:val="single" w:sz="4" w:space="0" w:color="auto"/>
            </w:tcBorders>
            <w:shd w:val="clear" w:color="auto" w:fill="DAEEF3"/>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xml:space="preserve">             Románia</w:t>
            </w:r>
          </w:p>
        </w:tc>
        <w:tc>
          <w:tcPr>
            <w:tcW w:w="1129"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636</w:t>
            </w:r>
          </w:p>
        </w:tc>
        <w:tc>
          <w:tcPr>
            <w:tcW w:w="106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1 513</w:t>
            </w:r>
          </w:p>
        </w:tc>
        <w:tc>
          <w:tcPr>
            <w:tcW w:w="1118"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2,38</w:t>
            </w:r>
          </w:p>
        </w:tc>
        <w:tc>
          <w:tcPr>
            <w:tcW w:w="100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121,84%</w:t>
            </w:r>
          </w:p>
        </w:tc>
        <w:tc>
          <w:tcPr>
            <w:tcW w:w="1351"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119,51%</w:t>
            </w:r>
          </w:p>
        </w:tc>
        <w:tc>
          <w:tcPr>
            <w:tcW w:w="134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0,30%</w:t>
            </w:r>
          </w:p>
        </w:tc>
        <w:tc>
          <w:tcPr>
            <w:tcW w:w="136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0,23%</w:t>
            </w:r>
          </w:p>
        </w:tc>
      </w:tr>
      <w:tr w:rsidR="000B5C1F" w:rsidRPr="00706A7B" w:rsidTr="00450C5E">
        <w:trPr>
          <w:trHeight w:val="276"/>
        </w:trPr>
        <w:tc>
          <w:tcPr>
            <w:tcW w:w="2269" w:type="dxa"/>
            <w:tcBorders>
              <w:top w:val="single" w:sz="4" w:space="0" w:color="auto"/>
              <w:left w:val="single" w:sz="4" w:space="0" w:color="auto"/>
              <w:bottom w:val="single" w:sz="4" w:space="0" w:color="auto"/>
              <w:right w:val="single" w:sz="4" w:space="0" w:color="auto"/>
            </w:tcBorders>
            <w:shd w:val="clear" w:color="auto" w:fill="DAEEF3"/>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xml:space="preserve">             Szlovákia</w:t>
            </w:r>
          </w:p>
        </w:tc>
        <w:tc>
          <w:tcPr>
            <w:tcW w:w="1129"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3 186</w:t>
            </w:r>
          </w:p>
        </w:tc>
        <w:tc>
          <w:tcPr>
            <w:tcW w:w="106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9 834</w:t>
            </w:r>
          </w:p>
        </w:tc>
        <w:tc>
          <w:tcPr>
            <w:tcW w:w="1118"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3,09</w:t>
            </w:r>
          </w:p>
        </w:tc>
        <w:tc>
          <w:tcPr>
            <w:tcW w:w="100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116,32%</w:t>
            </w:r>
          </w:p>
        </w:tc>
        <w:tc>
          <w:tcPr>
            <w:tcW w:w="1351"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116,38%</w:t>
            </w:r>
          </w:p>
        </w:tc>
        <w:tc>
          <w:tcPr>
            <w:tcW w:w="134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1,49%</w:t>
            </w:r>
          </w:p>
        </w:tc>
        <w:tc>
          <w:tcPr>
            <w:tcW w:w="1360" w:type="dxa"/>
            <w:tcBorders>
              <w:top w:val="single" w:sz="4" w:space="0" w:color="auto"/>
              <w:left w:val="nil"/>
              <w:bottom w:val="single" w:sz="4" w:space="0" w:color="auto"/>
              <w:right w:val="single" w:sz="4" w:space="0" w:color="auto"/>
            </w:tcBorders>
            <w:shd w:val="clear" w:color="auto" w:fill="DAEEF3"/>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1,47%</w:t>
            </w:r>
          </w:p>
        </w:tc>
      </w:tr>
      <w:tr w:rsidR="000B5C1F" w:rsidRPr="00706A7B" w:rsidTr="00450C5E">
        <w:trPr>
          <w:trHeight w:val="276"/>
        </w:trPr>
        <w:tc>
          <w:tcPr>
            <w:tcW w:w="2269" w:type="dxa"/>
            <w:tcBorders>
              <w:top w:val="single" w:sz="4" w:space="0" w:color="auto"/>
              <w:left w:val="single" w:sz="4" w:space="0" w:color="auto"/>
              <w:bottom w:val="single" w:sz="4" w:space="0" w:color="auto"/>
              <w:right w:val="single" w:sz="4" w:space="0" w:color="auto"/>
            </w:tcBorders>
            <w:shd w:val="clear" w:color="auto" w:fill="C6D9F1"/>
            <w:noWrap/>
            <w:vAlign w:val="center"/>
            <w:hideMark/>
          </w:tcPr>
          <w:p w:rsidR="000B5C1F" w:rsidRPr="00706A7B" w:rsidRDefault="000B5C1F" w:rsidP="00A67DB9">
            <w:pPr>
              <w:spacing w:after="0" w:line="240" w:lineRule="auto"/>
              <w:jc w:val="both"/>
              <w:rPr>
                <w:rFonts w:ascii="Times New Roman" w:eastAsia="Times New Roman" w:hAnsi="Times New Roman"/>
                <w:b/>
                <w:color w:val="FF0000"/>
                <w:sz w:val="24"/>
                <w:szCs w:val="24"/>
                <w:lang w:eastAsia="hu-HU"/>
              </w:rPr>
            </w:pPr>
            <w:r w:rsidRPr="00706A7B">
              <w:rPr>
                <w:rFonts w:ascii="Times New Roman" w:eastAsia="Times New Roman" w:hAnsi="Times New Roman"/>
                <w:b/>
                <w:color w:val="FF0000"/>
                <w:sz w:val="24"/>
                <w:szCs w:val="24"/>
                <w:lang w:eastAsia="hu-HU"/>
              </w:rPr>
              <w:t>Hajdúszoboszló</w:t>
            </w:r>
          </w:p>
        </w:tc>
        <w:tc>
          <w:tcPr>
            <w:tcW w:w="1129"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w:t>
            </w:r>
          </w:p>
        </w:tc>
        <w:tc>
          <w:tcPr>
            <w:tcW w:w="106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w:t>
            </w:r>
          </w:p>
        </w:tc>
        <w:tc>
          <w:tcPr>
            <w:tcW w:w="1118"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w:t>
            </w:r>
          </w:p>
        </w:tc>
        <w:tc>
          <w:tcPr>
            <w:tcW w:w="100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w:t>
            </w:r>
          </w:p>
        </w:tc>
        <w:tc>
          <w:tcPr>
            <w:tcW w:w="1351"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w:t>
            </w:r>
          </w:p>
        </w:tc>
        <w:tc>
          <w:tcPr>
            <w:tcW w:w="134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 </w:t>
            </w:r>
          </w:p>
        </w:tc>
        <w:tc>
          <w:tcPr>
            <w:tcW w:w="136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 </w:t>
            </w:r>
          </w:p>
        </w:tc>
      </w:tr>
      <w:tr w:rsidR="000B5C1F" w:rsidRPr="00706A7B" w:rsidTr="00450C5E">
        <w:trPr>
          <w:trHeight w:val="276"/>
        </w:trPr>
        <w:tc>
          <w:tcPr>
            <w:tcW w:w="2269" w:type="dxa"/>
            <w:tcBorders>
              <w:top w:val="single" w:sz="4" w:space="0" w:color="auto"/>
              <w:left w:val="single" w:sz="4" w:space="0" w:color="auto"/>
              <w:bottom w:val="single" w:sz="4" w:space="0" w:color="auto"/>
              <w:right w:val="single" w:sz="4" w:space="0" w:color="auto"/>
            </w:tcBorders>
            <w:shd w:val="clear" w:color="auto" w:fill="C6D9F1"/>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Külföld összesen</w:t>
            </w:r>
          </w:p>
        </w:tc>
        <w:tc>
          <w:tcPr>
            <w:tcW w:w="1129"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91 903</w:t>
            </w:r>
          </w:p>
        </w:tc>
        <w:tc>
          <w:tcPr>
            <w:tcW w:w="106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372 116</w:t>
            </w:r>
          </w:p>
        </w:tc>
        <w:tc>
          <w:tcPr>
            <w:tcW w:w="1118"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4,05</w:t>
            </w:r>
          </w:p>
        </w:tc>
        <w:tc>
          <w:tcPr>
            <w:tcW w:w="100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104,29%</w:t>
            </w:r>
          </w:p>
        </w:tc>
        <w:tc>
          <w:tcPr>
            <w:tcW w:w="1351"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102,92%</w:t>
            </w:r>
          </w:p>
        </w:tc>
        <w:tc>
          <w:tcPr>
            <w:tcW w:w="134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30,83%</w:t>
            </w:r>
          </w:p>
        </w:tc>
        <w:tc>
          <w:tcPr>
            <w:tcW w:w="136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38,00%</w:t>
            </w:r>
          </w:p>
        </w:tc>
      </w:tr>
      <w:tr w:rsidR="000B5C1F" w:rsidRPr="00706A7B" w:rsidTr="00450C5E">
        <w:trPr>
          <w:trHeight w:val="276"/>
        </w:trPr>
        <w:tc>
          <w:tcPr>
            <w:tcW w:w="2269" w:type="dxa"/>
            <w:tcBorders>
              <w:top w:val="single" w:sz="4" w:space="0" w:color="auto"/>
              <w:left w:val="single" w:sz="4" w:space="0" w:color="auto"/>
              <w:bottom w:val="single" w:sz="4" w:space="0" w:color="auto"/>
              <w:right w:val="single" w:sz="4" w:space="0" w:color="auto"/>
            </w:tcBorders>
            <w:shd w:val="clear" w:color="auto" w:fill="C6D9F1"/>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Belföld összesen</w:t>
            </w:r>
          </w:p>
        </w:tc>
        <w:tc>
          <w:tcPr>
            <w:tcW w:w="1129"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206 234</w:t>
            </w:r>
          </w:p>
        </w:tc>
        <w:tc>
          <w:tcPr>
            <w:tcW w:w="106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607 053</w:t>
            </w:r>
          </w:p>
        </w:tc>
        <w:tc>
          <w:tcPr>
            <w:tcW w:w="1118"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2,94</w:t>
            </w:r>
          </w:p>
        </w:tc>
        <w:tc>
          <w:tcPr>
            <w:tcW w:w="100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95,07%</w:t>
            </w:r>
          </w:p>
        </w:tc>
        <w:tc>
          <w:tcPr>
            <w:tcW w:w="1351"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96,29%</w:t>
            </w:r>
          </w:p>
        </w:tc>
        <w:tc>
          <w:tcPr>
            <w:tcW w:w="134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69,17%</w:t>
            </w:r>
          </w:p>
        </w:tc>
        <w:tc>
          <w:tcPr>
            <w:tcW w:w="136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62,00%</w:t>
            </w:r>
          </w:p>
        </w:tc>
      </w:tr>
      <w:tr w:rsidR="000B5C1F" w:rsidRPr="00706A7B" w:rsidTr="00450C5E">
        <w:trPr>
          <w:trHeight w:val="276"/>
        </w:trPr>
        <w:tc>
          <w:tcPr>
            <w:tcW w:w="2269" w:type="dxa"/>
            <w:tcBorders>
              <w:top w:val="single" w:sz="4" w:space="0" w:color="auto"/>
              <w:left w:val="single" w:sz="4" w:space="0" w:color="auto"/>
              <w:bottom w:val="single" w:sz="4" w:space="0" w:color="auto"/>
              <w:right w:val="single" w:sz="4" w:space="0" w:color="auto"/>
            </w:tcBorders>
            <w:shd w:val="clear" w:color="auto" w:fill="C6D9F1"/>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Mindösszesen</w:t>
            </w:r>
          </w:p>
        </w:tc>
        <w:tc>
          <w:tcPr>
            <w:tcW w:w="1129"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298 137</w:t>
            </w:r>
          </w:p>
        </w:tc>
        <w:tc>
          <w:tcPr>
            <w:tcW w:w="106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979 169</w:t>
            </w:r>
          </w:p>
        </w:tc>
        <w:tc>
          <w:tcPr>
            <w:tcW w:w="1118"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3,28</w:t>
            </w:r>
          </w:p>
        </w:tc>
        <w:tc>
          <w:tcPr>
            <w:tcW w:w="100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97,73%</w:t>
            </w:r>
          </w:p>
        </w:tc>
        <w:tc>
          <w:tcPr>
            <w:tcW w:w="1351"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98,71%</w:t>
            </w:r>
          </w:p>
        </w:tc>
        <w:tc>
          <w:tcPr>
            <w:tcW w:w="134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100,00%</w:t>
            </w:r>
          </w:p>
        </w:tc>
        <w:tc>
          <w:tcPr>
            <w:tcW w:w="136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100,00%</w:t>
            </w:r>
          </w:p>
        </w:tc>
      </w:tr>
      <w:tr w:rsidR="000B5C1F" w:rsidRPr="00706A7B" w:rsidTr="00450C5E">
        <w:trPr>
          <w:trHeight w:val="276"/>
        </w:trPr>
        <w:tc>
          <w:tcPr>
            <w:tcW w:w="2269" w:type="dxa"/>
            <w:tcBorders>
              <w:top w:val="single" w:sz="4" w:space="0" w:color="auto"/>
              <w:left w:val="single" w:sz="4" w:space="0" w:color="auto"/>
              <w:bottom w:val="single" w:sz="4" w:space="0" w:color="auto"/>
              <w:right w:val="single" w:sz="4" w:space="0" w:color="auto"/>
            </w:tcBorders>
            <w:shd w:val="clear" w:color="auto" w:fill="C6D9F1"/>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Ebből: Ausztria</w:t>
            </w:r>
          </w:p>
        </w:tc>
        <w:tc>
          <w:tcPr>
            <w:tcW w:w="1129"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673</w:t>
            </w:r>
          </w:p>
        </w:tc>
        <w:tc>
          <w:tcPr>
            <w:tcW w:w="106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2 444</w:t>
            </w:r>
          </w:p>
        </w:tc>
        <w:tc>
          <w:tcPr>
            <w:tcW w:w="1118"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3,63</w:t>
            </w:r>
          </w:p>
        </w:tc>
        <w:tc>
          <w:tcPr>
            <w:tcW w:w="100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88,32%</w:t>
            </w:r>
          </w:p>
        </w:tc>
        <w:tc>
          <w:tcPr>
            <w:tcW w:w="1351"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67,40%</w:t>
            </w:r>
          </w:p>
        </w:tc>
        <w:tc>
          <w:tcPr>
            <w:tcW w:w="134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0,23%</w:t>
            </w:r>
          </w:p>
        </w:tc>
        <w:tc>
          <w:tcPr>
            <w:tcW w:w="136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0,25%</w:t>
            </w:r>
          </w:p>
        </w:tc>
      </w:tr>
      <w:tr w:rsidR="000B5C1F" w:rsidRPr="00706A7B" w:rsidTr="00450C5E">
        <w:trPr>
          <w:trHeight w:val="276"/>
        </w:trPr>
        <w:tc>
          <w:tcPr>
            <w:tcW w:w="2269" w:type="dxa"/>
            <w:tcBorders>
              <w:top w:val="single" w:sz="4" w:space="0" w:color="auto"/>
              <w:left w:val="single" w:sz="4" w:space="0" w:color="auto"/>
              <w:bottom w:val="single" w:sz="4" w:space="0" w:color="auto"/>
              <w:right w:val="single" w:sz="4" w:space="0" w:color="auto"/>
            </w:tcBorders>
            <w:shd w:val="clear" w:color="auto" w:fill="C6D9F1"/>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xml:space="preserve">             Csehország</w:t>
            </w:r>
          </w:p>
        </w:tc>
        <w:tc>
          <w:tcPr>
            <w:tcW w:w="1129"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1 947</w:t>
            </w:r>
          </w:p>
        </w:tc>
        <w:tc>
          <w:tcPr>
            <w:tcW w:w="106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8 875</w:t>
            </w:r>
          </w:p>
        </w:tc>
        <w:tc>
          <w:tcPr>
            <w:tcW w:w="1118"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4,56</w:t>
            </w:r>
          </w:p>
        </w:tc>
        <w:tc>
          <w:tcPr>
            <w:tcW w:w="100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77,32%</w:t>
            </w:r>
          </w:p>
        </w:tc>
        <w:tc>
          <w:tcPr>
            <w:tcW w:w="1351"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74,16%</w:t>
            </w:r>
          </w:p>
        </w:tc>
        <w:tc>
          <w:tcPr>
            <w:tcW w:w="134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0,65%</w:t>
            </w:r>
          </w:p>
        </w:tc>
        <w:tc>
          <w:tcPr>
            <w:tcW w:w="136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0,91%</w:t>
            </w:r>
          </w:p>
        </w:tc>
      </w:tr>
      <w:tr w:rsidR="000B5C1F" w:rsidRPr="00706A7B" w:rsidTr="00450C5E">
        <w:trPr>
          <w:trHeight w:val="276"/>
        </w:trPr>
        <w:tc>
          <w:tcPr>
            <w:tcW w:w="2269" w:type="dxa"/>
            <w:tcBorders>
              <w:top w:val="single" w:sz="4" w:space="0" w:color="auto"/>
              <w:left w:val="single" w:sz="4" w:space="0" w:color="auto"/>
              <w:bottom w:val="single" w:sz="4" w:space="0" w:color="auto"/>
              <w:right w:val="single" w:sz="4" w:space="0" w:color="auto"/>
            </w:tcBorders>
            <w:shd w:val="clear" w:color="auto" w:fill="C6D9F1"/>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xml:space="preserve">             Lengyelország</w:t>
            </w:r>
          </w:p>
        </w:tc>
        <w:tc>
          <w:tcPr>
            <w:tcW w:w="1129"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25 971</w:t>
            </w:r>
          </w:p>
        </w:tc>
        <w:tc>
          <w:tcPr>
            <w:tcW w:w="106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108 551</w:t>
            </w:r>
          </w:p>
        </w:tc>
        <w:tc>
          <w:tcPr>
            <w:tcW w:w="1118"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4,18</w:t>
            </w:r>
          </w:p>
        </w:tc>
        <w:tc>
          <w:tcPr>
            <w:tcW w:w="100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99,72%</w:t>
            </w:r>
          </w:p>
        </w:tc>
        <w:tc>
          <w:tcPr>
            <w:tcW w:w="1351"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99,64%</w:t>
            </w:r>
          </w:p>
        </w:tc>
        <w:tc>
          <w:tcPr>
            <w:tcW w:w="134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8,71%</w:t>
            </w:r>
          </w:p>
        </w:tc>
        <w:tc>
          <w:tcPr>
            <w:tcW w:w="136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11,09%</w:t>
            </w:r>
          </w:p>
        </w:tc>
      </w:tr>
      <w:tr w:rsidR="000B5C1F" w:rsidRPr="00706A7B" w:rsidTr="00450C5E">
        <w:trPr>
          <w:trHeight w:val="276"/>
        </w:trPr>
        <w:tc>
          <w:tcPr>
            <w:tcW w:w="2269" w:type="dxa"/>
            <w:tcBorders>
              <w:top w:val="single" w:sz="4" w:space="0" w:color="auto"/>
              <w:left w:val="single" w:sz="4" w:space="0" w:color="auto"/>
              <w:bottom w:val="single" w:sz="4" w:space="0" w:color="auto"/>
              <w:right w:val="single" w:sz="4" w:space="0" w:color="auto"/>
            </w:tcBorders>
            <w:shd w:val="clear" w:color="auto" w:fill="C6D9F1"/>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xml:space="preserve">             Németország</w:t>
            </w:r>
          </w:p>
        </w:tc>
        <w:tc>
          <w:tcPr>
            <w:tcW w:w="1129"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4 268</w:t>
            </w:r>
          </w:p>
        </w:tc>
        <w:tc>
          <w:tcPr>
            <w:tcW w:w="106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40 503</w:t>
            </w:r>
          </w:p>
        </w:tc>
        <w:tc>
          <w:tcPr>
            <w:tcW w:w="1118"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9,49</w:t>
            </w:r>
          </w:p>
        </w:tc>
        <w:tc>
          <w:tcPr>
            <w:tcW w:w="100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84,02%</w:t>
            </w:r>
          </w:p>
        </w:tc>
        <w:tc>
          <w:tcPr>
            <w:tcW w:w="1351"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81,24%</w:t>
            </w:r>
          </w:p>
        </w:tc>
        <w:tc>
          <w:tcPr>
            <w:tcW w:w="134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1,43%</w:t>
            </w:r>
          </w:p>
        </w:tc>
        <w:tc>
          <w:tcPr>
            <w:tcW w:w="136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4,14%</w:t>
            </w:r>
          </w:p>
        </w:tc>
      </w:tr>
      <w:tr w:rsidR="000B5C1F" w:rsidRPr="00706A7B" w:rsidTr="00450C5E">
        <w:trPr>
          <w:trHeight w:val="276"/>
        </w:trPr>
        <w:tc>
          <w:tcPr>
            <w:tcW w:w="2269" w:type="dxa"/>
            <w:tcBorders>
              <w:top w:val="single" w:sz="4" w:space="0" w:color="auto"/>
              <w:left w:val="single" w:sz="4" w:space="0" w:color="auto"/>
              <w:bottom w:val="single" w:sz="4" w:space="0" w:color="auto"/>
              <w:right w:val="single" w:sz="4" w:space="0" w:color="auto"/>
            </w:tcBorders>
            <w:shd w:val="clear" w:color="auto" w:fill="C6D9F1"/>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xml:space="preserve">             Oroszország</w:t>
            </w:r>
          </w:p>
        </w:tc>
        <w:tc>
          <w:tcPr>
            <w:tcW w:w="1129"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3 496</w:t>
            </w:r>
          </w:p>
        </w:tc>
        <w:tc>
          <w:tcPr>
            <w:tcW w:w="106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21 941</w:t>
            </w:r>
          </w:p>
        </w:tc>
        <w:tc>
          <w:tcPr>
            <w:tcW w:w="1118"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6,28</w:t>
            </w:r>
          </w:p>
        </w:tc>
        <w:tc>
          <w:tcPr>
            <w:tcW w:w="100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126,80%</w:t>
            </w:r>
          </w:p>
        </w:tc>
        <w:tc>
          <w:tcPr>
            <w:tcW w:w="1351"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129,43%</w:t>
            </w:r>
          </w:p>
        </w:tc>
        <w:tc>
          <w:tcPr>
            <w:tcW w:w="134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1,17%</w:t>
            </w:r>
          </w:p>
        </w:tc>
        <w:tc>
          <w:tcPr>
            <w:tcW w:w="136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2,24%</w:t>
            </w:r>
          </w:p>
        </w:tc>
      </w:tr>
      <w:tr w:rsidR="000B5C1F" w:rsidRPr="00706A7B" w:rsidTr="00450C5E">
        <w:trPr>
          <w:trHeight w:val="276"/>
        </w:trPr>
        <w:tc>
          <w:tcPr>
            <w:tcW w:w="2269" w:type="dxa"/>
            <w:tcBorders>
              <w:top w:val="single" w:sz="4" w:space="0" w:color="auto"/>
              <w:left w:val="single" w:sz="4" w:space="0" w:color="auto"/>
              <w:bottom w:val="single" w:sz="4" w:space="0" w:color="auto"/>
              <w:right w:val="single" w:sz="4" w:space="0" w:color="auto"/>
            </w:tcBorders>
            <w:shd w:val="clear" w:color="auto" w:fill="C6D9F1"/>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xml:space="preserve">             Románia</w:t>
            </w:r>
          </w:p>
        </w:tc>
        <w:tc>
          <w:tcPr>
            <w:tcW w:w="1129"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26 357</w:t>
            </w:r>
          </w:p>
        </w:tc>
        <w:tc>
          <w:tcPr>
            <w:tcW w:w="106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76 347</w:t>
            </w:r>
          </w:p>
        </w:tc>
        <w:tc>
          <w:tcPr>
            <w:tcW w:w="1118"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2,90</w:t>
            </w:r>
          </w:p>
        </w:tc>
        <w:tc>
          <w:tcPr>
            <w:tcW w:w="100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103,72%</w:t>
            </w:r>
          </w:p>
        </w:tc>
        <w:tc>
          <w:tcPr>
            <w:tcW w:w="1351"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103,18%</w:t>
            </w:r>
          </w:p>
        </w:tc>
        <w:tc>
          <w:tcPr>
            <w:tcW w:w="134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8,84%</w:t>
            </w:r>
          </w:p>
        </w:tc>
        <w:tc>
          <w:tcPr>
            <w:tcW w:w="136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7,80%</w:t>
            </w:r>
          </w:p>
        </w:tc>
      </w:tr>
      <w:tr w:rsidR="000B5C1F" w:rsidRPr="00706A7B" w:rsidTr="00450C5E">
        <w:trPr>
          <w:trHeight w:val="276"/>
        </w:trPr>
        <w:tc>
          <w:tcPr>
            <w:tcW w:w="2269" w:type="dxa"/>
            <w:tcBorders>
              <w:top w:val="single" w:sz="4" w:space="0" w:color="auto"/>
              <w:left w:val="single" w:sz="4" w:space="0" w:color="auto"/>
              <w:bottom w:val="single" w:sz="4" w:space="0" w:color="auto"/>
              <w:right w:val="single" w:sz="4" w:space="0" w:color="auto"/>
            </w:tcBorders>
            <w:shd w:val="clear" w:color="auto" w:fill="C6D9F1"/>
            <w:noWrap/>
            <w:vAlign w:val="center"/>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 xml:space="preserve">             Szlovákia</w:t>
            </w:r>
          </w:p>
        </w:tc>
        <w:tc>
          <w:tcPr>
            <w:tcW w:w="1129"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11 578</w:t>
            </w:r>
          </w:p>
        </w:tc>
        <w:tc>
          <w:tcPr>
            <w:tcW w:w="106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33 520</w:t>
            </w:r>
          </w:p>
        </w:tc>
        <w:tc>
          <w:tcPr>
            <w:tcW w:w="1118"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2,90</w:t>
            </w:r>
          </w:p>
        </w:tc>
        <w:tc>
          <w:tcPr>
            <w:tcW w:w="100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97,71%</w:t>
            </w:r>
          </w:p>
        </w:tc>
        <w:tc>
          <w:tcPr>
            <w:tcW w:w="1351"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sz w:val="20"/>
                <w:szCs w:val="20"/>
                <w:lang w:eastAsia="hu-HU"/>
              </w:rPr>
            </w:pPr>
            <w:r w:rsidRPr="00706A7B">
              <w:rPr>
                <w:rFonts w:ascii="Times New Roman" w:eastAsia="Times New Roman" w:hAnsi="Times New Roman"/>
                <w:color w:val="FF0000"/>
                <w:sz w:val="20"/>
                <w:szCs w:val="20"/>
                <w:lang w:eastAsia="hu-HU"/>
              </w:rPr>
              <w:t>98,81%</w:t>
            </w:r>
          </w:p>
        </w:tc>
        <w:tc>
          <w:tcPr>
            <w:tcW w:w="134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3,88%</w:t>
            </w:r>
          </w:p>
        </w:tc>
        <w:tc>
          <w:tcPr>
            <w:tcW w:w="1360" w:type="dxa"/>
            <w:tcBorders>
              <w:top w:val="single" w:sz="4" w:space="0" w:color="auto"/>
              <w:left w:val="nil"/>
              <w:bottom w:val="single" w:sz="4" w:space="0" w:color="auto"/>
              <w:right w:val="single" w:sz="4" w:space="0" w:color="auto"/>
            </w:tcBorders>
            <w:shd w:val="clear" w:color="auto" w:fill="C6D9F1"/>
            <w:noWrap/>
            <w:hideMark/>
          </w:tcPr>
          <w:p w:rsidR="000B5C1F" w:rsidRPr="00706A7B" w:rsidRDefault="000B5C1F" w:rsidP="00A67DB9">
            <w:pPr>
              <w:spacing w:after="0" w:line="240" w:lineRule="auto"/>
              <w:jc w:val="both"/>
              <w:rPr>
                <w:rFonts w:ascii="Times New Roman" w:eastAsia="Times New Roman" w:hAnsi="Times New Roman"/>
                <w:color w:val="FF0000"/>
                <w:lang w:eastAsia="hu-HU"/>
              </w:rPr>
            </w:pPr>
            <w:r w:rsidRPr="00706A7B">
              <w:rPr>
                <w:rFonts w:ascii="Times New Roman" w:eastAsia="Times New Roman" w:hAnsi="Times New Roman"/>
                <w:color w:val="FF0000"/>
                <w:lang w:eastAsia="hu-HU"/>
              </w:rPr>
              <w:t>3,42%</w:t>
            </w:r>
          </w:p>
        </w:tc>
      </w:tr>
    </w:tbl>
    <w:p w:rsidR="000B5C1F" w:rsidRDefault="000B5C1F" w:rsidP="000C48D5">
      <w:pPr>
        <w:ind w:firstLine="708"/>
        <w:rPr>
          <w:b/>
          <w:color w:val="FF0000"/>
          <w:sz w:val="24"/>
          <w:szCs w:val="24"/>
        </w:rPr>
      </w:pPr>
    </w:p>
    <w:p w:rsidR="000B5C1F" w:rsidRPr="000B5C1F" w:rsidRDefault="000B5C1F" w:rsidP="00A67DB9">
      <w:pPr>
        <w:jc w:val="both"/>
        <w:rPr>
          <w:rFonts w:cs="Calibri"/>
          <w:color w:val="FF0000"/>
        </w:rPr>
      </w:pPr>
      <w:r w:rsidRPr="000B5C1F">
        <w:rPr>
          <w:rFonts w:cs="Calibri"/>
          <w:color w:val="FF0000"/>
        </w:rPr>
        <w:t>Hévíz és belföldi konkurenseinek statisztikai adatai azon piacokat vizsgálva, melyek jellemzőek mindegyik fürdővárosban.</w:t>
      </w:r>
    </w:p>
    <w:p w:rsidR="000B5C1F" w:rsidRPr="000B5C1F" w:rsidRDefault="000B5C1F" w:rsidP="00A67DB9">
      <w:pPr>
        <w:jc w:val="both"/>
        <w:rPr>
          <w:rFonts w:cs="Calibri"/>
          <w:color w:val="FF0000"/>
        </w:rPr>
      </w:pPr>
      <w:r w:rsidRPr="000B5C1F">
        <w:rPr>
          <w:rFonts w:cs="Calibri"/>
          <w:color w:val="FF0000"/>
        </w:rPr>
        <w:t>Egész éves adatot tekintve a belföldi vendégéjszakák nőttek az országos tendenciáknak megfelelően Hévízen is (5,65%), míg a külpiacokon mérsékelt csökkenés volt megfigyelhető. Magyarországi fürdővárosokban Hajdúszoboszlón csökkenés (-3,71%), Bükön stagnálás (0,14%), növekedés volt Sárváron (8.82%) és Zalakaroson (3,95%).</w:t>
      </w:r>
    </w:p>
    <w:p w:rsidR="000B5C1F" w:rsidRPr="000B5C1F" w:rsidRDefault="000B5C1F" w:rsidP="00A67DB9">
      <w:pPr>
        <w:jc w:val="both"/>
        <w:rPr>
          <w:rFonts w:cs="Calibri"/>
          <w:color w:val="FF0000"/>
        </w:rPr>
      </w:pPr>
      <w:r w:rsidRPr="000B5C1F">
        <w:rPr>
          <w:rFonts w:cs="Calibri"/>
          <w:color w:val="FF0000"/>
        </w:rPr>
        <w:t xml:space="preserve"> Az utazási szokások abba az irányba fordultak az egész világon, hogy csökkent az átlagos tartózkodási idő, ami megfigyelhető minimális mértékben Hévíz esetében is. (2018. 4,55 – 2019. 4,31 éjszaka)</w:t>
      </w:r>
    </w:p>
    <w:p w:rsidR="000B5C1F" w:rsidRPr="000B5C1F" w:rsidRDefault="000B5C1F" w:rsidP="00A67DB9">
      <w:pPr>
        <w:jc w:val="both"/>
        <w:rPr>
          <w:rFonts w:cs="Calibri"/>
          <w:color w:val="FF0000"/>
        </w:rPr>
      </w:pPr>
      <w:r w:rsidRPr="000B5C1F">
        <w:rPr>
          <w:rFonts w:cs="Calibri"/>
          <w:color w:val="FF0000"/>
        </w:rPr>
        <w:t xml:space="preserve">Belföld esetében </w:t>
      </w:r>
      <w:r w:rsidRPr="000B5C1F">
        <w:rPr>
          <w:rFonts w:cs="Calibri"/>
          <w:b/>
          <w:color w:val="FF0000"/>
        </w:rPr>
        <w:t>3,27 éjszaka</w:t>
      </w:r>
      <w:r w:rsidRPr="000B5C1F">
        <w:rPr>
          <w:rFonts w:cs="Calibri"/>
          <w:color w:val="FF0000"/>
        </w:rPr>
        <w:t xml:space="preserve"> az átlagos tartózkodási idő, mely szám kiemelkedik a magyar fürdővárosok közül Bükfürdővel (3,4) együtt.(Sárvár 2,58, Harkány 2,78, Hajdúszoboszló 2,94, Zalakaros 2,9).</w:t>
      </w:r>
    </w:p>
    <w:p w:rsidR="000B5C1F" w:rsidRPr="000B5C1F" w:rsidRDefault="000B5C1F" w:rsidP="00A67DB9">
      <w:pPr>
        <w:jc w:val="both"/>
        <w:rPr>
          <w:rFonts w:cs="Calibri"/>
          <w:color w:val="FF0000"/>
        </w:rPr>
      </w:pPr>
      <w:r w:rsidRPr="000B5C1F">
        <w:rPr>
          <w:rFonts w:cs="Calibri"/>
          <w:color w:val="FF0000"/>
        </w:rPr>
        <w:t>A külföldiek által elöltött átlagos tartózkodási időben pedig egyértelműen a rangsor első helyezettje Hévíz 5,54 éjszakával. (Bük 3,97, Sárvár 3,36, Zalakaros 4,07, Hajdúszoboszló 4,05)</w:t>
      </w:r>
    </w:p>
    <w:p w:rsidR="000B5C1F" w:rsidRPr="000B5C1F" w:rsidRDefault="000B5C1F" w:rsidP="00A67DB9">
      <w:pPr>
        <w:jc w:val="both"/>
        <w:rPr>
          <w:rFonts w:cs="Calibri"/>
          <w:color w:val="FF0000"/>
        </w:rPr>
      </w:pPr>
      <w:r w:rsidRPr="000B5C1F">
        <w:rPr>
          <w:rFonts w:cs="Calibri"/>
          <w:color w:val="FF0000"/>
        </w:rPr>
        <w:t xml:space="preserve">Vendégéjszaka-számokat tekintve Hévíz a legnépszerűbb vidéki uticél 1.144.769 éjszakával </w:t>
      </w:r>
      <w:r w:rsidRPr="000B5C1F">
        <w:rPr>
          <w:rFonts w:cs="Calibri"/>
          <w:b/>
          <w:color w:val="FF0000"/>
        </w:rPr>
        <w:t>(egyéb szálláshelyek, magánszálláshelyek vendégéjszakáit nem tartalmazzák ezek az adatok),</w:t>
      </w:r>
      <w:r w:rsidRPr="000B5C1F">
        <w:rPr>
          <w:rFonts w:cs="Calibri"/>
          <w:color w:val="FF0000"/>
        </w:rPr>
        <w:t xml:space="preserve"> a külpiacokat tekintve is 675.215 vendégéjszakával, a második helyezett Bükfürdőn ez a szám 416.537. Az utóbbi évek magyarok által eltöltött vendégéjszaka-számokban lényeges növekedés történt Hévízen; 469.554 éjszakát jelentett ez 2019. évben.</w:t>
      </w:r>
    </w:p>
    <w:p w:rsidR="000B5C1F" w:rsidRPr="000B5C1F" w:rsidRDefault="000B5C1F" w:rsidP="00A67DB9">
      <w:pPr>
        <w:jc w:val="both"/>
        <w:rPr>
          <w:color w:val="FF0000"/>
        </w:rPr>
      </w:pPr>
      <w:r w:rsidRPr="000B5C1F">
        <w:rPr>
          <w:color w:val="FF0000"/>
        </w:rPr>
        <w:t xml:space="preserve">A nemzetiségi összetételt figyelve Hévíz, Bük és Sárvár tekintetében értékesítési szempontból elmondható, hogy ideális a célpiacok elosztása, a több piacon való hangsúlyos jelenlét. Zalakaroson és Hajdúszoboszlón </w:t>
      </w:r>
      <w:r w:rsidRPr="000B5C1F">
        <w:rPr>
          <w:color w:val="FF0000"/>
        </w:rPr>
        <w:lastRenderedPageBreak/>
        <w:t>eltolódott a belföldi vendégek aránya, ami a 2020. évben előny lehet, de hosszútávon komoly veszélyeket hordoz magában.</w:t>
      </w:r>
    </w:p>
    <w:p w:rsidR="000B5C1F" w:rsidRPr="000B5C1F" w:rsidRDefault="000B5C1F" w:rsidP="00A67DB9">
      <w:pPr>
        <w:jc w:val="both"/>
        <w:rPr>
          <w:color w:val="FF0000"/>
        </w:rPr>
      </w:pPr>
      <w:r w:rsidRPr="000B5C1F">
        <w:rPr>
          <w:color w:val="FF0000"/>
        </w:rPr>
        <w:t>A járványügyi korlátozások enyhítésének hatására elsőként a belföldi turizmus tud újjáéledni. Ezek okán szükséges a belpiaci gyógy- és wellness-desztinációk konkurenciaelemzése, hiszen 2020. évben ők jelenthetik az első számú konkurenciát.</w:t>
      </w:r>
    </w:p>
    <w:p w:rsidR="000B5C1F" w:rsidRPr="000B5C1F" w:rsidRDefault="000B5C1F" w:rsidP="00A67DB9">
      <w:pPr>
        <w:jc w:val="both"/>
        <w:rPr>
          <w:color w:val="FF0000"/>
        </w:rPr>
      </w:pPr>
      <w:r w:rsidRPr="000B5C1F">
        <w:rPr>
          <w:color w:val="FF0000"/>
        </w:rPr>
        <w:t>A wellness-piacon, kifejezetten a nyári főszezon időszakában a Hévíz turisztikai szolgáltatás-szerkezete nem kezeli prioritásként a gyermekeket, azonban ez lehetőséget nyújt a megfelelő szegmentálásra, ami előnyként értelmezhető, és segíti a marketingtevékenységet.</w:t>
      </w:r>
    </w:p>
    <w:p w:rsidR="000B5C1F" w:rsidRPr="000B5C1F" w:rsidRDefault="000B5C1F" w:rsidP="00A67DB9">
      <w:pPr>
        <w:jc w:val="both"/>
        <w:rPr>
          <w:color w:val="FF0000"/>
        </w:rPr>
      </w:pPr>
      <w:r w:rsidRPr="000B5C1F">
        <w:rPr>
          <w:color w:val="FF0000"/>
        </w:rPr>
        <w:t>Mivel a belföldi turisták jelentős része fővárosi, akik megfelelő jövedelemmel, SZÉP-kártya juttatásokkal és jelen esetben tartalékokkal rendelkeznek, így a Magyarországon belüli konkurenciát figyelve, nem a régióra, hanem a termékre, illetve Budapesttől számított elérhetőségre kell alapozni.</w:t>
      </w:r>
    </w:p>
    <w:p w:rsidR="000B5C1F" w:rsidRDefault="000B5C1F" w:rsidP="000B5C1F"/>
    <w:p w:rsidR="000B5C1F" w:rsidRPr="000C48D5" w:rsidRDefault="000B5C1F" w:rsidP="000C48D5">
      <w:pPr>
        <w:ind w:firstLine="708"/>
        <w:rPr>
          <w:b/>
          <w:color w:val="FF0000"/>
          <w:sz w:val="24"/>
          <w:szCs w:val="24"/>
        </w:rPr>
      </w:pPr>
    </w:p>
    <w:p w:rsidR="00B250EF" w:rsidRPr="00207396" w:rsidRDefault="00B250EF" w:rsidP="00A67DB9">
      <w:pPr>
        <w:pStyle w:val="Cmsor2"/>
        <w:jc w:val="both"/>
        <w:rPr>
          <w:rFonts w:ascii="Calibri" w:hAnsi="Calibri"/>
          <w:color w:val="FF0000"/>
        </w:rPr>
      </w:pPr>
      <w:bookmarkStart w:id="14" w:name="_Toc38281835"/>
      <w:r w:rsidRPr="00207396">
        <w:rPr>
          <w:rFonts w:ascii="Calibri" w:hAnsi="Calibri"/>
          <w:color w:val="FF0000"/>
        </w:rPr>
        <w:t>II. 5.) Marketing akciók</w:t>
      </w:r>
      <w:bookmarkEnd w:id="14"/>
    </w:p>
    <w:p w:rsidR="00B250EF" w:rsidRDefault="00B250EF" w:rsidP="00B250EF">
      <w:pPr>
        <w:spacing w:after="0" w:line="240" w:lineRule="auto"/>
        <w:jc w:val="both"/>
        <w:rPr>
          <w:sz w:val="24"/>
          <w:szCs w:val="24"/>
        </w:rPr>
      </w:pPr>
    </w:p>
    <w:p w:rsidR="000B5C1F" w:rsidRPr="00207396" w:rsidRDefault="000B5C1F" w:rsidP="00A67DB9">
      <w:pPr>
        <w:jc w:val="both"/>
        <w:rPr>
          <w:color w:val="FF0000"/>
        </w:rPr>
      </w:pPr>
      <w:r w:rsidRPr="00A67DB9">
        <w:rPr>
          <w:color w:val="FF0000"/>
        </w:rPr>
        <w:t>A 2020. évben kialakult helyzet következtében a marketingakciók kapcsán két opciót jelölünk meg</w:t>
      </w:r>
      <w:r w:rsidR="00A67DB9" w:rsidRPr="00A67DB9">
        <w:rPr>
          <w:color w:val="FF0000"/>
        </w:rPr>
        <w:t>, az</w:t>
      </w:r>
      <w:r w:rsidRPr="00A67DB9">
        <w:rPr>
          <w:color w:val="FF0000"/>
        </w:rPr>
        <w:t>az</w:t>
      </w:r>
      <w:r w:rsidR="00A67DB9" w:rsidRPr="00A67DB9">
        <w:rPr>
          <w:color w:val="FF0000"/>
        </w:rPr>
        <w:t xml:space="preserve"> optimista esetben</w:t>
      </w:r>
      <w:r w:rsidRPr="00A67DB9">
        <w:rPr>
          <w:color w:val="FF0000"/>
        </w:rPr>
        <w:t xml:space="preserve"> június végi „indulással” számolunk, míg a pesszimista verzióban októberben látjuk értelmét a komolyabb marketingmunkának. Októberi kezdés esetén is szükséges jelentős források kiadása annak érdekében, hogy a 2021. év mielőbb tudja </w:t>
      </w:r>
      <w:r w:rsidR="00A67DB9" w:rsidRPr="00A67DB9">
        <w:rPr>
          <w:color w:val="FF0000"/>
        </w:rPr>
        <w:t xml:space="preserve">biztosítani </w:t>
      </w:r>
      <w:r w:rsidRPr="00A67DB9">
        <w:rPr>
          <w:color w:val="FF0000"/>
        </w:rPr>
        <w:t>a szükséges eredményeket.</w:t>
      </w:r>
    </w:p>
    <w:p w:rsidR="000B5C1F" w:rsidRPr="00207396" w:rsidRDefault="000B5C1F" w:rsidP="00A67DB9">
      <w:pPr>
        <w:jc w:val="both"/>
        <w:rPr>
          <w:i/>
          <w:color w:val="FF0000"/>
        </w:rPr>
      </w:pPr>
      <w:r w:rsidRPr="00207396">
        <w:rPr>
          <w:color w:val="FF0000"/>
        </w:rPr>
        <w:t>Jelentősebb összegek már megkötött szerződések által lekötve vannak, azonban ezen szerződések felfüggesztésre kerültek a járványhelyzet végéig. Ezeket a költségeket az idei évben jelöltük, azonban elképzelhető, hogy részleges vagy egész felhasználásuk át fog csúszni a 2021. évre</w:t>
      </w:r>
      <w:r w:rsidR="005D7AAF">
        <w:rPr>
          <w:color w:val="FF0000"/>
        </w:rPr>
        <w:t>, hasonlóan egyéb betervezett költségekhez</w:t>
      </w:r>
      <w:r w:rsidRPr="00207396">
        <w:rPr>
          <w:color w:val="FF0000"/>
        </w:rPr>
        <w:t xml:space="preserve">. A marketing cselekvési terv felülvizsgálata jelen helyzetben folyamatos helyzetfigyelést és újratervezést kíván. </w:t>
      </w:r>
      <w:r w:rsidRPr="00207396">
        <w:rPr>
          <w:i/>
          <w:color w:val="FF0000"/>
        </w:rPr>
        <w:t>Sárga kiemeléssel jelöltük azokat a szerződéssel bíró tételeket, amelyek esetlegesen következő évben lennének felhasználva, illetve egy részét már idei évre vonatkozóan csökkentett összeggel írtuk be.</w:t>
      </w:r>
    </w:p>
    <w:p w:rsidR="000B5C1F" w:rsidRPr="00207396" w:rsidRDefault="000B5C1F" w:rsidP="00A67DB9">
      <w:pPr>
        <w:jc w:val="both"/>
        <w:rPr>
          <w:color w:val="FF0000"/>
        </w:rPr>
      </w:pPr>
      <w:r w:rsidRPr="00207396">
        <w:rPr>
          <w:color w:val="FF0000"/>
        </w:rPr>
        <w:t>Aktuálisan, amíg a kijárási korlátozások tartanak, kizárólag alacsonyabb költségvetésű, elsősorban munkavállalók által megvalósítható kampányokat</w:t>
      </w:r>
      <w:r w:rsidR="00706A7B" w:rsidRPr="00207396">
        <w:rPr>
          <w:color w:val="FF0000"/>
        </w:rPr>
        <w:t xml:space="preserve"> végzünk</w:t>
      </w:r>
      <w:r w:rsidRPr="00207396">
        <w:rPr>
          <w:color w:val="FF0000"/>
        </w:rPr>
        <w:t>, melyek imázserősítő jellegűek, illetve a legfontosabb marketingfeladat jelenleg a törzsvendégek kötődésének erősítése, melyre a legkiválóbb eszköz a közösségi média.</w:t>
      </w:r>
    </w:p>
    <w:p w:rsidR="000B5C1F" w:rsidRDefault="000B5C1F" w:rsidP="000B5C1F"/>
    <w:p w:rsidR="000B5C1F" w:rsidRDefault="000B5C1F" w:rsidP="000B5C1F"/>
    <w:p w:rsidR="000B5C1F" w:rsidRDefault="000B5C1F" w:rsidP="000B5C1F"/>
    <w:p w:rsidR="000B5C1F" w:rsidRDefault="000B5C1F" w:rsidP="000B5C1F"/>
    <w:tbl>
      <w:tblPr>
        <w:tblW w:w="5000" w:type="pct"/>
        <w:tblLayout w:type="fixed"/>
        <w:tblCellMar>
          <w:left w:w="70" w:type="dxa"/>
          <w:right w:w="70" w:type="dxa"/>
        </w:tblCellMar>
        <w:tblLook w:val="04A0" w:firstRow="1" w:lastRow="0" w:firstColumn="1" w:lastColumn="0" w:noHBand="0" w:noVBand="1"/>
      </w:tblPr>
      <w:tblGrid>
        <w:gridCol w:w="5439"/>
        <w:gridCol w:w="2369"/>
        <w:gridCol w:w="1677"/>
      </w:tblGrid>
      <w:tr w:rsidR="000B5C1F" w:rsidRPr="00572C5C" w:rsidTr="00F5679C">
        <w:trPr>
          <w:trHeight w:val="227"/>
        </w:trPr>
        <w:tc>
          <w:tcPr>
            <w:tcW w:w="2867" w:type="pct"/>
            <w:tcBorders>
              <w:top w:val="single" w:sz="4" w:space="0" w:color="auto"/>
              <w:left w:val="single" w:sz="4" w:space="0" w:color="auto"/>
              <w:bottom w:val="single" w:sz="4" w:space="0" w:color="auto"/>
              <w:right w:val="single" w:sz="4" w:space="0" w:color="auto"/>
            </w:tcBorders>
            <w:shd w:val="clear" w:color="000000" w:fill="C4D79B"/>
            <w:vAlign w:val="center"/>
            <w:hideMark/>
          </w:tcPr>
          <w:p w:rsidR="000B5C1F" w:rsidRPr="00572C5C" w:rsidRDefault="000B5C1F" w:rsidP="00A67DB9">
            <w:pPr>
              <w:spacing w:after="0" w:line="240" w:lineRule="auto"/>
              <w:jc w:val="both"/>
              <w:rPr>
                <w:rFonts w:eastAsia="Times New Roman" w:cs="Calibri"/>
                <w:b/>
                <w:bCs/>
                <w:sz w:val="20"/>
                <w:szCs w:val="20"/>
                <w:lang w:eastAsia="hu-HU"/>
              </w:rPr>
            </w:pPr>
            <w:r w:rsidRPr="00572C5C">
              <w:rPr>
                <w:rFonts w:eastAsia="Times New Roman" w:cs="Calibri"/>
                <w:b/>
                <w:bCs/>
                <w:sz w:val="20"/>
                <w:szCs w:val="20"/>
                <w:lang w:eastAsia="hu-HU"/>
              </w:rPr>
              <w:lastRenderedPageBreak/>
              <w:t>Célpiac</w:t>
            </w:r>
          </w:p>
        </w:tc>
        <w:tc>
          <w:tcPr>
            <w:tcW w:w="1249" w:type="pct"/>
            <w:tcBorders>
              <w:top w:val="single" w:sz="4" w:space="0" w:color="auto"/>
              <w:left w:val="nil"/>
              <w:bottom w:val="single" w:sz="4" w:space="0" w:color="auto"/>
              <w:right w:val="single" w:sz="4" w:space="0" w:color="auto"/>
            </w:tcBorders>
            <w:shd w:val="clear" w:color="000000" w:fill="C4D79B"/>
            <w:noWrap/>
            <w:vAlign w:val="center"/>
            <w:hideMark/>
          </w:tcPr>
          <w:p w:rsidR="000B5C1F" w:rsidRPr="00207396" w:rsidRDefault="000B5C1F" w:rsidP="00A67DB9">
            <w:pPr>
              <w:spacing w:after="0" w:line="240" w:lineRule="auto"/>
              <w:jc w:val="both"/>
              <w:rPr>
                <w:rFonts w:eastAsia="Times New Roman" w:cs="Calibri"/>
                <w:b/>
                <w:bCs/>
                <w:color w:val="FF0000"/>
                <w:sz w:val="20"/>
                <w:szCs w:val="20"/>
                <w:lang w:eastAsia="hu-HU"/>
              </w:rPr>
            </w:pPr>
            <w:r w:rsidRPr="00207396">
              <w:rPr>
                <w:rFonts w:eastAsia="Times New Roman" w:cs="Calibri"/>
                <w:b/>
                <w:bCs/>
                <w:color w:val="FF0000"/>
                <w:sz w:val="20"/>
                <w:szCs w:val="20"/>
                <w:lang w:eastAsia="hu-HU"/>
              </w:rPr>
              <w:t>Költségkeret június végi kezdéssel</w:t>
            </w:r>
          </w:p>
        </w:tc>
        <w:tc>
          <w:tcPr>
            <w:tcW w:w="884" w:type="pct"/>
            <w:tcBorders>
              <w:top w:val="single" w:sz="4" w:space="0" w:color="auto"/>
              <w:left w:val="nil"/>
              <w:bottom w:val="single" w:sz="4" w:space="0" w:color="auto"/>
              <w:right w:val="single" w:sz="4" w:space="0" w:color="auto"/>
            </w:tcBorders>
            <w:shd w:val="clear" w:color="000000" w:fill="C4D79B"/>
            <w:vAlign w:val="bottom"/>
            <w:hideMark/>
          </w:tcPr>
          <w:p w:rsidR="000B5C1F" w:rsidRPr="00207396" w:rsidRDefault="000B5C1F" w:rsidP="00A67DB9">
            <w:pPr>
              <w:spacing w:after="0" w:line="240" w:lineRule="auto"/>
              <w:jc w:val="both"/>
              <w:rPr>
                <w:rFonts w:eastAsia="Times New Roman" w:cs="Calibri"/>
                <w:b/>
                <w:bCs/>
                <w:color w:val="FF0000"/>
                <w:sz w:val="20"/>
                <w:szCs w:val="20"/>
                <w:lang w:eastAsia="hu-HU"/>
              </w:rPr>
            </w:pPr>
            <w:r w:rsidRPr="00207396">
              <w:rPr>
                <w:rFonts w:eastAsia="Times New Roman" w:cs="Calibri"/>
                <w:b/>
                <w:bCs/>
                <w:color w:val="FF0000"/>
                <w:sz w:val="20"/>
                <w:szCs w:val="20"/>
                <w:lang w:eastAsia="hu-HU"/>
              </w:rPr>
              <w:t>Költségkeret októberi kezdéssel</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000000" w:fill="FDE9D9"/>
            <w:vAlign w:val="center"/>
            <w:hideMark/>
          </w:tcPr>
          <w:p w:rsidR="000B5C1F" w:rsidRPr="00572C5C" w:rsidRDefault="000B5C1F" w:rsidP="00A67DB9">
            <w:pPr>
              <w:spacing w:after="0" w:line="240" w:lineRule="auto"/>
              <w:jc w:val="both"/>
              <w:rPr>
                <w:rFonts w:eastAsia="Times New Roman" w:cs="Calibri"/>
                <w:b/>
                <w:bCs/>
                <w:sz w:val="20"/>
                <w:szCs w:val="20"/>
                <w:lang w:eastAsia="hu-HU"/>
              </w:rPr>
            </w:pPr>
            <w:r>
              <w:rPr>
                <w:rFonts w:eastAsia="Times New Roman" w:cs="Calibri"/>
                <w:b/>
                <w:bCs/>
                <w:sz w:val="20"/>
                <w:szCs w:val="20"/>
                <w:lang w:eastAsia="hu-HU"/>
              </w:rPr>
              <w:t xml:space="preserve">Belföld </w:t>
            </w:r>
            <w:r w:rsidRPr="00572C5C">
              <w:rPr>
                <w:rFonts w:eastAsia="Times New Roman" w:cs="Calibri"/>
                <w:b/>
                <w:bCs/>
                <w:sz w:val="20"/>
                <w:szCs w:val="20"/>
                <w:lang w:eastAsia="hu-HU"/>
              </w:rPr>
              <w:t>összesen - célcsoport: 30-</w:t>
            </w:r>
            <w:r>
              <w:rPr>
                <w:rFonts w:eastAsia="Times New Roman" w:cs="Calibri"/>
                <w:b/>
                <w:bCs/>
                <w:sz w:val="20"/>
                <w:szCs w:val="20"/>
                <w:lang w:eastAsia="hu-HU"/>
              </w:rPr>
              <w:t>6</w:t>
            </w:r>
            <w:r w:rsidRPr="00572C5C">
              <w:rPr>
                <w:rFonts w:eastAsia="Times New Roman" w:cs="Calibri"/>
                <w:b/>
                <w:bCs/>
                <w:sz w:val="20"/>
                <w:szCs w:val="20"/>
                <w:lang w:eastAsia="hu-HU"/>
              </w:rPr>
              <w:t xml:space="preserve">0 év közötti egészségtudatos felnőttek (kb. </w:t>
            </w:r>
            <w:r>
              <w:rPr>
                <w:rFonts w:eastAsia="Times New Roman" w:cs="Calibri"/>
                <w:b/>
                <w:bCs/>
                <w:sz w:val="20"/>
                <w:szCs w:val="20"/>
                <w:lang w:eastAsia="hu-HU"/>
              </w:rPr>
              <w:t>4</w:t>
            </w:r>
            <w:r w:rsidRPr="00572C5C">
              <w:rPr>
                <w:rFonts w:eastAsia="Times New Roman" w:cs="Calibri"/>
                <w:b/>
                <w:bCs/>
                <w:sz w:val="20"/>
                <w:szCs w:val="20"/>
                <w:lang w:eastAsia="hu-HU"/>
              </w:rPr>
              <w:t>00.000 fő) és 60+ TB finanszírozott gyógykúrázók (kb. 200.000 fő)</w:t>
            </w:r>
          </w:p>
        </w:tc>
        <w:tc>
          <w:tcPr>
            <w:tcW w:w="1249" w:type="pct"/>
            <w:tcBorders>
              <w:top w:val="nil"/>
              <w:left w:val="nil"/>
              <w:bottom w:val="single" w:sz="4" w:space="0" w:color="auto"/>
              <w:right w:val="single" w:sz="4" w:space="0" w:color="auto"/>
            </w:tcBorders>
            <w:shd w:val="clear" w:color="000000" w:fill="FDE9D9"/>
            <w:noWrap/>
            <w:vAlign w:val="bottom"/>
            <w:hideMark/>
          </w:tcPr>
          <w:p w:rsidR="000B5C1F" w:rsidRPr="00207396" w:rsidRDefault="000B5C1F" w:rsidP="00A67DB9">
            <w:pPr>
              <w:spacing w:after="0" w:line="240" w:lineRule="auto"/>
              <w:jc w:val="both"/>
              <w:rPr>
                <w:rFonts w:eastAsia="Times New Roman" w:cs="Calibri"/>
                <w:b/>
                <w:bCs/>
                <w:color w:val="FF0000"/>
                <w:sz w:val="20"/>
                <w:szCs w:val="20"/>
                <w:lang w:eastAsia="hu-HU"/>
              </w:rPr>
            </w:pPr>
            <w:r w:rsidRPr="00207396">
              <w:rPr>
                <w:rFonts w:eastAsia="Times New Roman" w:cs="Calibri"/>
                <w:b/>
                <w:bCs/>
                <w:color w:val="FF0000"/>
                <w:sz w:val="20"/>
                <w:szCs w:val="20"/>
                <w:lang w:eastAsia="hu-HU"/>
              </w:rPr>
              <w:t>22 876 330</w:t>
            </w:r>
          </w:p>
        </w:tc>
        <w:tc>
          <w:tcPr>
            <w:tcW w:w="884" w:type="pct"/>
            <w:tcBorders>
              <w:top w:val="nil"/>
              <w:left w:val="nil"/>
              <w:bottom w:val="single" w:sz="4" w:space="0" w:color="auto"/>
              <w:right w:val="single" w:sz="4" w:space="0" w:color="auto"/>
            </w:tcBorders>
            <w:shd w:val="clear" w:color="000000" w:fill="FDE9D9"/>
            <w:noWrap/>
            <w:vAlign w:val="bottom"/>
            <w:hideMark/>
          </w:tcPr>
          <w:p w:rsidR="000B5C1F" w:rsidRPr="00207396" w:rsidRDefault="000B5C1F" w:rsidP="00A67DB9">
            <w:pPr>
              <w:spacing w:after="0" w:line="240" w:lineRule="auto"/>
              <w:jc w:val="both"/>
              <w:rPr>
                <w:rFonts w:eastAsia="Times New Roman" w:cs="Calibri"/>
                <w:b/>
                <w:bCs/>
                <w:color w:val="FF0000"/>
                <w:sz w:val="20"/>
                <w:szCs w:val="20"/>
                <w:lang w:eastAsia="hu-HU"/>
              </w:rPr>
            </w:pPr>
            <w:r w:rsidRPr="00207396">
              <w:rPr>
                <w:rFonts w:eastAsia="Times New Roman" w:cs="Calibri"/>
                <w:b/>
                <w:bCs/>
                <w:color w:val="FF0000"/>
                <w:sz w:val="20"/>
                <w:szCs w:val="20"/>
                <w:lang w:eastAsia="hu-HU"/>
              </w:rPr>
              <w:t>19 876 330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000000" w:fill="DCE6F1"/>
            <w:vAlign w:val="center"/>
            <w:hideMark/>
          </w:tcPr>
          <w:p w:rsidR="000B5C1F" w:rsidRPr="00572C5C" w:rsidRDefault="000B5C1F" w:rsidP="00A67DB9">
            <w:pPr>
              <w:spacing w:after="0" w:line="240" w:lineRule="auto"/>
              <w:jc w:val="both"/>
              <w:rPr>
                <w:rFonts w:eastAsia="Times New Roman" w:cs="Calibri"/>
                <w:b/>
                <w:bCs/>
                <w:sz w:val="20"/>
                <w:szCs w:val="20"/>
                <w:lang w:eastAsia="hu-HU"/>
              </w:rPr>
            </w:pPr>
            <w:r w:rsidRPr="00572C5C">
              <w:rPr>
                <w:rFonts w:eastAsia="Times New Roman" w:cs="Calibri"/>
                <w:b/>
                <w:bCs/>
                <w:sz w:val="20"/>
                <w:szCs w:val="20"/>
                <w:lang w:eastAsia="hu-HU"/>
              </w:rPr>
              <w:t xml:space="preserve">Kampányok: Best Destination (január 15-február 5.) </w:t>
            </w:r>
          </w:p>
        </w:tc>
        <w:tc>
          <w:tcPr>
            <w:tcW w:w="1249" w:type="pct"/>
            <w:tcBorders>
              <w:top w:val="nil"/>
              <w:left w:val="nil"/>
              <w:bottom w:val="single" w:sz="4" w:space="0" w:color="auto"/>
              <w:right w:val="single" w:sz="4" w:space="0" w:color="auto"/>
            </w:tcBorders>
            <w:shd w:val="clear" w:color="000000" w:fill="DCE6F1"/>
            <w:noWrap/>
            <w:vAlign w:val="bottom"/>
            <w:hideMark/>
          </w:tcPr>
          <w:p w:rsidR="000B5C1F" w:rsidRPr="00207396" w:rsidRDefault="000B5C1F" w:rsidP="00A67DB9">
            <w:pPr>
              <w:spacing w:after="0" w:line="240" w:lineRule="auto"/>
              <w:jc w:val="both"/>
              <w:rPr>
                <w:rFonts w:eastAsia="Times New Roman" w:cs="Calibri"/>
                <w:b/>
                <w:bCs/>
                <w:color w:val="FF0000"/>
                <w:sz w:val="20"/>
                <w:szCs w:val="20"/>
                <w:lang w:eastAsia="hu-HU"/>
              </w:rPr>
            </w:pPr>
            <w:r w:rsidRPr="00207396">
              <w:rPr>
                <w:rFonts w:eastAsia="Times New Roman" w:cs="Calibri"/>
                <w:b/>
                <w:bCs/>
                <w:color w:val="FF0000"/>
                <w:sz w:val="20"/>
                <w:szCs w:val="20"/>
                <w:lang w:eastAsia="hu-HU"/>
              </w:rPr>
              <w:t> </w:t>
            </w:r>
          </w:p>
        </w:tc>
        <w:tc>
          <w:tcPr>
            <w:tcW w:w="884" w:type="pct"/>
            <w:tcBorders>
              <w:top w:val="nil"/>
              <w:left w:val="nil"/>
              <w:bottom w:val="single" w:sz="4" w:space="0" w:color="auto"/>
              <w:right w:val="single" w:sz="4" w:space="0" w:color="auto"/>
            </w:tcBorders>
            <w:shd w:val="clear" w:color="000000" w:fill="DCE6F1"/>
            <w:noWrap/>
            <w:vAlign w:val="bottom"/>
            <w:hideMark/>
          </w:tcPr>
          <w:p w:rsidR="000B5C1F" w:rsidRPr="00207396" w:rsidRDefault="000B5C1F" w:rsidP="00A67DB9">
            <w:pPr>
              <w:spacing w:after="0" w:line="240" w:lineRule="auto"/>
              <w:jc w:val="both"/>
              <w:rPr>
                <w:rFonts w:eastAsia="Times New Roman" w:cs="Calibri"/>
                <w:b/>
                <w:bCs/>
                <w:color w:val="FF0000"/>
                <w:sz w:val="20"/>
                <w:szCs w:val="20"/>
                <w:lang w:eastAsia="hu-HU"/>
              </w:rPr>
            </w:pPr>
            <w:r w:rsidRPr="00207396">
              <w:rPr>
                <w:rFonts w:eastAsia="Times New Roman" w:cs="Calibri"/>
                <w:b/>
                <w:bCs/>
                <w:color w:val="FF0000"/>
                <w:sz w:val="20"/>
                <w:szCs w:val="20"/>
                <w:lang w:eastAsia="hu-HU"/>
              </w:rPr>
              <w:t> </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000000" w:fill="DCE6F1"/>
            <w:vAlign w:val="center"/>
            <w:hideMark/>
          </w:tcPr>
          <w:p w:rsidR="000B5C1F" w:rsidRPr="00572C5C" w:rsidRDefault="000B5C1F" w:rsidP="00A67DB9">
            <w:pPr>
              <w:spacing w:after="0" w:line="240" w:lineRule="auto"/>
              <w:jc w:val="both"/>
              <w:rPr>
                <w:rFonts w:eastAsia="Times New Roman" w:cs="Calibri"/>
                <w:b/>
                <w:bCs/>
                <w:sz w:val="20"/>
                <w:szCs w:val="20"/>
                <w:lang w:eastAsia="hu-HU"/>
              </w:rPr>
            </w:pPr>
            <w:r w:rsidRPr="00572C5C">
              <w:rPr>
                <w:rFonts w:eastAsia="Times New Roman" w:cs="Calibri"/>
                <w:b/>
                <w:bCs/>
                <w:sz w:val="20"/>
                <w:szCs w:val="20"/>
                <w:lang w:eastAsia="hu-HU"/>
              </w:rPr>
              <w:t>Februári kampány</w:t>
            </w:r>
          </w:p>
        </w:tc>
        <w:tc>
          <w:tcPr>
            <w:tcW w:w="1249" w:type="pct"/>
            <w:tcBorders>
              <w:top w:val="nil"/>
              <w:left w:val="nil"/>
              <w:bottom w:val="single" w:sz="4" w:space="0" w:color="auto"/>
              <w:right w:val="single" w:sz="4" w:space="0" w:color="auto"/>
            </w:tcBorders>
            <w:shd w:val="clear" w:color="000000" w:fill="DCE6F1"/>
            <w:noWrap/>
            <w:vAlign w:val="bottom"/>
            <w:hideMark/>
          </w:tcPr>
          <w:p w:rsidR="000B5C1F" w:rsidRPr="00207396" w:rsidRDefault="000B5C1F" w:rsidP="00A67DB9">
            <w:pPr>
              <w:spacing w:after="0" w:line="240" w:lineRule="auto"/>
              <w:jc w:val="both"/>
              <w:rPr>
                <w:rFonts w:eastAsia="Times New Roman" w:cs="Calibri"/>
                <w:b/>
                <w:bCs/>
                <w:color w:val="FF0000"/>
                <w:sz w:val="20"/>
                <w:szCs w:val="20"/>
                <w:lang w:eastAsia="hu-HU"/>
              </w:rPr>
            </w:pPr>
            <w:r w:rsidRPr="00207396">
              <w:rPr>
                <w:rFonts w:eastAsia="Times New Roman" w:cs="Calibri"/>
                <w:b/>
                <w:bCs/>
                <w:color w:val="FF0000"/>
                <w:sz w:val="20"/>
                <w:szCs w:val="20"/>
                <w:lang w:eastAsia="hu-HU"/>
              </w:rPr>
              <w:t> </w:t>
            </w:r>
          </w:p>
        </w:tc>
        <w:tc>
          <w:tcPr>
            <w:tcW w:w="884" w:type="pct"/>
            <w:tcBorders>
              <w:top w:val="nil"/>
              <w:left w:val="nil"/>
              <w:bottom w:val="single" w:sz="4" w:space="0" w:color="auto"/>
              <w:right w:val="single" w:sz="4" w:space="0" w:color="auto"/>
            </w:tcBorders>
            <w:shd w:val="clear" w:color="000000" w:fill="DCE6F1"/>
            <w:noWrap/>
            <w:vAlign w:val="bottom"/>
            <w:hideMark/>
          </w:tcPr>
          <w:p w:rsidR="000B5C1F" w:rsidRPr="00207396" w:rsidRDefault="000B5C1F" w:rsidP="00A67DB9">
            <w:pPr>
              <w:spacing w:after="0" w:line="240" w:lineRule="auto"/>
              <w:jc w:val="both"/>
              <w:rPr>
                <w:rFonts w:eastAsia="Times New Roman" w:cs="Calibri"/>
                <w:b/>
                <w:bCs/>
                <w:color w:val="FF0000"/>
                <w:sz w:val="20"/>
                <w:szCs w:val="20"/>
                <w:lang w:eastAsia="hu-HU"/>
              </w:rPr>
            </w:pPr>
            <w:r w:rsidRPr="00207396">
              <w:rPr>
                <w:rFonts w:eastAsia="Times New Roman" w:cs="Calibri"/>
                <w:b/>
                <w:bCs/>
                <w:color w:val="FF0000"/>
                <w:sz w:val="20"/>
                <w:szCs w:val="20"/>
                <w:lang w:eastAsia="hu-HU"/>
              </w:rPr>
              <w:t> </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000000" w:fill="DCE6F1"/>
            <w:vAlign w:val="center"/>
            <w:hideMark/>
          </w:tcPr>
          <w:p w:rsidR="000B5C1F" w:rsidRPr="00572C5C" w:rsidRDefault="000B5C1F" w:rsidP="00A67DB9">
            <w:pPr>
              <w:spacing w:after="0" w:line="240" w:lineRule="auto"/>
              <w:jc w:val="both"/>
              <w:rPr>
                <w:rFonts w:eastAsia="Times New Roman" w:cs="Calibri"/>
                <w:b/>
                <w:bCs/>
                <w:sz w:val="20"/>
                <w:szCs w:val="20"/>
                <w:lang w:eastAsia="hu-HU"/>
              </w:rPr>
            </w:pPr>
            <w:r w:rsidRPr="00572C5C">
              <w:rPr>
                <w:rFonts w:eastAsia="Times New Roman" w:cs="Calibri"/>
                <w:b/>
                <w:bCs/>
                <w:sz w:val="20"/>
                <w:szCs w:val="20"/>
                <w:lang w:eastAsia="hu-HU"/>
              </w:rPr>
              <w:t xml:space="preserve">Spa/wellness kampány: </w:t>
            </w:r>
            <w:r>
              <w:rPr>
                <w:rFonts w:eastAsia="Times New Roman" w:cs="Calibri"/>
                <w:b/>
                <w:bCs/>
                <w:sz w:val="20"/>
                <w:szCs w:val="20"/>
                <w:lang w:eastAsia="hu-HU"/>
              </w:rPr>
              <w:t>június-augusztus.</w:t>
            </w:r>
          </w:p>
        </w:tc>
        <w:tc>
          <w:tcPr>
            <w:tcW w:w="1249" w:type="pct"/>
            <w:tcBorders>
              <w:top w:val="nil"/>
              <w:left w:val="nil"/>
              <w:bottom w:val="single" w:sz="4" w:space="0" w:color="auto"/>
              <w:right w:val="single" w:sz="4" w:space="0" w:color="auto"/>
            </w:tcBorders>
            <w:shd w:val="clear" w:color="000000" w:fill="DCE6F1"/>
            <w:noWrap/>
            <w:vAlign w:val="bottom"/>
            <w:hideMark/>
          </w:tcPr>
          <w:p w:rsidR="000B5C1F" w:rsidRPr="00207396" w:rsidRDefault="000B5C1F" w:rsidP="00A67DB9">
            <w:pPr>
              <w:spacing w:after="0" w:line="240" w:lineRule="auto"/>
              <w:jc w:val="both"/>
              <w:rPr>
                <w:rFonts w:eastAsia="Times New Roman" w:cs="Calibri"/>
                <w:b/>
                <w:bCs/>
                <w:color w:val="FF0000"/>
                <w:sz w:val="20"/>
                <w:szCs w:val="20"/>
                <w:lang w:eastAsia="hu-HU"/>
              </w:rPr>
            </w:pPr>
            <w:r w:rsidRPr="00207396">
              <w:rPr>
                <w:rFonts w:eastAsia="Times New Roman" w:cs="Calibri"/>
                <w:b/>
                <w:bCs/>
                <w:color w:val="FF0000"/>
                <w:sz w:val="20"/>
                <w:szCs w:val="20"/>
                <w:lang w:eastAsia="hu-HU"/>
              </w:rPr>
              <w:t> </w:t>
            </w:r>
          </w:p>
        </w:tc>
        <w:tc>
          <w:tcPr>
            <w:tcW w:w="884" w:type="pct"/>
            <w:tcBorders>
              <w:top w:val="nil"/>
              <w:left w:val="nil"/>
              <w:bottom w:val="single" w:sz="4" w:space="0" w:color="auto"/>
              <w:right w:val="single" w:sz="4" w:space="0" w:color="auto"/>
            </w:tcBorders>
            <w:shd w:val="clear" w:color="000000" w:fill="DCE6F1"/>
            <w:noWrap/>
            <w:vAlign w:val="bottom"/>
            <w:hideMark/>
          </w:tcPr>
          <w:p w:rsidR="000B5C1F" w:rsidRPr="00207396" w:rsidRDefault="000B5C1F" w:rsidP="00A67DB9">
            <w:pPr>
              <w:spacing w:after="0" w:line="240" w:lineRule="auto"/>
              <w:jc w:val="both"/>
              <w:rPr>
                <w:rFonts w:eastAsia="Times New Roman" w:cs="Calibri"/>
                <w:b/>
                <w:bCs/>
                <w:color w:val="FF0000"/>
                <w:sz w:val="20"/>
                <w:szCs w:val="20"/>
                <w:lang w:eastAsia="hu-HU"/>
              </w:rPr>
            </w:pPr>
            <w:r w:rsidRPr="00207396">
              <w:rPr>
                <w:rFonts w:eastAsia="Times New Roman" w:cs="Calibri"/>
                <w:b/>
                <w:bCs/>
                <w:color w:val="FF0000"/>
                <w:sz w:val="20"/>
                <w:szCs w:val="20"/>
                <w:lang w:eastAsia="hu-HU"/>
              </w:rPr>
              <w:t> </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000000" w:fill="DCE6F1"/>
            <w:vAlign w:val="center"/>
            <w:hideMark/>
          </w:tcPr>
          <w:p w:rsidR="000B5C1F" w:rsidRPr="00572C5C" w:rsidRDefault="000B5C1F" w:rsidP="00A67DB9">
            <w:pPr>
              <w:spacing w:after="0" w:line="240" w:lineRule="auto"/>
              <w:jc w:val="both"/>
              <w:rPr>
                <w:rFonts w:eastAsia="Times New Roman" w:cs="Calibri"/>
                <w:b/>
                <w:bCs/>
                <w:sz w:val="20"/>
                <w:szCs w:val="20"/>
                <w:lang w:eastAsia="hu-HU"/>
              </w:rPr>
            </w:pPr>
            <w:r w:rsidRPr="00572C5C">
              <w:rPr>
                <w:rFonts w:eastAsia="Times New Roman" w:cs="Calibri"/>
                <w:b/>
                <w:bCs/>
                <w:sz w:val="20"/>
                <w:szCs w:val="20"/>
                <w:lang w:eastAsia="hu-HU"/>
              </w:rPr>
              <w:t>Hévízi Tradicionális Kúra: szeptember 12. - november 20.</w:t>
            </w:r>
          </w:p>
        </w:tc>
        <w:tc>
          <w:tcPr>
            <w:tcW w:w="1249" w:type="pct"/>
            <w:tcBorders>
              <w:top w:val="nil"/>
              <w:left w:val="nil"/>
              <w:bottom w:val="single" w:sz="4" w:space="0" w:color="auto"/>
              <w:right w:val="single" w:sz="4" w:space="0" w:color="auto"/>
            </w:tcBorders>
            <w:shd w:val="clear" w:color="000000" w:fill="DCE6F1"/>
            <w:noWrap/>
            <w:vAlign w:val="bottom"/>
            <w:hideMark/>
          </w:tcPr>
          <w:p w:rsidR="000B5C1F" w:rsidRPr="00207396" w:rsidRDefault="000B5C1F" w:rsidP="00A67DB9">
            <w:pPr>
              <w:spacing w:after="0" w:line="240" w:lineRule="auto"/>
              <w:jc w:val="both"/>
              <w:rPr>
                <w:rFonts w:eastAsia="Times New Roman" w:cs="Calibri"/>
                <w:b/>
                <w:bCs/>
                <w:color w:val="FF0000"/>
                <w:sz w:val="20"/>
                <w:szCs w:val="20"/>
                <w:lang w:eastAsia="hu-HU"/>
              </w:rPr>
            </w:pPr>
            <w:r w:rsidRPr="00207396">
              <w:rPr>
                <w:rFonts w:eastAsia="Times New Roman" w:cs="Calibri"/>
                <w:b/>
                <w:bCs/>
                <w:color w:val="FF0000"/>
                <w:sz w:val="20"/>
                <w:szCs w:val="20"/>
                <w:lang w:eastAsia="hu-HU"/>
              </w:rPr>
              <w:t> </w:t>
            </w:r>
          </w:p>
        </w:tc>
        <w:tc>
          <w:tcPr>
            <w:tcW w:w="884" w:type="pct"/>
            <w:tcBorders>
              <w:top w:val="nil"/>
              <w:left w:val="nil"/>
              <w:bottom w:val="single" w:sz="4" w:space="0" w:color="auto"/>
              <w:right w:val="single" w:sz="4" w:space="0" w:color="auto"/>
            </w:tcBorders>
            <w:shd w:val="clear" w:color="000000" w:fill="DCE6F1"/>
            <w:noWrap/>
            <w:vAlign w:val="bottom"/>
            <w:hideMark/>
          </w:tcPr>
          <w:p w:rsidR="000B5C1F" w:rsidRPr="00207396" w:rsidRDefault="000B5C1F" w:rsidP="00A67DB9">
            <w:pPr>
              <w:spacing w:after="0" w:line="240" w:lineRule="auto"/>
              <w:jc w:val="both"/>
              <w:rPr>
                <w:rFonts w:eastAsia="Times New Roman" w:cs="Calibri"/>
                <w:b/>
                <w:bCs/>
                <w:color w:val="FF0000"/>
                <w:sz w:val="20"/>
                <w:szCs w:val="20"/>
                <w:lang w:eastAsia="hu-HU"/>
              </w:rPr>
            </w:pPr>
            <w:r w:rsidRPr="00207396">
              <w:rPr>
                <w:rFonts w:eastAsia="Times New Roman" w:cs="Calibri"/>
                <w:b/>
                <w:bCs/>
                <w:color w:val="FF0000"/>
                <w:sz w:val="20"/>
                <w:szCs w:val="20"/>
                <w:lang w:eastAsia="hu-HU"/>
              </w:rPr>
              <w:t> </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000000" w:fill="EBF1DE"/>
            <w:vAlign w:val="center"/>
            <w:hideMark/>
          </w:tcPr>
          <w:p w:rsidR="000B5C1F" w:rsidRPr="00572C5C" w:rsidRDefault="000B5C1F" w:rsidP="00A67DB9">
            <w:pPr>
              <w:spacing w:after="0" w:line="240" w:lineRule="auto"/>
              <w:jc w:val="both"/>
              <w:rPr>
                <w:rFonts w:eastAsia="Times New Roman" w:cs="Calibri"/>
                <w:sz w:val="20"/>
                <w:szCs w:val="20"/>
                <w:lang w:eastAsia="hu-HU"/>
              </w:rPr>
            </w:pPr>
            <w:r w:rsidRPr="00572C5C">
              <w:rPr>
                <w:rFonts w:eastAsia="Times New Roman" w:cs="Calibri"/>
                <w:sz w:val="20"/>
                <w:szCs w:val="20"/>
                <w:lang w:eastAsia="hu-HU"/>
              </w:rPr>
              <w:t>Online - PPC, Social Media</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 </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 </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vAlign w:val="center"/>
            <w:hideMark/>
          </w:tcPr>
          <w:p w:rsidR="000B5C1F" w:rsidRPr="00572C5C" w:rsidRDefault="000B5C1F" w:rsidP="00A67DB9">
            <w:pPr>
              <w:spacing w:after="0" w:line="240" w:lineRule="auto"/>
              <w:ind w:firstLineChars="200" w:firstLine="400"/>
              <w:jc w:val="both"/>
              <w:rPr>
                <w:rFonts w:eastAsia="Times New Roman" w:cs="Calibri"/>
                <w:sz w:val="20"/>
                <w:szCs w:val="20"/>
                <w:lang w:eastAsia="hu-HU"/>
              </w:rPr>
            </w:pPr>
            <w:r w:rsidRPr="00572C5C">
              <w:rPr>
                <w:rFonts w:eastAsia="Times New Roman" w:cs="Calibri"/>
                <w:sz w:val="20"/>
                <w:szCs w:val="20"/>
                <w:lang w:eastAsia="hu-HU"/>
              </w:rPr>
              <w:t>Google Ads</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A1106E" w:rsidRDefault="000B5C1F" w:rsidP="00A67DB9">
            <w:pPr>
              <w:spacing w:after="0" w:line="240" w:lineRule="auto"/>
              <w:jc w:val="both"/>
              <w:rPr>
                <w:rFonts w:eastAsia="Times New Roman" w:cs="Calibri"/>
                <w:sz w:val="20"/>
                <w:szCs w:val="20"/>
                <w:lang w:eastAsia="hu-HU"/>
              </w:rPr>
            </w:pPr>
            <w:r w:rsidRPr="00A1106E">
              <w:rPr>
                <w:rFonts w:eastAsia="Times New Roman" w:cs="Calibri"/>
                <w:sz w:val="20"/>
                <w:szCs w:val="20"/>
                <w:lang w:eastAsia="hu-HU"/>
              </w:rPr>
              <w:t>2 500 000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2 000 000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vAlign w:val="center"/>
            <w:hideMark/>
          </w:tcPr>
          <w:p w:rsidR="000B5C1F" w:rsidRPr="00572C5C" w:rsidRDefault="000B5C1F" w:rsidP="00A67DB9">
            <w:pPr>
              <w:spacing w:after="0" w:line="240" w:lineRule="auto"/>
              <w:ind w:firstLineChars="200" w:firstLine="400"/>
              <w:jc w:val="both"/>
              <w:rPr>
                <w:rFonts w:eastAsia="Times New Roman" w:cs="Calibri"/>
                <w:sz w:val="20"/>
                <w:szCs w:val="20"/>
                <w:lang w:eastAsia="hu-HU"/>
              </w:rPr>
            </w:pPr>
            <w:r w:rsidRPr="00572C5C">
              <w:rPr>
                <w:rFonts w:eastAsia="Times New Roman" w:cs="Calibri"/>
                <w:sz w:val="20"/>
                <w:szCs w:val="20"/>
                <w:lang w:eastAsia="hu-HU"/>
              </w:rPr>
              <w:t xml:space="preserve">Facebook és Instagram-kommunikáció </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A1106E" w:rsidRDefault="000B5C1F" w:rsidP="00A67DB9">
            <w:pPr>
              <w:spacing w:after="0" w:line="240" w:lineRule="auto"/>
              <w:jc w:val="both"/>
              <w:rPr>
                <w:rFonts w:eastAsia="Times New Roman" w:cs="Calibri"/>
                <w:sz w:val="20"/>
                <w:szCs w:val="20"/>
                <w:lang w:eastAsia="hu-HU"/>
              </w:rPr>
            </w:pPr>
            <w:r w:rsidRPr="00A1106E">
              <w:rPr>
                <w:rFonts w:eastAsia="Times New Roman" w:cs="Calibri"/>
                <w:sz w:val="20"/>
                <w:szCs w:val="20"/>
                <w:lang w:eastAsia="hu-HU"/>
              </w:rPr>
              <w:t>2 000 000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1 500 000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vAlign w:val="center"/>
            <w:hideMark/>
          </w:tcPr>
          <w:p w:rsidR="000B5C1F" w:rsidRPr="00572C5C" w:rsidRDefault="000B5C1F" w:rsidP="00A67DB9">
            <w:pPr>
              <w:spacing w:after="0" w:line="240" w:lineRule="auto"/>
              <w:ind w:firstLineChars="200" w:firstLine="400"/>
              <w:jc w:val="both"/>
              <w:rPr>
                <w:rFonts w:eastAsia="Times New Roman" w:cs="Calibri"/>
                <w:sz w:val="20"/>
                <w:szCs w:val="20"/>
                <w:lang w:eastAsia="hu-HU"/>
              </w:rPr>
            </w:pPr>
            <w:r w:rsidRPr="00572C5C">
              <w:rPr>
                <w:rFonts w:eastAsia="Times New Roman" w:cs="Calibri"/>
                <w:sz w:val="20"/>
                <w:szCs w:val="20"/>
                <w:lang w:eastAsia="hu-HU"/>
              </w:rPr>
              <w:t>Szallas.hu együttműködés</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A1106E" w:rsidRDefault="000B5C1F" w:rsidP="00A67DB9">
            <w:pPr>
              <w:spacing w:after="0" w:line="240" w:lineRule="auto"/>
              <w:jc w:val="both"/>
              <w:rPr>
                <w:rFonts w:eastAsia="Times New Roman" w:cs="Calibri"/>
                <w:sz w:val="20"/>
                <w:szCs w:val="20"/>
                <w:lang w:eastAsia="hu-HU"/>
              </w:rPr>
            </w:pPr>
            <w:r w:rsidRPr="00A1106E">
              <w:rPr>
                <w:rFonts w:eastAsia="Times New Roman" w:cs="Calibri"/>
                <w:sz w:val="20"/>
                <w:szCs w:val="20"/>
                <w:lang w:eastAsia="hu-HU"/>
              </w:rPr>
              <w:t>1 000 000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A1106E" w:rsidRDefault="000B5C1F" w:rsidP="00A67DB9">
            <w:pPr>
              <w:spacing w:after="0" w:line="240" w:lineRule="auto"/>
              <w:jc w:val="both"/>
              <w:rPr>
                <w:rFonts w:eastAsia="Times New Roman" w:cs="Calibri"/>
                <w:sz w:val="20"/>
                <w:szCs w:val="20"/>
                <w:lang w:eastAsia="hu-HU"/>
              </w:rPr>
            </w:pPr>
            <w:r w:rsidRPr="00A1106E">
              <w:rPr>
                <w:rFonts w:eastAsia="Times New Roman" w:cs="Calibri"/>
                <w:sz w:val="20"/>
                <w:szCs w:val="20"/>
                <w:lang w:eastAsia="hu-HU"/>
              </w:rPr>
              <w:t>1 000 000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vAlign w:val="center"/>
            <w:hideMark/>
          </w:tcPr>
          <w:p w:rsidR="000B5C1F" w:rsidRPr="00572C5C" w:rsidRDefault="000B5C1F" w:rsidP="00A67DB9">
            <w:pPr>
              <w:spacing w:after="0" w:line="240" w:lineRule="auto"/>
              <w:ind w:firstLineChars="200" w:firstLine="400"/>
              <w:jc w:val="both"/>
              <w:rPr>
                <w:rFonts w:eastAsia="Times New Roman" w:cs="Calibri"/>
                <w:sz w:val="20"/>
                <w:szCs w:val="20"/>
                <w:lang w:eastAsia="hu-HU"/>
              </w:rPr>
            </w:pPr>
            <w:r w:rsidRPr="00572C5C">
              <w:rPr>
                <w:rFonts w:eastAsia="Times New Roman" w:cs="Calibri"/>
                <w:sz w:val="20"/>
                <w:szCs w:val="20"/>
                <w:lang w:eastAsia="hu-HU"/>
              </w:rPr>
              <w:t>Blogger/vlogger study tour</w:t>
            </w:r>
          </w:p>
        </w:tc>
        <w:tc>
          <w:tcPr>
            <w:tcW w:w="1249" w:type="pct"/>
            <w:tcBorders>
              <w:top w:val="nil"/>
              <w:left w:val="nil"/>
              <w:bottom w:val="single" w:sz="4" w:space="0" w:color="auto"/>
              <w:right w:val="single" w:sz="4" w:space="0" w:color="auto"/>
            </w:tcBorders>
            <w:shd w:val="clear" w:color="000000" w:fill="FFFFFF"/>
            <w:noWrap/>
            <w:vAlign w:val="bottom"/>
            <w:hideMark/>
          </w:tcPr>
          <w:p w:rsidR="000B5C1F" w:rsidRPr="00A1106E" w:rsidRDefault="000B5C1F" w:rsidP="00A67DB9">
            <w:pPr>
              <w:spacing w:after="0" w:line="240" w:lineRule="auto"/>
              <w:jc w:val="both"/>
              <w:rPr>
                <w:rFonts w:eastAsia="Times New Roman" w:cs="Calibri"/>
                <w:sz w:val="20"/>
                <w:szCs w:val="20"/>
                <w:lang w:eastAsia="hu-HU"/>
              </w:rPr>
            </w:pPr>
            <w:r w:rsidRPr="00A1106E">
              <w:rPr>
                <w:rFonts w:eastAsia="Times New Roman" w:cs="Calibri"/>
                <w:sz w:val="20"/>
                <w:szCs w:val="20"/>
                <w:lang w:eastAsia="hu-HU"/>
              </w:rPr>
              <w:t>500 000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A1106E" w:rsidRDefault="000B5C1F" w:rsidP="00A67DB9">
            <w:pPr>
              <w:spacing w:after="0" w:line="240" w:lineRule="auto"/>
              <w:jc w:val="both"/>
              <w:rPr>
                <w:rFonts w:eastAsia="Times New Roman" w:cs="Calibri"/>
                <w:sz w:val="20"/>
                <w:szCs w:val="20"/>
                <w:lang w:eastAsia="hu-HU"/>
              </w:rPr>
            </w:pPr>
            <w:r w:rsidRPr="00A1106E">
              <w:rPr>
                <w:rFonts w:eastAsia="Times New Roman" w:cs="Calibri"/>
                <w:sz w:val="20"/>
                <w:szCs w:val="20"/>
                <w:lang w:eastAsia="hu-HU"/>
              </w:rPr>
              <w:t>500 000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vAlign w:val="center"/>
            <w:hideMark/>
          </w:tcPr>
          <w:p w:rsidR="000B5C1F" w:rsidRPr="00572C5C" w:rsidRDefault="000B5C1F" w:rsidP="00A67DB9">
            <w:pPr>
              <w:spacing w:after="0" w:line="240" w:lineRule="auto"/>
              <w:ind w:firstLineChars="200" w:firstLine="400"/>
              <w:jc w:val="both"/>
              <w:rPr>
                <w:rFonts w:eastAsia="Times New Roman" w:cs="Calibri"/>
                <w:sz w:val="20"/>
                <w:szCs w:val="20"/>
                <w:lang w:eastAsia="hu-HU"/>
              </w:rPr>
            </w:pPr>
            <w:r w:rsidRPr="00572C5C">
              <w:rPr>
                <w:rFonts w:eastAsia="Times New Roman" w:cs="Calibri"/>
                <w:sz w:val="20"/>
                <w:szCs w:val="20"/>
                <w:lang w:eastAsia="hu-HU"/>
              </w:rPr>
              <w:t>Natív hirdetések</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A1106E" w:rsidRDefault="000B5C1F" w:rsidP="00A67DB9">
            <w:pPr>
              <w:spacing w:after="0" w:line="240" w:lineRule="auto"/>
              <w:jc w:val="both"/>
              <w:rPr>
                <w:rFonts w:eastAsia="Times New Roman" w:cs="Calibri"/>
                <w:sz w:val="20"/>
                <w:szCs w:val="20"/>
                <w:lang w:eastAsia="hu-HU"/>
              </w:rPr>
            </w:pPr>
            <w:r w:rsidRPr="00A1106E">
              <w:rPr>
                <w:rFonts w:eastAsia="Times New Roman" w:cs="Calibri"/>
                <w:sz w:val="20"/>
                <w:szCs w:val="20"/>
                <w:lang w:eastAsia="hu-HU"/>
              </w:rPr>
              <w:t>1 500 000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A1106E" w:rsidRDefault="000B5C1F" w:rsidP="00A67DB9">
            <w:pPr>
              <w:spacing w:after="0" w:line="240" w:lineRule="auto"/>
              <w:jc w:val="both"/>
              <w:rPr>
                <w:rFonts w:eastAsia="Times New Roman" w:cs="Calibri"/>
                <w:sz w:val="20"/>
                <w:szCs w:val="20"/>
                <w:lang w:eastAsia="hu-HU"/>
              </w:rPr>
            </w:pPr>
            <w:r w:rsidRPr="00A1106E">
              <w:rPr>
                <w:rFonts w:eastAsia="Times New Roman" w:cs="Calibri"/>
                <w:sz w:val="20"/>
                <w:szCs w:val="20"/>
                <w:lang w:eastAsia="hu-HU"/>
              </w:rPr>
              <w:t>1 500 000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000000" w:fill="EBF1DE"/>
            <w:vAlign w:val="center"/>
            <w:hideMark/>
          </w:tcPr>
          <w:p w:rsidR="000B5C1F" w:rsidRPr="00572C5C" w:rsidRDefault="000B5C1F" w:rsidP="00A67DB9">
            <w:pPr>
              <w:spacing w:after="0" w:line="240" w:lineRule="auto"/>
              <w:jc w:val="both"/>
              <w:rPr>
                <w:rFonts w:eastAsia="Times New Roman" w:cs="Calibri"/>
                <w:sz w:val="20"/>
                <w:szCs w:val="20"/>
                <w:lang w:eastAsia="hu-HU"/>
              </w:rPr>
            </w:pPr>
            <w:r w:rsidRPr="00572C5C">
              <w:rPr>
                <w:rFonts w:eastAsia="Times New Roman" w:cs="Calibri"/>
                <w:sz w:val="20"/>
                <w:szCs w:val="20"/>
                <w:lang w:eastAsia="hu-HU"/>
              </w:rPr>
              <w:t>Print</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highlight w:val="yellow"/>
                <w:lang w:eastAsia="hu-HU"/>
              </w:rPr>
              <w:t>7 166 200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highlight w:val="yellow"/>
                <w:lang w:eastAsia="hu-HU"/>
              </w:rPr>
              <w:t>7 166 200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000000" w:fill="FFFFFF"/>
            <w:vAlign w:val="center"/>
            <w:hideMark/>
          </w:tcPr>
          <w:p w:rsidR="000B5C1F" w:rsidRPr="00572C5C" w:rsidRDefault="000B5C1F" w:rsidP="00A67DB9">
            <w:pPr>
              <w:spacing w:after="0" w:line="240" w:lineRule="auto"/>
              <w:ind w:firstLineChars="200" w:firstLine="400"/>
              <w:jc w:val="both"/>
              <w:rPr>
                <w:rFonts w:eastAsia="Times New Roman" w:cs="Calibri"/>
                <w:sz w:val="20"/>
                <w:szCs w:val="20"/>
                <w:lang w:eastAsia="hu-HU"/>
              </w:rPr>
            </w:pPr>
            <w:r w:rsidRPr="00572C5C">
              <w:rPr>
                <w:rFonts w:eastAsia="Times New Roman" w:cs="Calibri"/>
                <w:sz w:val="20"/>
                <w:szCs w:val="20"/>
                <w:lang w:eastAsia="hu-HU"/>
              </w:rPr>
              <w:t>Nők Lapja, Harmónia</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 </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 </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vAlign w:val="center"/>
            <w:hideMark/>
          </w:tcPr>
          <w:p w:rsidR="000B5C1F" w:rsidRPr="00572C5C" w:rsidRDefault="000B5C1F" w:rsidP="00A67DB9">
            <w:pPr>
              <w:spacing w:after="0" w:line="240" w:lineRule="auto"/>
              <w:ind w:firstLineChars="200" w:firstLine="400"/>
              <w:jc w:val="both"/>
              <w:rPr>
                <w:rFonts w:eastAsia="Times New Roman" w:cs="Calibri"/>
                <w:sz w:val="20"/>
                <w:szCs w:val="20"/>
                <w:lang w:eastAsia="hu-HU"/>
              </w:rPr>
            </w:pPr>
            <w:r w:rsidRPr="00572C5C">
              <w:rPr>
                <w:rFonts w:eastAsia="Times New Roman" w:cs="Calibri"/>
                <w:sz w:val="20"/>
                <w:szCs w:val="20"/>
                <w:lang w:eastAsia="hu-HU"/>
              </w:rPr>
              <w:t>Női pletyka lapok - Kiskegyed, Blikk Nők, Fanny, Story, Meglepetés</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 </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 </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vAlign w:val="center"/>
            <w:hideMark/>
          </w:tcPr>
          <w:p w:rsidR="000B5C1F" w:rsidRPr="00572C5C" w:rsidRDefault="000B5C1F" w:rsidP="00A67DB9">
            <w:pPr>
              <w:spacing w:after="0" w:line="240" w:lineRule="auto"/>
              <w:jc w:val="both"/>
              <w:rPr>
                <w:rFonts w:eastAsia="Times New Roman" w:cs="Calibri"/>
                <w:sz w:val="20"/>
                <w:szCs w:val="20"/>
                <w:lang w:eastAsia="hu-HU"/>
              </w:rPr>
            </w:pPr>
            <w:r w:rsidRPr="00572C5C">
              <w:rPr>
                <w:rFonts w:eastAsia="Times New Roman" w:cs="Calibri"/>
                <w:sz w:val="20"/>
                <w:szCs w:val="20"/>
                <w:lang w:eastAsia="hu-HU"/>
              </w:rPr>
              <w:t>Gyógyhír, Házipatika.com, Egészségbarát, Váróterem, Szimp</w:t>
            </w:r>
            <w:r>
              <w:rPr>
                <w:rFonts w:eastAsia="Times New Roman" w:cs="Calibri"/>
                <w:sz w:val="20"/>
                <w:szCs w:val="20"/>
                <w:lang w:eastAsia="hu-HU"/>
              </w:rPr>
              <w:t>.</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 </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 </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000000" w:fill="EBF1DE"/>
            <w:noWrap/>
            <w:vAlign w:val="bottom"/>
            <w:hideMark/>
          </w:tcPr>
          <w:p w:rsidR="000B5C1F" w:rsidRPr="00572C5C" w:rsidRDefault="000B5C1F" w:rsidP="00A67DB9">
            <w:pPr>
              <w:spacing w:after="0" w:line="240" w:lineRule="auto"/>
              <w:jc w:val="both"/>
              <w:rPr>
                <w:rFonts w:eastAsia="Times New Roman" w:cs="Calibri"/>
                <w:sz w:val="20"/>
                <w:szCs w:val="20"/>
                <w:lang w:eastAsia="hu-HU"/>
              </w:rPr>
            </w:pPr>
            <w:r w:rsidRPr="00572C5C">
              <w:rPr>
                <w:rFonts w:eastAsia="Times New Roman" w:cs="Calibri"/>
                <w:sz w:val="20"/>
                <w:szCs w:val="20"/>
                <w:lang w:eastAsia="hu-HU"/>
              </w:rPr>
              <w:t>Televíziós megjelenések</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 </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 </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noWrap/>
            <w:vAlign w:val="bottom"/>
            <w:hideMark/>
          </w:tcPr>
          <w:p w:rsidR="000B5C1F" w:rsidRPr="00572C5C" w:rsidRDefault="000B5C1F" w:rsidP="00A67DB9">
            <w:pPr>
              <w:spacing w:after="0" w:line="240" w:lineRule="auto"/>
              <w:ind w:firstLineChars="200" w:firstLine="400"/>
              <w:jc w:val="both"/>
              <w:rPr>
                <w:rFonts w:eastAsia="Times New Roman" w:cs="Calibri"/>
                <w:sz w:val="20"/>
                <w:szCs w:val="20"/>
                <w:lang w:eastAsia="hu-HU"/>
              </w:rPr>
            </w:pPr>
            <w:r w:rsidRPr="00572C5C">
              <w:rPr>
                <w:rFonts w:eastAsia="Times New Roman" w:cs="Calibri"/>
                <w:sz w:val="20"/>
                <w:szCs w:val="20"/>
                <w:lang w:eastAsia="hu-HU"/>
              </w:rPr>
              <w:t>RTL Klub - Kalandozó - 2 alkalom</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A1106E" w:rsidRDefault="000B5C1F" w:rsidP="00A67DB9">
            <w:pPr>
              <w:spacing w:after="0" w:line="240" w:lineRule="auto"/>
              <w:jc w:val="both"/>
              <w:rPr>
                <w:rFonts w:eastAsia="Times New Roman" w:cs="Calibri"/>
                <w:sz w:val="20"/>
                <w:szCs w:val="20"/>
                <w:lang w:eastAsia="hu-HU"/>
              </w:rPr>
            </w:pPr>
            <w:r w:rsidRPr="00A1106E">
              <w:rPr>
                <w:rFonts w:eastAsia="Times New Roman" w:cs="Calibri"/>
                <w:sz w:val="20"/>
                <w:szCs w:val="20"/>
                <w:lang w:eastAsia="hu-HU"/>
              </w:rPr>
              <w:t>700 000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A1106E" w:rsidRDefault="000B5C1F" w:rsidP="00A67DB9">
            <w:pPr>
              <w:spacing w:after="0" w:line="240" w:lineRule="auto"/>
              <w:jc w:val="both"/>
              <w:rPr>
                <w:rFonts w:eastAsia="Times New Roman" w:cs="Calibri"/>
                <w:sz w:val="20"/>
                <w:szCs w:val="20"/>
                <w:lang w:eastAsia="hu-HU"/>
              </w:rPr>
            </w:pP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noWrap/>
            <w:vAlign w:val="bottom"/>
            <w:hideMark/>
          </w:tcPr>
          <w:p w:rsidR="000B5C1F" w:rsidRPr="00572C5C" w:rsidRDefault="000B5C1F" w:rsidP="00A67DB9">
            <w:pPr>
              <w:spacing w:after="0" w:line="240" w:lineRule="auto"/>
              <w:ind w:firstLineChars="200" w:firstLine="400"/>
              <w:jc w:val="both"/>
              <w:rPr>
                <w:rFonts w:eastAsia="Times New Roman" w:cs="Calibri"/>
                <w:sz w:val="20"/>
                <w:szCs w:val="20"/>
                <w:lang w:eastAsia="hu-HU"/>
              </w:rPr>
            </w:pPr>
            <w:r w:rsidRPr="00572C5C">
              <w:rPr>
                <w:rFonts w:eastAsia="Times New Roman" w:cs="Calibri"/>
                <w:sz w:val="20"/>
                <w:szCs w:val="20"/>
                <w:lang w:eastAsia="hu-HU"/>
              </w:rPr>
              <w:t>M1 - Időjárás szponzoráció - 2x2 hét</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A1106E" w:rsidRDefault="000B5C1F" w:rsidP="00A67DB9">
            <w:pPr>
              <w:spacing w:after="0" w:line="240" w:lineRule="auto"/>
              <w:jc w:val="both"/>
              <w:rPr>
                <w:rFonts w:eastAsia="Times New Roman" w:cs="Calibri"/>
                <w:sz w:val="20"/>
                <w:szCs w:val="20"/>
                <w:lang w:eastAsia="hu-HU"/>
              </w:rPr>
            </w:pPr>
            <w:r w:rsidRPr="00A1106E">
              <w:rPr>
                <w:rFonts w:eastAsia="Times New Roman" w:cs="Calibri"/>
                <w:sz w:val="20"/>
                <w:szCs w:val="20"/>
                <w:lang w:eastAsia="hu-HU"/>
              </w:rPr>
              <w:t>1 500 000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A1106E" w:rsidRDefault="000B5C1F" w:rsidP="00A67DB9">
            <w:pPr>
              <w:spacing w:after="0" w:line="240" w:lineRule="auto"/>
              <w:jc w:val="both"/>
              <w:rPr>
                <w:rFonts w:eastAsia="Times New Roman" w:cs="Calibri"/>
                <w:sz w:val="20"/>
                <w:szCs w:val="20"/>
                <w:lang w:eastAsia="hu-HU"/>
              </w:rPr>
            </w:pPr>
            <w:r w:rsidRPr="00A1106E">
              <w:rPr>
                <w:rFonts w:eastAsia="Times New Roman" w:cs="Calibri"/>
                <w:sz w:val="20"/>
                <w:szCs w:val="20"/>
                <w:lang w:eastAsia="hu-HU"/>
              </w:rPr>
              <w:t>1 500 000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000000" w:fill="EBF1DE"/>
            <w:vAlign w:val="center"/>
            <w:hideMark/>
          </w:tcPr>
          <w:p w:rsidR="000B5C1F" w:rsidRPr="00572C5C" w:rsidRDefault="000B5C1F" w:rsidP="00A67DB9">
            <w:pPr>
              <w:spacing w:after="0" w:line="240" w:lineRule="auto"/>
              <w:jc w:val="both"/>
              <w:rPr>
                <w:rFonts w:eastAsia="Times New Roman" w:cs="Calibri"/>
                <w:sz w:val="20"/>
                <w:szCs w:val="20"/>
                <w:lang w:eastAsia="hu-HU"/>
              </w:rPr>
            </w:pPr>
            <w:r w:rsidRPr="00572C5C">
              <w:rPr>
                <w:rFonts w:eastAsia="Times New Roman" w:cs="Calibri"/>
                <w:sz w:val="20"/>
                <w:szCs w:val="20"/>
                <w:lang w:eastAsia="hu-HU"/>
              </w:rPr>
              <w:t>Rádió megjelenések</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 </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 </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vAlign w:val="center"/>
            <w:hideMark/>
          </w:tcPr>
          <w:p w:rsidR="000B5C1F" w:rsidRPr="00572C5C" w:rsidRDefault="000B5C1F" w:rsidP="00A67DB9">
            <w:pPr>
              <w:spacing w:after="0" w:line="240" w:lineRule="auto"/>
              <w:ind w:firstLineChars="200" w:firstLine="400"/>
              <w:jc w:val="both"/>
              <w:rPr>
                <w:rFonts w:eastAsia="Times New Roman" w:cs="Calibri"/>
                <w:sz w:val="20"/>
                <w:szCs w:val="20"/>
                <w:lang w:eastAsia="hu-HU"/>
              </w:rPr>
            </w:pPr>
            <w:r w:rsidRPr="00572C5C">
              <w:rPr>
                <w:rFonts w:eastAsia="Times New Roman" w:cs="Calibri"/>
                <w:sz w:val="20"/>
                <w:szCs w:val="20"/>
                <w:lang w:eastAsia="hu-HU"/>
              </w:rPr>
              <w:t>Vidéki rádiók</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1 158 750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1 158 750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vAlign w:val="center"/>
            <w:hideMark/>
          </w:tcPr>
          <w:p w:rsidR="000B5C1F" w:rsidRPr="00572C5C" w:rsidRDefault="000B5C1F" w:rsidP="00A67DB9">
            <w:pPr>
              <w:spacing w:after="0" w:line="240" w:lineRule="auto"/>
              <w:ind w:firstLineChars="200" w:firstLine="400"/>
              <w:jc w:val="both"/>
              <w:rPr>
                <w:rFonts w:eastAsia="Times New Roman" w:cs="Calibri"/>
                <w:sz w:val="20"/>
                <w:szCs w:val="20"/>
                <w:lang w:eastAsia="hu-HU"/>
              </w:rPr>
            </w:pPr>
            <w:r w:rsidRPr="00572C5C">
              <w:rPr>
                <w:rFonts w:eastAsia="Times New Roman" w:cs="Calibri"/>
                <w:sz w:val="20"/>
                <w:szCs w:val="20"/>
                <w:lang w:eastAsia="hu-HU"/>
              </w:rPr>
              <w:t>Petőfi Rádió - nyereményjáték</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A1106E" w:rsidRDefault="000B5C1F" w:rsidP="00A67DB9">
            <w:pPr>
              <w:spacing w:after="0" w:line="240" w:lineRule="auto"/>
              <w:jc w:val="both"/>
              <w:rPr>
                <w:rFonts w:eastAsia="Times New Roman" w:cs="Calibri"/>
                <w:sz w:val="20"/>
                <w:szCs w:val="20"/>
                <w:lang w:eastAsia="hu-HU"/>
              </w:rPr>
            </w:pPr>
            <w:r w:rsidRPr="00A1106E">
              <w:rPr>
                <w:rFonts w:eastAsia="Times New Roman" w:cs="Calibri"/>
                <w:sz w:val="20"/>
                <w:szCs w:val="20"/>
                <w:lang w:eastAsia="hu-HU"/>
              </w:rPr>
              <w:t>1 000 000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vAlign w:val="center"/>
            <w:hideMark/>
          </w:tcPr>
          <w:p w:rsidR="000B5C1F" w:rsidRPr="00572C5C" w:rsidRDefault="000B5C1F" w:rsidP="00A67DB9">
            <w:pPr>
              <w:spacing w:after="0" w:line="240" w:lineRule="auto"/>
              <w:jc w:val="both"/>
              <w:rPr>
                <w:rFonts w:eastAsia="Times New Roman" w:cs="Calibri"/>
                <w:sz w:val="20"/>
                <w:szCs w:val="20"/>
                <w:lang w:eastAsia="hu-HU"/>
              </w:rPr>
            </w:pPr>
            <w:r w:rsidRPr="00572C5C">
              <w:rPr>
                <w:rFonts w:eastAsia="Times New Roman" w:cs="Calibri"/>
                <w:sz w:val="20"/>
                <w:szCs w:val="20"/>
                <w:lang w:eastAsia="hu-HU"/>
              </w:rPr>
              <w:t>Study tour - belföldi újságírók</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500 000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500 000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vAlign w:val="center"/>
            <w:hideMark/>
          </w:tcPr>
          <w:p w:rsidR="000B5C1F" w:rsidRPr="00572C5C" w:rsidRDefault="000B5C1F" w:rsidP="00A67DB9">
            <w:pPr>
              <w:spacing w:after="0" w:line="240" w:lineRule="auto"/>
              <w:jc w:val="both"/>
              <w:rPr>
                <w:rFonts w:eastAsia="Times New Roman" w:cs="Calibri"/>
                <w:sz w:val="20"/>
                <w:szCs w:val="20"/>
                <w:lang w:eastAsia="hu-HU"/>
              </w:rPr>
            </w:pPr>
            <w:r w:rsidRPr="00572C5C">
              <w:rPr>
                <w:rFonts w:eastAsia="Times New Roman" w:cs="Calibri"/>
                <w:sz w:val="20"/>
                <w:szCs w:val="20"/>
                <w:lang w:eastAsia="hu-HU"/>
              </w:rPr>
              <w:t xml:space="preserve">Sport/egészség/életmód rendezvény kitelepülés: </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700 000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700 000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vAlign w:val="center"/>
            <w:hideMark/>
          </w:tcPr>
          <w:p w:rsidR="000B5C1F" w:rsidRPr="00572C5C" w:rsidRDefault="000B5C1F" w:rsidP="00A67DB9">
            <w:pPr>
              <w:spacing w:after="0" w:line="240" w:lineRule="auto"/>
              <w:jc w:val="both"/>
              <w:rPr>
                <w:rFonts w:eastAsia="Times New Roman" w:cs="Calibri"/>
                <w:sz w:val="20"/>
                <w:szCs w:val="20"/>
                <w:lang w:eastAsia="hu-HU"/>
              </w:rPr>
            </w:pPr>
            <w:r w:rsidRPr="00572C5C">
              <w:rPr>
                <w:rFonts w:eastAsia="Times New Roman" w:cs="Calibri"/>
                <w:sz w:val="20"/>
                <w:szCs w:val="20"/>
                <w:lang w:eastAsia="hu-HU"/>
              </w:rPr>
              <w:t>Kórházi plakátok - tavasz, tél 2x2 hónap</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2 151 380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2 151 380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000000" w:fill="C4D79B"/>
            <w:vAlign w:val="center"/>
            <w:hideMark/>
          </w:tcPr>
          <w:p w:rsidR="000B5C1F" w:rsidRPr="00572C5C" w:rsidRDefault="000B5C1F" w:rsidP="00A67DB9">
            <w:pPr>
              <w:spacing w:after="0" w:line="240" w:lineRule="auto"/>
              <w:jc w:val="both"/>
              <w:rPr>
                <w:rFonts w:eastAsia="Times New Roman" w:cs="Calibri"/>
                <w:b/>
                <w:bCs/>
                <w:sz w:val="20"/>
                <w:szCs w:val="20"/>
                <w:lang w:eastAsia="hu-HU"/>
              </w:rPr>
            </w:pPr>
            <w:r w:rsidRPr="00572C5C">
              <w:rPr>
                <w:rFonts w:eastAsia="Times New Roman" w:cs="Calibri"/>
                <w:b/>
                <w:bCs/>
                <w:sz w:val="20"/>
                <w:szCs w:val="20"/>
                <w:lang w:eastAsia="hu-HU"/>
              </w:rPr>
              <w:t>Külföld</w:t>
            </w:r>
          </w:p>
        </w:tc>
        <w:tc>
          <w:tcPr>
            <w:tcW w:w="1249" w:type="pct"/>
            <w:tcBorders>
              <w:top w:val="nil"/>
              <w:left w:val="nil"/>
              <w:bottom w:val="single" w:sz="4" w:space="0" w:color="auto"/>
              <w:right w:val="single" w:sz="4" w:space="0" w:color="auto"/>
            </w:tcBorders>
            <w:shd w:val="clear" w:color="000000" w:fill="C4D79B"/>
            <w:noWrap/>
            <w:vAlign w:val="bottom"/>
            <w:hideMark/>
          </w:tcPr>
          <w:p w:rsidR="000B5C1F" w:rsidRPr="00207396" w:rsidRDefault="000B5C1F" w:rsidP="00A67DB9">
            <w:pPr>
              <w:spacing w:after="0" w:line="240" w:lineRule="auto"/>
              <w:jc w:val="both"/>
              <w:rPr>
                <w:rFonts w:eastAsia="Times New Roman" w:cs="Calibri"/>
                <w:b/>
                <w:bCs/>
                <w:color w:val="FF0000"/>
                <w:sz w:val="20"/>
                <w:szCs w:val="20"/>
                <w:lang w:eastAsia="hu-HU"/>
              </w:rPr>
            </w:pPr>
            <w:r w:rsidRPr="00207396">
              <w:rPr>
                <w:rFonts w:eastAsia="Times New Roman" w:cs="Calibri"/>
                <w:b/>
                <w:bCs/>
                <w:color w:val="FF0000"/>
                <w:sz w:val="20"/>
                <w:szCs w:val="20"/>
                <w:lang w:eastAsia="hu-HU"/>
              </w:rPr>
              <w:t> </w:t>
            </w:r>
          </w:p>
        </w:tc>
        <w:tc>
          <w:tcPr>
            <w:tcW w:w="884" w:type="pct"/>
            <w:tcBorders>
              <w:top w:val="nil"/>
              <w:left w:val="nil"/>
              <w:bottom w:val="single" w:sz="4" w:space="0" w:color="auto"/>
              <w:right w:val="single" w:sz="4" w:space="0" w:color="auto"/>
            </w:tcBorders>
            <w:shd w:val="clear" w:color="000000" w:fill="C4D79B"/>
            <w:noWrap/>
            <w:vAlign w:val="bottom"/>
            <w:hideMark/>
          </w:tcPr>
          <w:p w:rsidR="000B5C1F" w:rsidRPr="00207396" w:rsidRDefault="000B5C1F" w:rsidP="00A67DB9">
            <w:pPr>
              <w:spacing w:after="0" w:line="240" w:lineRule="auto"/>
              <w:jc w:val="both"/>
              <w:rPr>
                <w:rFonts w:eastAsia="Times New Roman" w:cs="Calibri"/>
                <w:b/>
                <w:bCs/>
                <w:color w:val="FF0000"/>
                <w:sz w:val="20"/>
                <w:szCs w:val="20"/>
                <w:lang w:eastAsia="hu-HU"/>
              </w:rPr>
            </w:pPr>
            <w:r w:rsidRPr="00207396">
              <w:rPr>
                <w:rFonts w:eastAsia="Times New Roman" w:cs="Calibri"/>
                <w:b/>
                <w:bCs/>
                <w:color w:val="FF0000"/>
                <w:sz w:val="20"/>
                <w:szCs w:val="20"/>
                <w:lang w:eastAsia="hu-HU"/>
              </w:rPr>
              <w:t> </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000000" w:fill="FDE9D9"/>
            <w:vAlign w:val="center"/>
            <w:hideMark/>
          </w:tcPr>
          <w:p w:rsidR="000B5C1F" w:rsidRPr="00572C5C" w:rsidRDefault="000B5C1F" w:rsidP="00A67DB9">
            <w:pPr>
              <w:spacing w:after="0" w:line="240" w:lineRule="auto"/>
              <w:jc w:val="both"/>
              <w:rPr>
                <w:rFonts w:eastAsia="Times New Roman" w:cs="Calibri"/>
                <w:b/>
                <w:bCs/>
                <w:sz w:val="20"/>
                <w:szCs w:val="20"/>
                <w:lang w:eastAsia="hu-HU"/>
              </w:rPr>
            </w:pPr>
            <w:r w:rsidRPr="00572C5C">
              <w:rPr>
                <w:rFonts w:eastAsia="Times New Roman" w:cs="Calibri"/>
                <w:b/>
                <w:bCs/>
                <w:sz w:val="20"/>
                <w:szCs w:val="20"/>
                <w:lang w:eastAsia="hu-HU"/>
              </w:rPr>
              <w:t>Német piac - célcsoport: gyógyvendégek 40+ (46,7 millió fő) az ötödik fő üdülési forma a gyógyüdülés</w:t>
            </w:r>
          </w:p>
        </w:tc>
        <w:tc>
          <w:tcPr>
            <w:tcW w:w="1249" w:type="pct"/>
            <w:tcBorders>
              <w:top w:val="nil"/>
              <w:left w:val="nil"/>
              <w:bottom w:val="single" w:sz="4" w:space="0" w:color="auto"/>
              <w:right w:val="single" w:sz="4" w:space="0" w:color="auto"/>
            </w:tcBorders>
            <w:shd w:val="clear" w:color="000000" w:fill="FDE9D9"/>
            <w:noWrap/>
            <w:vAlign w:val="bottom"/>
            <w:hideMark/>
          </w:tcPr>
          <w:p w:rsidR="000B5C1F" w:rsidRPr="00207396" w:rsidRDefault="00F96CE3" w:rsidP="00A67DB9">
            <w:pPr>
              <w:spacing w:after="0" w:line="240" w:lineRule="auto"/>
              <w:jc w:val="both"/>
              <w:rPr>
                <w:rFonts w:eastAsia="Times New Roman" w:cs="Calibri"/>
                <w:b/>
                <w:bCs/>
                <w:color w:val="FF0000"/>
                <w:sz w:val="20"/>
                <w:szCs w:val="20"/>
                <w:lang w:eastAsia="hu-HU"/>
              </w:rPr>
            </w:pPr>
            <w:r>
              <w:rPr>
                <w:rFonts w:eastAsia="Times New Roman" w:cs="Calibri"/>
                <w:b/>
                <w:bCs/>
                <w:color w:val="FF0000"/>
                <w:sz w:val="20"/>
                <w:szCs w:val="20"/>
                <w:lang w:eastAsia="hu-HU"/>
              </w:rPr>
              <w:t>19</w:t>
            </w:r>
            <w:r w:rsidR="000B5C1F" w:rsidRPr="00207396">
              <w:rPr>
                <w:rFonts w:eastAsia="Times New Roman" w:cs="Calibri"/>
                <w:b/>
                <w:bCs/>
                <w:color w:val="FF0000"/>
                <w:sz w:val="20"/>
                <w:szCs w:val="20"/>
                <w:lang w:eastAsia="hu-HU"/>
              </w:rPr>
              <w:t> </w:t>
            </w:r>
            <w:r>
              <w:rPr>
                <w:rFonts w:eastAsia="Times New Roman" w:cs="Calibri"/>
                <w:b/>
                <w:bCs/>
                <w:color w:val="FF0000"/>
                <w:sz w:val="20"/>
                <w:szCs w:val="20"/>
                <w:lang w:eastAsia="hu-HU"/>
              </w:rPr>
              <w:t>6</w:t>
            </w:r>
            <w:r w:rsidR="000B5C1F" w:rsidRPr="00207396">
              <w:rPr>
                <w:rFonts w:eastAsia="Times New Roman" w:cs="Calibri"/>
                <w:b/>
                <w:bCs/>
                <w:color w:val="FF0000"/>
                <w:sz w:val="20"/>
                <w:szCs w:val="20"/>
                <w:lang w:eastAsia="hu-HU"/>
              </w:rPr>
              <w:t>00 000</w:t>
            </w:r>
          </w:p>
          <w:p w:rsidR="000B5C1F" w:rsidRPr="00207396" w:rsidRDefault="000B5C1F" w:rsidP="00A67DB9">
            <w:pPr>
              <w:spacing w:after="0" w:line="240" w:lineRule="auto"/>
              <w:jc w:val="both"/>
              <w:rPr>
                <w:rFonts w:eastAsia="Times New Roman" w:cs="Calibri"/>
                <w:b/>
                <w:bCs/>
                <w:color w:val="FF0000"/>
                <w:sz w:val="20"/>
                <w:szCs w:val="20"/>
                <w:lang w:eastAsia="hu-HU"/>
              </w:rPr>
            </w:pPr>
          </w:p>
        </w:tc>
        <w:tc>
          <w:tcPr>
            <w:tcW w:w="884" w:type="pct"/>
            <w:tcBorders>
              <w:top w:val="nil"/>
              <w:left w:val="nil"/>
              <w:bottom w:val="single" w:sz="4" w:space="0" w:color="auto"/>
              <w:right w:val="single" w:sz="4" w:space="0" w:color="auto"/>
            </w:tcBorders>
            <w:shd w:val="clear" w:color="000000" w:fill="FDE9D9"/>
            <w:noWrap/>
            <w:vAlign w:val="bottom"/>
            <w:hideMark/>
          </w:tcPr>
          <w:p w:rsidR="000B5C1F" w:rsidRPr="00207396" w:rsidRDefault="000B5C1F" w:rsidP="00A67DB9">
            <w:pPr>
              <w:spacing w:after="0" w:line="240" w:lineRule="auto"/>
              <w:jc w:val="both"/>
              <w:rPr>
                <w:rFonts w:eastAsia="Times New Roman" w:cs="Calibri"/>
                <w:b/>
                <w:bCs/>
                <w:color w:val="FF0000"/>
                <w:sz w:val="20"/>
                <w:szCs w:val="20"/>
                <w:lang w:eastAsia="hu-HU"/>
              </w:rPr>
            </w:pPr>
            <w:r w:rsidRPr="00207396">
              <w:rPr>
                <w:rFonts w:eastAsia="Times New Roman" w:cs="Calibri"/>
                <w:b/>
                <w:bCs/>
                <w:color w:val="FF0000"/>
                <w:sz w:val="20"/>
                <w:szCs w:val="20"/>
                <w:lang w:eastAsia="hu-HU"/>
              </w:rPr>
              <w:t>1</w:t>
            </w:r>
            <w:r w:rsidR="00F96CE3">
              <w:rPr>
                <w:rFonts w:eastAsia="Times New Roman" w:cs="Calibri"/>
                <w:b/>
                <w:bCs/>
                <w:color w:val="FF0000"/>
                <w:sz w:val="20"/>
                <w:szCs w:val="20"/>
                <w:lang w:eastAsia="hu-HU"/>
              </w:rPr>
              <w:t>5</w:t>
            </w:r>
            <w:r w:rsidRPr="00207396">
              <w:rPr>
                <w:rFonts w:eastAsia="Times New Roman" w:cs="Calibri"/>
                <w:b/>
                <w:bCs/>
                <w:color w:val="FF0000"/>
                <w:sz w:val="20"/>
                <w:szCs w:val="20"/>
                <w:lang w:eastAsia="hu-HU"/>
              </w:rPr>
              <w:t> </w:t>
            </w:r>
            <w:r w:rsidR="00F96CE3">
              <w:rPr>
                <w:rFonts w:eastAsia="Times New Roman" w:cs="Calibri"/>
                <w:b/>
                <w:bCs/>
                <w:color w:val="FF0000"/>
                <w:sz w:val="20"/>
                <w:szCs w:val="20"/>
                <w:lang w:eastAsia="hu-HU"/>
              </w:rPr>
              <w:t>1</w:t>
            </w:r>
            <w:r w:rsidRPr="00207396">
              <w:rPr>
                <w:rFonts w:eastAsia="Times New Roman" w:cs="Calibri"/>
                <w:b/>
                <w:bCs/>
                <w:color w:val="FF0000"/>
                <w:sz w:val="20"/>
                <w:szCs w:val="20"/>
                <w:lang w:eastAsia="hu-HU"/>
              </w:rPr>
              <w:t>00 000</w:t>
            </w:r>
          </w:p>
          <w:p w:rsidR="000B5C1F" w:rsidRPr="00207396" w:rsidRDefault="000B5C1F" w:rsidP="00A67DB9">
            <w:pPr>
              <w:spacing w:after="0" w:line="240" w:lineRule="auto"/>
              <w:jc w:val="both"/>
              <w:rPr>
                <w:rFonts w:eastAsia="Times New Roman" w:cs="Calibri"/>
                <w:b/>
                <w:bCs/>
                <w:color w:val="FF0000"/>
                <w:sz w:val="20"/>
                <w:szCs w:val="20"/>
                <w:lang w:eastAsia="hu-HU"/>
              </w:rPr>
            </w:pP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vAlign w:val="center"/>
            <w:hideMark/>
          </w:tcPr>
          <w:p w:rsidR="000B5C1F" w:rsidRPr="00572C5C" w:rsidRDefault="000B5C1F" w:rsidP="00A67DB9">
            <w:pPr>
              <w:spacing w:after="0" w:line="240" w:lineRule="auto"/>
              <w:jc w:val="both"/>
              <w:rPr>
                <w:rFonts w:eastAsia="Times New Roman" w:cs="Calibri"/>
                <w:sz w:val="20"/>
                <w:szCs w:val="20"/>
                <w:lang w:eastAsia="hu-HU"/>
              </w:rPr>
            </w:pPr>
            <w:r w:rsidRPr="00572C5C">
              <w:rPr>
                <w:rFonts w:eastAsia="Times New Roman" w:cs="Calibri"/>
                <w:sz w:val="20"/>
                <w:szCs w:val="20"/>
                <w:lang w:eastAsia="hu-HU"/>
              </w:rPr>
              <w:t>PR-ügynökség</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A1106E" w:rsidRDefault="000B5C1F" w:rsidP="00A67DB9">
            <w:pPr>
              <w:spacing w:after="0" w:line="240" w:lineRule="auto"/>
              <w:jc w:val="both"/>
              <w:rPr>
                <w:rFonts w:eastAsia="Times New Roman" w:cs="Calibri"/>
                <w:sz w:val="20"/>
                <w:szCs w:val="20"/>
                <w:lang w:eastAsia="hu-HU"/>
              </w:rPr>
            </w:pPr>
            <w:r w:rsidRPr="00A1106E">
              <w:rPr>
                <w:rFonts w:eastAsia="Times New Roman" w:cs="Calibri"/>
                <w:sz w:val="20"/>
                <w:szCs w:val="20"/>
                <w:highlight w:val="yellow"/>
                <w:lang w:eastAsia="hu-HU"/>
              </w:rPr>
              <w:t>4 000 000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A1106E" w:rsidRDefault="000B5C1F" w:rsidP="00A67DB9">
            <w:pPr>
              <w:spacing w:after="0" w:line="240" w:lineRule="auto"/>
              <w:jc w:val="both"/>
              <w:rPr>
                <w:rFonts w:eastAsia="Times New Roman" w:cs="Calibri"/>
                <w:sz w:val="20"/>
                <w:szCs w:val="20"/>
                <w:lang w:eastAsia="hu-HU"/>
              </w:rPr>
            </w:pPr>
            <w:r w:rsidRPr="00A1106E">
              <w:rPr>
                <w:rFonts w:eastAsia="Times New Roman" w:cs="Calibri"/>
                <w:sz w:val="20"/>
                <w:szCs w:val="20"/>
                <w:highlight w:val="yellow"/>
                <w:lang w:eastAsia="hu-HU"/>
              </w:rPr>
              <w:t>4 000 000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vAlign w:val="center"/>
            <w:hideMark/>
          </w:tcPr>
          <w:p w:rsidR="000B5C1F" w:rsidRPr="00572C5C" w:rsidRDefault="000B5C1F" w:rsidP="00A67DB9">
            <w:pPr>
              <w:spacing w:after="0" w:line="240" w:lineRule="auto"/>
              <w:jc w:val="both"/>
              <w:rPr>
                <w:rFonts w:eastAsia="Times New Roman" w:cs="Calibri"/>
                <w:sz w:val="20"/>
                <w:szCs w:val="20"/>
                <w:lang w:eastAsia="hu-HU"/>
              </w:rPr>
            </w:pPr>
            <w:r w:rsidRPr="00572C5C">
              <w:rPr>
                <w:rFonts w:eastAsia="Times New Roman" w:cs="Calibri"/>
                <w:sz w:val="20"/>
                <w:szCs w:val="20"/>
                <w:lang w:eastAsia="hu-HU"/>
              </w:rPr>
              <w:t>Egyéb print megjelenés, Hallo München, bajor napilapok</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1 500 000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1 000 000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vAlign w:val="center"/>
            <w:hideMark/>
          </w:tcPr>
          <w:p w:rsidR="000B5C1F" w:rsidRPr="00572C5C" w:rsidRDefault="000B5C1F" w:rsidP="00A67DB9">
            <w:pPr>
              <w:spacing w:after="0" w:line="240" w:lineRule="auto"/>
              <w:jc w:val="both"/>
              <w:rPr>
                <w:rFonts w:eastAsia="Times New Roman" w:cs="Calibri"/>
                <w:sz w:val="20"/>
                <w:szCs w:val="20"/>
                <w:lang w:eastAsia="hu-HU"/>
              </w:rPr>
            </w:pPr>
            <w:r w:rsidRPr="00572C5C">
              <w:rPr>
                <w:rFonts w:eastAsia="Times New Roman" w:cs="Calibri"/>
                <w:sz w:val="20"/>
                <w:szCs w:val="20"/>
                <w:lang w:eastAsia="hu-HU"/>
              </w:rPr>
              <w:t>Online PR-ügynökség</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2 000 000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1 000 000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vAlign w:val="center"/>
            <w:hideMark/>
          </w:tcPr>
          <w:p w:rsidR="000B5C1F" w:rsidRPr="00572C5C" w:rsidRDefault="000B5C1F" w:rsidP="00A67DB9">
            <w:pPr>
              <w:spacing w:after="0" w:line="240" w:lineRule="auto"/>
              <w:jc w:val="both"/>
              <w:rPr>
                <w:rFonts w:eastAsia="Times New Roman" w:cs="Calibri"/>
                <w:sz w:val="20"/>
                <w:szCs w:val="20"/>
                <w:lang w:eastAsia="hu-HU"/>
              </w:rPr>
            </w:pPr>
            <w:r w:rsidRPr="00572C5C">
              <w:rPr>
                <w:rFonts w:eastAsia="Times New Roman" w:cs="Calibri"/>
                <w:sz w:val="20"/>
                <w:szCs w:val="20"/>
                <w:lang w:eastAsia="hu-HU"/>
              </w:rPr>
              <w:t>Klassik Rádió, Gesundheitstunden</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highlight w:val="yellow"/>
                <w:lang w:eastAsia="hu-HU"/>
              </w:rPr>
              <w:t>1 400 000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highlight w:val="yellow"/>
                <w:lang w:eastAsia="hu-HU"/>
              </w:rPr>
              <w:t>1 400 000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vAlign w:val="center"/>
            <w:hideMark/>
          </w:tcPr>
          <w:p w:rsidR="000B5C1F" w:rsidRPr="00F96CE3" w:rsidRDefault="00F96CE3" w:rsidP="00A67DB9">
            <w:pPr>
              <w:spacing w:after="0" w:line="240" w:lineRule="auto"/>
              <w:jc w:val="both"/>
              <w:rPr>
                <w:rFonts w:eastAsia="Times New Roman" w:cs="Calibri"/>
                <w:i/>
                <w:sz w:val="20"/>
                <w:szCs w:val="20"/>
                <w:lang w:eastAsia="hu-HU"/>
              </w:rPr>
            </w:pPr>
            <w:r w:rsidRPr="00F96CE3">
              <w:rPr>
                <w:rFonts w:eastAsia="Times New Roman" w:cs="Calibri"/>
                <w:i/>
                <w:sz w:val="20"/>
                <w:szCs w:val="20"/>
                <w:lang w:eastAsia="hu-HU"/>
              </w:rPr>
              <w:t>PPC, Social Media, bloggerek, vloggerek, google ads, natív -</w:t>
            </w:r>
            <w:r w:rsidRPr="00F96CE3">
              <w:rPr>
                <w:rFonts w:eastAsia="Times New Roman" w:cs="Calibri"/>
                <w:i/>
                <w:sz w:val="20"/>
                <w:szCs w:val="20"/>
                <w:u w:val="single"/>
                <w:lang w:eastAsia="hu-HU"/>
              </w:rPr>
              <w:t>osztrákkal közös budget</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207396" w:rsidRDefault="00F96CE3" w:rsidP="00A67DB9">
            <w:pPr>
              <w:spacing w:after="0" w:line="240" w:lineRule="auto"/>
              <w:jc w:val="both"/>
              <w:rPr>
                <w:rFonts w:eastAsia="Times New Roman" w:cs="Calibri"/>
                <w:color w:val="FF0000"/>
                <w:sz w:val="20"/>
                <w:szCs w:val="20"/>
                <w:lang w:eastAsia="hu-HU"/>
              </w:rPr>
            </w:pPr>
            <w:r>
              <w:rPr>
                <w:rFonts w:eastAsia="Times New Roman" w:cs="Calibri"/>
                <w:color w:val="FF0000"/>
                <w:sz w:val="20"/>
                <w:szCs w:val="20"/>
                <w:lang w:eastAsia="hu-HU"/>
              </w:rPr>
              <w:t>9 000 000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F96CE3" w:rsidP="00F96CE3">
            <w:pPr>
              <w:spacing w:after="0" w:line="240" w:lineRule="auto"/>
              <w:jc w:val="both"/>
              <w:rPr>
                <w:rFonts w:eastAsia="Times New Roman" w:cs="Calibri"/>
                <w:color w:val="FF0000"/>
                <w:sz w:val="20"/>
                <w:szCs w:val="20"/>
                <w:lang w:eastAsia="hu-HU"/>
              </w:rPr>
            </w:pPr>
            <w:r>
              <w:rPr>
                <w:rFonts w:eastAsia="Times New Roman" w:cs="Calibri"/>
                <w:color w:val="FF0000"/>
                <w:sz w:val="20"/>
                <w:szCs w:val="20"/>
                <w:lang w:eastAsia="hu-HU"/>
              </w:rPr>
              <w:t>6 0</w:t>
            </w:r>
            <w:r w:rsidR="000B5C1F" w:rsidRPr="00207396">
              <w:rPr>
                <w:rFonts w:eastAsia="Times New Roman" w:cs="Calibri"/>
                <w:color w:val="FF0000"/>
                <w:sz w:val="20"/>
                <w:szCs w:val="20"/>
                <w:lang w:eastAsia="hu-HU"/>
              </w:rPr>
              <w:t>00 000</w:t>
            </w:r>
          </w:p>
        </w:tc>
      </w:tr>
      <w:tr w:rsidR="000B5C1F" w:rsidRPr="00572C5C" w:rsidTr="00F5679C">
        <w:trPr>
          <w:trHeight w:val="227"/>
        </w:trPr>
        <w:tc>
          <w:tcPr>
            <w:tcW w:w="2867" w:type="pct"/>
            <w:tcBorders>
              <w:top w:val="nil"/>
              <w:left w:val="nil"/>
              <w:bottom w:val="single" w:sz="4" w:space="0" w:color="auto"/>
              <w:right w:val="single" w:sz="4" w:space="0" w:color="auto"/>
            </w:tcBorders>
            <w:shd w:val="clear" w:color="auto" w:fill="auto"/>
            <w:vAlign w:val="center"/>
            <w:hideMark/>
          </w:tcPr>
          <w:p w:rsidR="000B5C1F" w:rsidRPr="00572C5C" w:rsidRDefault="000B5C1F" w:rsidP="00A67DB9">
            <w:pPr>
              <w:spacing w:after="0" w:line="240" w:lineRule="auto"/>
              <w:jc w:val="both"/>
              <w:rPr>
                <w:rFonts w:eastAsia="Times New Roman" w:cs="Calibri"/>
                <w:sz w:val="20"/>
                <w:szCs w:val="20"/>
                <w:lang w:eastAsia="hu-HU"/>
              </w:rPr>
            </w:pPr>
            <w:r w:rsidRPr="00572C5C">
              <w:rPr>
                <w:rFonts w:eastAsia="Times New Roman" w:cs="Calibri"/>
                <w:sz w:val="20"/>
                <w:szCs w:val="20"/>
                <w:lang w:eastAsia="hu-HU"/>
              </w:rPr>
              <w:t>Study tour - külföldi újságírók</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700 000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700 000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vAlign w:val="center"/>
            <w:hideMark/>
          </w:tcPr>
          <w:p w:rsidR="000B5C1F" w:rsidRPr="00572C5C" w:rsidRDefault="000B5C1F" w:rsidP="00A67DB9">
            <w:pPr>
              <w:spacing w:after="0" w:line="240" w:lineRule="auto"/>
              <w:jc w:val="both"/>
              <w:rPr>
                <w:rFonts w:eastAsia="Times New Roman" w:cs="Calibri"/>
                <w:sz w:val="20"/>
                <w:szCs w:val="20"/>
                <w:lang w:eastAsia="hu-HU"/>
              </w:rPr>
            </w:pPr>
            <w:r w:rsidRPr="00572C5C">
              <w:rPr>
                <w:rFonts w:eastAsia="Times New Roman" w:cs="Calibri"/>
                <w:sz w:val="20"/>
                <w:szCs w:val="20"/>
                <w:lang w:eastAsia="hu-HU"/>
              </w:rPr>
              <w:t>Helyi megjelenés: Magyar Kulturális Napok, Düsseldorf, München</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A1106E" w:rsidRDefault="000B5C1F" w:rsidP="00A67DB9">
            <w:pPr>
              <w:spacing w:after="0" w:line="240" w:lineRule="auto"/>
              <w:jc w:val="both"/>
              <w:rPr>
                <w:rFonts w:eastAsia="Times New Roman" w:cs="Calibri"/>
                <w:sz w:val="20"/>
                <w:szCs w:val="20"/>
                <w:lang w:eastAsia="hu-HU"/>
              </w:rPr>
            </w:pPr>
            <w:r w:rsidRPr="00A1106E">
              <w:rPr>
                <w:rFonts w:eastAsia="Times New Roman" w:cs="Calibri"/>
                <w:sz w:val="20"/>
                <w:szCs w:val="20"/>
                <w:lang w:eastAsia="hu-HU"/>
              </w:rPr>
              <w:t>1 000 000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A1106E" w:rsidRDefault="000B5C1F" w:rsidP="00A67DB9">
            <w:pPr>
              <w:spacing w:after="0" w:line="240" w:lineRule="auto"/>
              <w:jc w:val="both"/>
              <w:rPr>
                <w:rFonts w:eastAsia="Times New Roman" w:cs="Calibri"/>
                <w:sz w:val="20"/>
                <w:szCs w:val="20"/>
                <w:lang w:eastAsia="hu-HU"/>
              </w:rPr>
            </w:pPr>
            <w:r w:rsidRPr="00A1106E">
              <w:rPr>
                <w:rFonts w:eastAsia="Times New Roman" w:cs="Calibri"/>
                <w:sz w:val="20"/>
                <w:szCs w:val="20"/>
                <w:lang w:eastAsia="hu-HU"/>
              </w:rPr>
              <w:t>1 000 000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000000" w:fill="FDE9D9"/>
            <w:vAlign w:val="bottom"/>
            <w:hideMark/>
          </w:tcPr>
          <w:p w:rsidR="000B5C1F" w:rsidRPr="00572C5C" w:rsidRDefault="000B5C1F" w:rsidP="00A67DB9">
            <w:pPr>
              <w:spacing w:after="0" w:line="240" w:lineRule="auto"/>
              <w:jc w:val="both"/>
              <w:rPr>
                <w:rFonts w:eastAsia="Times New Roman" w:cs="Calibri"/>
                <w:b/>
                <w:bCs/>
                <w:sz w:val="20"/>
                <w:szCs w:val="20"/>
                <w:lang w:eastAsia="hu-HU"/>
              </w:rPr>
            </w:pPr>
            <w:r w:rsidRPr="00572C5C">
              <w:rPr>
                <w:rFonts w:eastAsia="Times New Roman" w:cs="Calibri"/>
                <w:b/>
                <w:bCs/>
                <w:sz w:val="20"/>
                <w:szCs w:val="20"/>
                <w:lang w:eastAsia="hu-HU"/>
              </w:rPr>
              <w:t>Osztrák piac - célcsoport: 30-50 év közötti egészségtudatos felnőttek  (kb. 800.000 fő tervez külföldi gyógy- és wellness üdülést) és 50+</w:t>
            </w:r>
          </w:p>
        </w:tc>
        <w:tc>
          <w:tcPr>
            <w:tcW w:w="1249" w:type="pct"/>
            <w:tcBorders>
              <w:top w:val="nil"/>
              <w:left w:val="nil"/>
              <w:bottom w:val="single" w:sz="4" w:space="0" w:color="auto"/>
              <w:right w:val="single" w:sz="4" w:space="0" w:color="auto"/>
            </w:tcBorders>
            <w:shd w:val="clear" w:color="000000" w:fill="FDE9D9"/>
            <w:noWrap/>
            <w:vAlign w:val="bottom"/>
            <w:hideMark/>
          </w:tcPr>
          <w:p w:rsidR="000B5C1F" w:rsidRPr="00207396" w:rsidRDefault="00F96CE3" w:rsidP="00F96CE3">
            <w:pPr>
              <w:spacing w:after="0" w:line="240" w:lineRule="auto"/>
              <w:jc w:val="both"/>
              <w:rPr>
                <w:rFonts w:eastAsia="Times New Roman" w:cs="Calibri"/>
                <w:b/>
                <w:bCs/>
                <w:color w:val="FF0000"/>
                <w:sz w:val="20"/>
                <w:szCs w:val="20"/>
                <w:lang w:eastAsia="hu-HU"/>
              </w:rPr>
            </w:pPr>
            <w:r>
              <w:rPr>
                <w:rFonts w:eastAsia="Times New Roman" w:cs="Calibri"/>
                <w:b/>
                <w:bCs/>
                <w:color w:val="FF0000"/>
                <w:sz w:val="20"/>
                <w:szCs w:val="20"/>
                <w:lang w:eastAsia="hu-HU"/>
              </w:rPr>
              <w:t>5</w:t>
            </w:r>
            <w:r w:rsidR="000B5C1F" w:rsidRPr="00207396">
              <w:rPr>
                <w:rFonts w:eastAsia="Times New Roman" w:cs="Calibri"/>
                <w:b/>
                <w:bCs/>
                <w:color w:val="FF0000"/>
                <w:sz w:val="20"/>
                <w:szCs w:val="20"/>
                <w:lang w:eastAsia="hu-HU"/>
              </w:rPr>
              <w:t> </w:t>
            </w:r>
            <w:r>
              <w:rPr>
                <w:rFonts w:eastAsia="Times New Roman" w:cs="Calibri"/>
                <w:b/>
                <w:bCs/>
                <w:color w:val="FF0000"/>
                <w:sz w:val="20"/>
                <w:szCs w:val="20"/>
                <w:lang w:eastAsia="hu-HU"/>
              </w:rPr>
              <w:t>7</w:t>
            </w:r>
            <w:r w:rsidR="000B5C1F" w:rsidRPr="00207396">
              <w:rPr>
                <w:rFonts w:eastAsia="Times New Roman" w:cs="Calibri"/>
                <w:b/>
                <w:bCs/>
                <w:color w:val="FF0000"/>
                <w:sz w:val="20"/>
                <w:szCs w:val="20"/>
                <w:lang w:eastAsia="hu-HU"/>
              </w:rPr>
              <w:t>76 250</w:t>
            </w:r>
          </w:p>
        </w:tc>
        <w:tc>
          <w:tcPr>
            <w:tcW w:w="884" w:type="pct"/>
            <w:tcBorders>
              <w:top w:val="nil"/>
              <w:left w:val="nil"/>
              <w:bottom w:val="single" w:sz="4" w:space="0" w:color="auto"/>
              <w:right w:val="single" w:sz="4" w:space="0" w:color="auto"/>
            </w:tcBorders>
            <w:shd w:val="clear" w:color="000000" w:fill="FDE9D9"/>
            <w:noWrap/>
            <w:vAlign w:val="bottom"/>
            <w:hideMark/>
          </w:tcPr>
          <w:p w:rsidR="000B5C1F" w:rsidRPr="00207396" w:rsidRDefault="00F96CE3" w:rsidP="00A67DB9">
            <w:pPr>
              <w:spacing w:after="0" w:line="240" w:lineRule="auto"/>
              <w:jc w:val="both"/>
              <w:rPr>
                <w:rFonts w:eastAsia="Times New Roman" w:cs="Calibri"/>
                <w:b/>
                <w:bCs/>
                <w:color w:val="FF0000"/>
                <w:sz w:val="20"/>
                <w:szCs w:val="20"/>
                <w:lang w:eastAsia="hu-HU"/>
              </w:rPr>
            </w:pPr>
            <w:r>
              <w:rPr>
                <w:rFonts w:eastAsia="Times New Roman" w:cs="Calibri"/>
                <w:b/>
                <w:bCs/>
                <w:color w:val="FF0000"/>
                <w:sz w:val="20"/>
                <w:szCs w:val="20"/>
                <w:lang w:eastAsia="hu-HU"/>
              </w:rPr>
              <w:t>5</w:t>
            </w:r>
            <w:r w:rsidR="000B5C1F" w:rsidRPr="00207396">
              <w:rPr>
                <w:rFonts w:eastAsia="Times New Roman" w:cs="Calibri"/>
                <w:b/>
                <w:bCs/>
                <w:color w:val="FF0000"/>
                <w:sz w:val="20"/>
                <w:szCs w:val="20"/>
                <w:lang w:eastAsia="hu-HU"/>
              </w:rPr>
              <w:t xml:space="preserve"> 176 250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vAlign w:val="center"/>
            <w:hideMark/>
          </w:tcPr>
          <w:p w:rsidR="000B5C1F" w:rsidRPr="00572C5C" w:rsidRDefault="000B5C1F" w:rsidP="00A67DB9">
            <w:pPr>
              <w:spacing w:after="0" w:line="240" w:lineRule="auto"/>
              <w:jc w:val="both"/>
              <w:rPr>
                <w:rFonts w:eastAsia="Times New Roman" w:cs="Calibri"/>
                <w:sz w:val="20"/>
                <w:szCs w:val="20"/>
                <w:lang w:eastAsia="hu-HU"/>
              </w:rPr>
            </w:pPr>
            <w:r w:rsidRPr="00572C5C">
              <w:rPr>
                <w:rFonts w:eastAsia="Times New Roman" w:cs="Calibri"/>
                <w:sz w:val="20"/>
                <w:szCs w:val="20"/>
                <w:lang w:eastAsia="hu-HU"/>
              </w:rPr>
              <w:t>PR-ügynökség</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highlight w:val="yellow"/>
                <w:lang w:eastAsia="hu-HU"/>
              </w:rPr>
              <w:t>2 700 000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highlight w:val="yellow"/>
                <w:lang w:eastAsia="hu-HU"/>
              </w:rPr>
              <w:t>2 700 000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vAlign w:val="center"/>
            <w:hideMark/>
          </w:tcPr>
          <w:p w:rsidR="000B5C1F" w:rsidRPr="00572C5C" w:rsidRDefault="000B5C1F" w:rsidP="00A67DB9">
            <w:pPr>
              <w:spacing w:after="0" w:line="240" w:lineRule="auto"/>
              <w:jc w:val="both"/>
              <w:rPr>
                <w:rFonts w:eastAsia="Times New Roman" w:cs="Calibri"/>
                <w:sz w:val="20"/>
                <w:szCs w:val="20"/>
                <w:lang w:eastAsia="hu-HU"/>
              </w:rPr>
            </w:pPr>
            <w:r>
              <w:rPr>
                <w:rFonts w:eastAsia="Times New Roman" w:cs="Calibri"/>
                <w:sz w:val="20"/>
                <w:szCs w:val="20"/>
                <w:lang w:eastAsia="hu-HU"/>
              </w:rPr>
              <w:t xml:space="preserve">Osztrák natív </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1 500 00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1 000 000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vAlign w:val="center"/>
            <w:hideMark/>
          </w:tcPr>
          <w:p w:rsidR="000B5C1F" w:rsidRPr="00F96CE3" w:rsidRDefault="00F96CE3" w:rsidP="00F96CE3">
            <w:pPr>
              <w:spacing w:after="0" w:line="240" w:lineRule="auto"/>
              <w:jc w:val="both"/>
              <w:rPr>
                <w:rFonts w:eastAsia="Times New Roman" w:cs="Calibri"/>
                <w:i/>
                <w:sz w:val="20"/>
                <w:szCs w:val="20"/>
                <w:lang w:eastAsia="hu-HU"/>
              </w:rPr>
            </w:pPr>
            <w:r w:rsidRPr="00F96CE3">
              <w:rPr>
                <w:rFonts w:eastAsia="Times New Roman" w:cs="Calibri"/>
                <w:i/>
                <w:sz w:val="20"/>
                <w:szCs w:val="20"/>
                <w:lang w:eastAsia="hu-HU"/>
              </w:rPr>
              <w:t>PPC, Social Media, bloggerek, vloggerek, google ads, natív -némettel közös budget</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207396" w:rsidRDefault="00F96CE3" w:rsidP="00A67DB9">
            <w:pPr>
              <w:spacing w:after="0" w:line="240" w:lineRule="auto"/>
              <w:jc w:val="both"/>
              <w:rPr>
                <w:rFonts w:eastAsia="Times New Roman" w:cs="Calibri"/>
                <w:color w:val="FF0000"/>
                <w:sz w:val="20"/>
                <w:szCs w:val="20"/>
                <w:lang w:eastAsia="hu-HU"/>
              </w:rPr>
            </w:pPr>
            <w:r>
              <w:rPr>
                <w:rFonts w:eastAsia="Times New Roman" w:cs="Calibri"/>
                <w:color w:val="FF0000"/>
                <w:sz w:val="20"/>
                <w:szCs w:val="20"/>
                <w:lang w:eastAsia="hu-HU"/>
              </w:rPr>
              <w:t>némettel közös budget</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F96CE3" w:rsidP="00A67DB9">
            <w:pPr>
              <w:spacing w:after="0" w:line="240" w:lineRule="auto"/>
              <w:jc w:val="both"/>
              <w:rPr>
                <w:rFonts w:eastAsia="Times New Roman" w:cs="Calibri"/>
                <w:color w:val="FF0000"/>
                <w:sz w:val="20"/>
                <w:szCs w:val="20"/>
                <w:lang w:eastAsia="hu-HU"/>
              </w:rPr>
            </w:pPr>
            <w:r>
              <w:rPr>
                <w:rFonts w:eastAsia="Times New Roman" w:cs="Calibri"/>
                <w:color w:val="FF0000"/>
                <w:sz w:val="20"/>
                <w:szCs w:val="20"/>
                <w:lang w:eastAsia="hu-HU"/>
              </w:rPr>
              <w:t>némettel közös budget</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vAlign w:val="center"/>
            <w:hideMark/>
          </w:tcPr>
          <w:p w:rsidR="000B5C1F" w:rsidRPr="00572C5C" w:rsidRDefault="000B5C1F" w:rsidP="00A67DB9">
            <w:pPr>
              <w:spacing w:after="0" w:line="240" w:lineRule="auto"/>
              <w:jc w:val="both"/>
              <w:rPr>
                <w:rFonts w:eastAsia="Times New Roman" w:cs="Calibri"/>
                <w:sz w:val="20"/>
                <w:szCs w:val="20"/>
                <w:lang w:eastAsia="hu-HU"/>
              </w:rPr>
            </w:pPr>
            <w:r w:rsidRPr="00572C5C">
              <w:rPr>
                <w:rFonts w:eastAsia="Times New Roman" w:cs="Calibri"/>
                <w:sz w:val="20"/>
                <w:szCs w:val="20"/>
                <w:lang w:eastAsia="hu-HU"/>
              </w:rPr>
              <w:t>Sajtóreggeli</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376 250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376 250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vAlign w:val="center"/>
            <w:hideMark/>
          </w:tcPr>
          <w:p w:rsidR="000B5C1F" w:rsidRPr="00572C5C" w:rsidRDefault="000B5C1F" w:rsidP="00A67DB9">
            <w:pPr>
              <w:spacing w:after="0" w:line="240" w:lineRule="auto"/>
              <w:jc w:val="both"/>
              <w:rPr>
                <w:rFonts w:eastAsia="Times New Roman" w:cs="Calibri"/>
                <w:sz w:val="20"/>
                <w:szCs w:val="20"/>
                <w:lang w:eastAsia="hu-HU"/>
              </w:rPr>
            </w:pPr>
            <w:r w:rsidRPr="00572C5C">
              <w:rPr>
                <w:rFonts w:eastAsia="Times New Roman" w:cs="Calibri"/>
                <w:sz w:val="20"/>
                <w:szCs w:val="20"/>
                <w:lang w:eastAsia="hu-HU"/>
              </w:rPr>
              <w:t>Kleine Zeitung</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A1106E" w:rsidRDefault="000B5C1F" w:rsidP="00A67DB9">
            <w:pPr>
              <w:spacing w:after="0" w:line="240" w:lineRule="auto"/>
              <w:jc w:val="both"/>
              <w:rPr>
                <w:rFonts w:eastAsia="Times New Roman" w:cs="Calibri"/>
                <w:sz w:val="20"/>
                <w:szCs w:val="20"/>
                <w:lang w:eastAsia="hu-HU"/>
              </w:rPr>
            </w:pPr>
            <w:r w:rsidRPr="00A1106E">
              <w:rPr>
                <w:rFonts w:eastAsia="Times New Roman" w:cs="Calibri"/>
                <w:sz w:val="20"/>
                <w:szCs w:val="20"/>
                <w:lang w:eastAsia="hu-HU"/>
              </w:rPr>
              <w:t>600 000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A1106E" w:rsidRDefault="000B5C1F" w:rsidP="00A67DB9">
            <w:pPr>
              <w:spacing w:after="0" w:line="240" w:lineRule="auto"/>
              <w:jc w:val="both"/>
              <w:rPr>
                <w:rFonts w:eastAsia="Times New Roman" w:cs="Calibri"/>
                <w:sz w:val="20"/>
                <w:szCs w:val="20"/>
                <w:lang w:eastAsia="hu-HU"/>
              </w:rPr>
            </w:pPr>
            <w:r w:rsidRPr="00A1106E">
              <w:rPr>
                <w:rFonts w:eastAsia="Times New Roman" w:cs="Calibri"/>
                <w:sz w:val="20"/>
                <w:szCs w:val="20"/>
                <w:lang w:eastAsia="hu-HU"/>
              </w:rPr>
              <w:t>600 000</w:t>
            </w:r>
          </w:p>
        </w:tc>
      </w:tr>
      <w:tr w:rsidR="000B5C1F" w:rsidRPr="00572C5C" w:rsidTr="00F5679C">
        <w:trPr>
          <w:trHeight w:val="227"/>
        </w:trPr>
        <w:tc>
          <w:tcPr>
            <w:tcW w:w="28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B5C1F" w:rsidRPr="00572C5C" w:rsidRDefault="000B5C1F" w:rsidP="00A67DB9">
            <w:pPr>
              <w:spacing w:after="0" w:line="240" w:lineRule="auto"/>
              <w:ind w:firstLineChars="200" w:firstLine="400"/>
              <w:jc w:val="both"/>
              <w:rPr>
                <w:rFonts w:eastAsia="Times New Roman" w:cs="Calibri"/>
                <w:sz w:val="20"/>
                <w:szCs w:val="20"/>
                <w:lang w:eastAsia="hu-HU"/>
              </w:rPr>
            </w:pPr>
            <w:r w:rsidRPr="00572C5C">
              <w:rPr>
                <w:rFonts w:eastAsia="Times New Roman" w:cs="Calibri"/>
                <w:sz w:val="20"/>
                <w:szCs w:val="20"/>
                <w:lang w:eastAsia="hu-HU"/>
              </w:rPr>
              <w:t>Reisesalon - Bécs (november)</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A1106E" w:rsidRDefault="000B5C1F" w:rsidP="00A67DB9">
            <w:pPr>
              <w:spacing w:after="0" w:line="240" w:lineRule="auto"/>
              <w:jc w:val="both"/>
              <w:rPr>
                <w:rFonts w:eastAsia="Times New Roman" w:cs="Calibri"/>
                <w:sz w:val="20"/>
                <w:szCs w:val="20"/>
                <w:lang w:eastAsia="hu-HU"/>
              </w:rPr>
            </w:pPr>
            <w:r w:rsidRPr="00A1106E">
              <w:rPr>
                <w:rFonts w:eastAsia="Times New Roman" w:cs="Calibri"/>
                <w:sz w:val="20"/>
                <w:szCs w:val="20"/>
                <w:lang w:eastAsia="hu-HU"/>
              </w:rPr>
              <w:t>700 000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A1106E" w:rsidRDefault="000B5C1F" w:rsidP="00A67DB9">
            <w:pPr>
              <w:spacing w:after="0" w:line="240" w:lineRule="auto"/>
              <w:jc w:val="both"/>
              <w:rPr>
                <w:rFonts w:eastAsia="Times New Roman" w:cs="Calibri"/>
                <w:sz w:val="20"/>
                <w:szCs w:val="20"/>
                <w:lang w:eastAsia="hu-HU"/>
              </w:rPr>
            </w:pPr>
            <w:r w:rsidRPr="00A1106E">
              <w:rPr>
                <w:rFonts w:eastAsia="Times New Roman" w:cs="Calibri"/>
                <w:sz w:val="20"/>
                <w:szCs w:val="20"/>
                <w:lang w:eastAsia="hu-HU"/>
              </w:rPr>
              <w:t>700 000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vAlign w:val="center"/>
            <w:hideMark/>
          </w:tcPr>
          <w:p w:rsidR="000B5C1F" w:rsidRPr="00572C5C" w:rsidRDefault="000B5C1F" w:rsidP="00A67DB9">
            <w:pPr>
              <w:spacing w:after="0" w:line="240" w:lineRule="auto"/>
              <w:jc w:val="both"/>
              <w:rPr>
                <w:rFonts w:eastAsia="Times New Roman" w:cs="Calibri"/>
                <w:sz w:val="20"/>
                <w:szCs w:val="20"/>
                <w:lang w:eastAsia="hu-HU"/>
              </w:rPr>
            </w:pPr>
            <w:r w:rsidRPr="00572C5C">
              <w:rPr>
                <w:rFonts w:eastAsia="Times New Roman" w:cs="Calibri"/>
                <w:sz w:val="20"/>
                <w:szCs w:val="20"/>
                <w:lang w:eastAsia="hu-HU"/>
              </w:rPr>
              <w:t>Gerilla - kerékpár huzat, tavirózsautca rajzolása</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A1106E" w:rsidRDefault="000B5C1F" w:rsidP="00A67DB9">
            <w:pPr>
              <w:spacing w:after="0" w:line="240" w:lineRule="auto"/>
              <w:jc w:val="both"/>
              <w:rPr>
                <w:rFonts w:eastAsia="Times New Roman" w:cs="Calibri"/>
                <w:sz w:val="20"/>
                <w:szCs w:val="20"/>
                <w:lang w:eastAsia="hu-HU"/>
              </w:rPr>
            </w:pPr>
            <w:r w:rsidRPr="00A1106E">
              <w:rPr>
                <w:rFonts w:eastAsia="Times New Roman" w:cs="Calibri"/>
                <w:sz w:val="20"/>
                <w:szCs w:val="20"/>
                <w:lang w:eastAsia="hu-HU"/>
              </w:rPr>
              <w:t>600 000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vAlign w:val="center"/>
            <w:hideMark/>
          </w:tcPr>
          <w:p w:rsidR="000B5C1F" w:rsidRPr="00572C5C" w:rsidRDefault="000B5C1F" w:rsidP="00A67DB9">
            <w:pPr>
              <w:spacing w:after="0" w:line="240" w:lineRule="auto"/>
              <w:jc w:val="both"/>
              <w:rPr>
                <w:rFonts w:eastAsia="Times New Roman" w:cs="Calibri"/>
                <w:sz w:val="20"/>
                <w:szCs w:val="20"/>
                <w:lang w:eastAsia="hu-HU"/>
              </w:rPr>
            </w:pPr>
            <w:r w:rsidRPr="00572C5C">
              <w:rPr>
                <w:rFonts w:eastAsia="Times New Roman" w:cs="Calibri"/>
                <w:sz w:val="20"/>
                <w:szCs w:val="20"/>
                <w:lang w:eastAsia="hu-HU"/>
              </w:rPr>
              <w:t>Helyi rádiók/TV magazinműsor:</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 </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 </w:t>
            </w:r>
          </w:p>
        </w:tc>
      </w:tr>
      <w:tr w:rsidR="000B5C1F" w:rsidRPr="00A1106E" w:rsidTr="00A1106E">
        <w:trPr>
          <w:trHeight w:val="227"/>
        </w:trPr>
        <w:tc>
          <w:tcPr>
            <w:tcW w:w="2867" w:type="pct"/>
            <w:tcBorders>
              <w:top w:val="nil"/>
              <w:left w:val="single" w:sz="4" w:space="0" w:color="auto"/>
              <w:bottom w:val="single" w:sz="4" w:space="0" w:color="auto"/>
              <w:right w:val="single" w:sz="4" w:space="0" w:color="auto"/>
            </w:tcBorders>
            <w:shd w:val="clear" w:color="auto" w:fill="auto"/>
            <w:vAlign w:val="center"/>
            <w:hideMark/>
          </w:tcPr>
          <w:p w:rsidR="000B5C1F" w:rsidRPr="00572C5C" w:rsidRDefault="000B5C1F" w:rsidP="00A67DB9">
            <w:pPr>
              <w:spacing w:after="0" w:line="240" w:lineRule="auto"/>
              <w:jc w:val="both"/>
              <w:rPr>
                <w:rFonts w:eastAsia="Times New Roman" w:cs="Calibri"/>
                <w:sz w:val="20"/>
                <w:szCs w:val="20"/>
                <w:lang w:eastAsia="hu-HU"/>
              </w:rPr>
            </w:pPr>
            <w:r w:rsidRPr="00572C5C">
              <w:rPr>
                <w:rFonts w:eastAsia="Times New Roman" w:cs="Calibri"/>
                <w:sz w:val="20"/>
                <w:szCs w:val="20"/>
                <w:lang w:eastAsia="hu-HU"/>
              </w:rPr>
              <w:t>Arabella Peter Attakis</w:t>
            </w:r>
          </w:p>
        </w:tc>
        <w:tc>
          <w:tcPr>
            <w:tcW w:w="1249" w:type="pct"/>
            <w:tcBorders>
              <w:top w:val="nil"/>
              <w:left w:val="nil"/>
              <w:bottom w:val="single" w:sz="4" w:space="0" w:color="auto"/>
              <w:right w:val="single" w:sz="4" w:space="0" w:color="auto"/>
            </w:tcBorders>
            <w:shd w:val="clear" w:color="auto" w:fill="auto"/>
            <w:noWrap/>
            <w:hideMark/>
          </w:tcPr>
          <w:p w:rsidR="000B5C1F" w:rsidRPr="00A1106E" w:rsidRDefault="000B5C1F" w:rsidP="00A67DB9">
            <w:pPr>
              <w:spacing w:after="0" w:line="240" w:lineRule="auto"/>
              <w:jc w:val="both"/>
              <w:rPr>
                <w:rFonts w:eastAsia="Times New Roman" w:cs="Calibri"/>
                <w:sz w:val="20"/>
                <w:szCs w:val="20"/>
                <w:lang w:eastAsia="hu-HU"/>
              </w:rPr>
            </w:pPr>
            <w:r w:rsidRPr="00A1106E">
              <w:rPr>
                <w:rFonts w:eastAsia="Times New Roman" w:cs="Calibri"/>
                <w:sz w:val="20"/>
                <w:szCs w:val="20"/>
                <w:lang w:eastAsia="hu-HU"/>
              </w:rPr>
              <w:t>800 000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A1106E" w:rsidRDefault="000B5C1F" w:rsidP="00A67DB9">
            <w:pPr>
              <w:spacing w:after="0" w:line="240" w:lineRule="auto"/>
              <w:jc w:val="both"/>
              <w:rPr>
                <w:rFonts w:eastAsia="Times New Roman" w:cs="Calibri"/>
                <w:sz w:val="20"/>
                <w:szCs w:val="20"/>
                <w:lang w:eastAsia="hu-HU"/>
              </w:rPr>
            </w:pPr>
            <w:r w:rsidRPr="00A1106E">
              <w:rPr>
                <w:rFonts w:eastAsia="Times New Roman" w:cs="Calibri"/>
                <w:sz w:val="20"/>
                <w:szCs w:val="20"/>
                <w:lang w:eastAsia="hu-HU"/>
              </w:rPr>
              <w:t>800</w:t>
            </w:r>
            <w:r w:rsidR="00706A7B" w:rsidRPr="00A1106E">
              <w:rPr>
                <w:rFonts w:eastAsia="Times New Roman" w:cs="Calibri"/>
                <w:sz w:val="20"/>
                <w:szCs w:val="20"/>
                <w:lang w:eastAsia="hu-HU"/>
              </w:rPr>
              <w:t> </w:t>
            </w:r>
            <w:r w:rsidRPr="00A1106E">
              <w:rPr>
                <w:rFonts w:eastAsia="Times New Roman" w:cs="Calibri"/>
                <w:sz w:val="20"/>
                <w:szCs w:val="20"/>
                <w:lang w:eastAsia="hu-HU"/>
              </w:rPr>
              <w:t>000</w:t>
            </w:r>
          </w:p>
          <w:p w:rsidR="00706A7B" w:rsidRPr="00A1106E" w:rsidRDefault="00706A7B" w:rsidP="00A67DB9">
            <w:pPr>
              <w:spacing w:after="0" w:line="240" w:lineRule="auto"/>
              <w:jc w:val="both"/>
              <w:rPr>
                <w:rFonts w:eastAsia="Times New Roman" w:cs="Calibri"/>
                <w:sz w:val="20"/>
                <w:szCs w:val="20"/>
                <w:lang w:eastAsia="hu-HU"/>
              </w:rPr>
            </w:pP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000000" w:fill="FDE9D9"/>
            <w:vAlign w:val="bottom"/>
            <w:hideMark/>
          </w:tcPr>
          <w:p w:rsidR="000B5C1F" w:rsidRPr="00572C5C" w:rsidRDefault="000B5C1F" w:rsidP="00A67DB9">
            <w:pPr>
              <w:spacing w:after="0" w:line="240" w:lineRule="auto"/>
              <w:jc w:val="both"/>
              <w:rPr>
                <w:rFonts w:eastAsia="Times New Roman" w:cs="Calibri"/>
                <w:b/>
                <w:bCs/>
                <w:sz w:val="20"/>
                <w:szCs w:val="20"/>
                <w:lang w:eastAsia="hu-HU"/>
              </w:rPr>
            </w:pPr>
            <w:r w:rsidRPr="00572C5C">
              <w:rPr>
                <w:rFonts w:eastAsia="Times New Roman" w:cs="Calibri"/>
                <w:b/>
                <w:bCs/>
                <w:sz w:val="20"/>
                <w:szCs w:val="20"/>
                <w:lang w:eastAsia="hu-HU"/>
              </w:rPr>
              <w:lastRenderedPageBreak/>
              <w:t>Szlovák piac - célcsoport: 30-50 év közötti egészségtudatos nyugat-szlovákiai, főként magyar nyelvű felnőttek, és 50+ (kb. 220.000 fő)</w:t>
            </w:r>
          </w:p>
        </w:tc>
        <w:tc>
          <w:tcPr>
            <w:tcW w:w="1249" w:type="pct"/>
            <w:tcBorders>
              <w:top w:val="nil"/>
              <w:left w:val="nil"/>
              <w:bottom w:val="single" w:sz="4" w:space="0" w:color="auto"/>
              <w:right w:val="single" w:sz="4" w:space="0" w:color="auto"/>
            </w:tcBorders>
            <w:shd w:val="clear" w:color="000000" w:fill="FDE9D9"/>
            <w:noWrap/>
            <w:vAlign w:val="bottom"/>
            <w:hideMark/>
          </w:tcPr>
          <w:p w:rsidR="000B5C1F" w:rsidRPr="00207396" w:rsidRDefault="00F96CE3" w:rsidP="00F96CE3">
            <w:pPr>
              <w:spacing w:after="0" w:line="240" w:lineRule="auto"/>
              <w:jc w:val="both"/>
              <w:rPr>
                <w:rFonts w:eastAsia="Times New Roman" w:cs="Calibri"/>
                <w:b/>
                <w:bCs/>
                <w:color w:val="FF0000"/>
                <w:sz w:val="20"/>
                <w:szCs w:val="20"/>
                <w:lang w:eastAsia="hu-HU"/>
              </w:rPr>
            </w:pPr>
            <w:r>
              <w:rPr>
                <w:rFonts w:eastAsia="Times New Roman" w:cs="Calibri"/>
                <w:b/>
                <w:bCs/>
                <w:color w:val="FF0000"/>
                <w:sz w:val="20"/>
                <w:szCs w:val="20"/>
                <w:lang w:eastAsia="hu-HU"/>
              </w:rPr>
              <w:t>3</w:t>
            </w:r>
            <w:r w:rsidR="000B5C1F" w:rsidRPr="00207396">
              <w:rPr>
                <w:rFonts w:eastAsia="Times New Roman" w:cs="Calibri"/>
                <w:b/>
                <w:bCs/>
                <w:color w:val="FF0000"/>
                <w:sz w:val="20"/>
                <w:szCs w:val="20"/>
                <w:lang w:eastAsia="hu-HU"/>
              </w:rPr>
              <w:t xml:space="preserve"> </w:t>
            </w:r>
            <w:r>
              <w:rPr>
                <w:rFonts w:eastAsia="Times New Roman" w:cs="Calibri"/>
                <w:b/>
                <w:bCs/>
                <w:color w:val="FF0000"/>
                <w:sz w:val="20"/>
                <w:szCs w:val="20"/>
                <w:lang w:eastAsia="hu-HU"/>
              </w:rPr>
              <w:t>05</w:t>
            </w:r>
            <w:r w:rsidR="000B5C1F" w:rsidRPr="00207396">
              <w:rPr>
                <w:rFonts w:eastAsia="Times New Roman" w:cs="Calibri"/>
                <w:b/>
                <w:bCs/>
                <w:color w:val="FF0000"/>
                <w:sz w:val="20"/>
                <w:szCs w:val="20"/>
                <w:lang w:eastAsia="hu-HU"/>
              </w:rPr>
              <w:t>0 000</w:t>
            </w:r>
          </w:p>
        </w:tc>
        <w:tc>
          <w:tcPr>
            <w:tcW w:w="884" w:type="pct"/>
            <w:tcBorders>
              <w:top w:val="nil"/>
              <w:left w:val="nil"/>
              <w:bottom w:val="single" w:sz="4" w:space="0" w:color="auto"/>
              <w:right w:val="single" w:sz="4" w:space="0" w:color="auto"/>
            </w:tcBorders>
            <w:shd w:val="clear" w:color="000000" w:fill="FDE9D9"/>
            <w:noWrap/>
            <w:vAlign w:val="bottom"/>
            <w:hideMark/>
          </w:tcPr>
          <w:p w:rsidR="000B5C1F" w:rsidRPr="00207396" w:rsidRDefault="000B5C1F" w:rsidP="00A67DB9">
            <w:pPr>
              <w:spacing w:after="0" w:line="240" w:lineRule="auto"/>
              <w:jc w:val="both"/>
              <w:rPr>
                <w:rFonts w:eastAsia="Times New Roman" w:cs="Calibri"/>
                <w:b/>
                <w:bCs/>
                <w:color w:val="FF0000"/>
                <w:sz w:val="20"/>
                <w:szCs w:val="20"/>
                <w:lang w:eastAsia="hu-HU"/>
              </w:rPr>
            </w:pPr>
            <w:r w:rsidRPr="00207396">
              <w:rPr>
                <w:rFonts w:eastAsia="Times New Roman" w:cs="Calibri"/>
                <w:b/>
                <w:bCs/>
                <w:color w:val="FF0000"/>
                <w:sz w:val="20"/>
                <w:szCs w:val="20"/>
                <w:lang w:eastAsia="hu-HU"/>
              </w:rPr>
              <w:t>2 900 000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noWrap/>
            <w:vAlign w:val="bottom"/>
            <w:hideMark/>
          </w:tcPr>
          <w:p w:rsidR="000B5C1F" w:rsidRPr="00572C5C" w:rsidRDefault="000B5C1F" w:rsidP="00A67DB9">
            <w:pPr>
              <w:spacing w:after="0" w:line="240" w:lineRule="auto"/>
              <w:jc w:val="both"/>
              <w:rPr>
                <w:rFonts w:eastAsia="Times New Roman" w:cs="Calibri"/>
                <w:sz w:val="20"/>
                <w:szCs w:val="20"/>
                <w:lang w:eastAsia="hu-HU"/>
              </w:rPr>
            </w:pPr>
            <w:r w:rsidRPr="00572C5C">
              <w:rPr>
                <w:rFonts w:eastAsia="Times New Roman" w:cs="Calibri"/>
                <w:sz w:val="20"/>
                <w:szCs w:val="20"/>
                <w:lang w:eastAsia="hu-HU"/>
              </w:rPr>
              <w:t>PPC, Social Media</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207396" w:rsidRDefault="00F96CE3" w:rsidP="00A67DB9">
            <w:pPr>
              <w:spacing w:after="0" w:line="240" w:lineRule="auto"/>
              <w:jc w:val="both"/>
              <w:rPr>
                <w:rFonts w:eastAsia="Times New Roman" w:cs="Calibri"/>
                <w:color w:val="FF0000"/>
                <w:sz w:val="20"/>
                <w:szCs w:val="20"/>
                <w:lang w:eastAsia="hu-HU"/>
              </w:rPr>
            </w:pPr>
            <w:r>
              <w:rPr>
                <w:rFonts w:eastAsia="Times New Roman" w:cs="Calibri"/>
                <w:color w:val="FF0000"/>
                <w:sz w:val="20"/>
                <w:szCs w:val="20"/>
                <w:lang w:eastAsia="hu-HU"/>
              </w:rPr>
              <w:t>65</w:t>
            </w:r>
            <w:r w:rsidR="000B5C1F" w:rsidRPr="00207396">
              <w:rPr>
                <w:rFonts w:eastAsia="Times New Roman" w:cs="Calibri"/>
                <w:color w:val="FF0000"/>
                <w:sz w:val="20"/>
                <w:szCs w:val="20"/>
                <w:lang w:eastAsia="hu-HU"/>
              </w:rPr>
              <w:t>0 000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500 000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noWrap/>
            <w:vAlign w:val="bottom"/>
            <w:hideMark/>
          </w:tcPr>
          <w:p w:rsidR="000B5C1F" w:rsidRPr="00572C5C" w:rsidRDefault="000B5C1F" w:rsidP="00A67DB9">
            <w:pPr>
              <w:spacing w:after="0" w:line="240" w:lineRule="auto"/>
              <w:jc w:val="both"/>
              <w:rPr>
                <w:rFonts w:eastAsia="Times New Roman" w:cs="Calibri"/>
                <w:sz w:val="20"/>
                <w:szCs w:val="20"/>
                <w:lang w:eastAsia="hu-HU"/>
              </w:rPr>
            </w:pPr>
            <w:r w:rsidRPr="00572C5C">
              <w:rPr>
                <w:rFonts w:eastAsia="Times New Roman" w:cs="Calibri"/>
                <w:sz w:val="20"/>
                <w:szCs w:val="20"/>
                <w:lang w:eastAsia="hu-HU"/>
              </w:rPr>
              <w:t>Print: Új Szó és mellékletei, Új Nő, Castrum Novum, Új szó online</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highlight w:val="yellow"/>
                <w:lang w:eastAsia="hu-HU"/>
              </w:rPr>
              <w:t>2 400 000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highlight w:val="yellow"/>
                <w:lang w:eastAsia="hu-HU"/>
              </w:rPr>
              <w:t>2 400 000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000000" w:fill="FDE9D9"/>
            <w:vAlign w:val="bottom"/>
            <w:hideMark/>
          </w:tcPr>
          <w:p w:rsidR="000B5C1F" w:rsidRPr="00572C5C" w:rsidRDefault="000B5C1F" w:rsidP="00A67DB9">
            <w:pPr>
              <w:spacing w:after="0" w:line="240" w:lineRule="auto"/>
              <w:jc w:val="both"/>
              <w:rPr>
                <w:rFonts w:eastAsia="Times New Roman" w:cs="Calibri"/>
                <w:b/>
                <w:bCs/>
                <w:sz w:val="20"/>
                <w:szCs w:val="20"/>
                <w:lang w:eastAsia="hu-HU"/>
              </w:rPr>
            </w:pPr>
            <w:r w:rsidRPr="00572C5C">
              <w:rPr>
                <w:rFonts w:eastAsia="Times New Roman" w:cs="Calibri"/>
                <w:b/>
                <w:bCs/>
                <w:sz w:val="20"/>
                <w:szCs w:val="20"/>
                <w:lang w:eastAsia="hu-HU"/>
              </w:rPr>
              <w:t>Cseh piac - célcsoport: 30-50 év közötti egészségtudatos felnőttek Prága és Brno térségében és 50+ (kb. 400.000 fő)</w:t>
            </w:r>
          </w:p>
        </w:tc>
        <w:tc>
          <w:tcPr>
            <w:tcW w:w="1249" w:type="pct"/>
            <w:tcBorders>
              <w:top w:val="nil"/>
              <w:left w:val="nil"/>
              <w:bottom w:val="single" w:sz="4" w:space="0" w:color="auto"/>
              <w:right w:val="single" w:sz="4" w:space="0" w:color="auto"/>
            </w:tcBorders>
            <w:shd w:val="clear" w:color="000000" w:fill="FDE9D9"/>
            <w:noWrap/>
            <w:vAlign w:val="bottom"/>
            <w:hideMark/>
          </w:tcPr>
          <w:p w:rsidR="000B5C1F" w:rsidRPr="00207396" w:rsidRDefault="00952E6B" w:rsidP="00952E6B">
            <w:pPr>
              <w:spacing w:after="0" w:line="240" w:lineRule="auto"/>
              <w:jc w:val="both"/>
              <w:rPr>
                <w:rFonts w:eastAsia="Times New Roman" w:cs="Calibri"/>
                <w:b/>
                <w:bCs/>
                <w:color w:val="FF0000"/>
                <w:sz w:val="20"/>
                <w:szCs w:val="20"/>
                <w:lang w:eastAsia="hu-HU"/>
              </w:rPr>
            </w:pPr>
            <w:r>
              <w:rPr>
                <w:rFonts w:eastAsia="Times New Roman" w:cs="Calibri"/>
                <w:b/>
                <w:bCs/>
                <w:color w:val="FF0000"/>
                <w:sz w:val="20"/>
                <w:szCs w:val="20"/>
                <w:lang w:eastAsia="hu-HU"/>
              </w:rPr>
              <w:t>5</w:t>
            </w:r>
            <w:r w:rsidR="00F96CE3">
              <w:rPr>
                <w:rFonts w:eastAsia="Times New Roman" w:cs="Calibri"/>
                <w:b/>
                <w:bCs/>
                <w:color w:val="FF0000"/>
                <w:sz w:val="20"/>
                <w:szCs w:val="20"/>
                <w:lang w:eastAsia="hu-HU"/>
              </w:rPr>
              <w:t xml:space="preserve"> </w:t>
            </w:r>
            <w:r>
              <w:rPr>
                <w:rFonts w:eastAsia="Times New Roman" w:cs="Calibri"/>
                <w:b/>
                <w:bCs/>
                <w:color w:val="FF0000"/>
                <w:sz w:val="20"/>
                <w:szCs w:val="20"/>
                <w:lang w:eastAsia="hu-HU"/>
              </w:rPr>
              <w:t>7</w:t>
            </w:r>
            <w:r w:rsidR="00F96CE3">
              <w:rPr>
                <w:rFonts w:eastAsia="Times New Roman" w:cs="Calibri"/>
                <w:b/>
                <w:bCs/>
                <w:color w:val="FF0000"/>
                <w:sz w:val="20"/>
                <w:szCs w:val="20"/>
                <w:lang w:eastAsia="hu-HU"/>
              </w:rPr>
              <w:t>93</w:t>
            </w:r>
            <w:r w:rsidR="000B5C1F" w:rsidRPr="00207396">
              <w:rPr>
                <w:rFonts w:eastAsia="Times New Roman" w:cs="Calibri"/>
                <w:b/>
                <w:bCs/>
                <w:color w:val="FF0000"/>
                <w:sz w:val="20"/>
                <w:szCs w:val="20"/>
                <w:lang w:eastAsia="hu-HU"/>
              </w:rPr>
              <w:t xml:space="preserve"> 000</w:t>
            </w:r>
          </w:p>
        </w:tc>
        <w:tc>
          <w:tcPr>
            <w:tcW w:w="884" w:type="pct"/>
            <w:tcBorders>
              <w:top w:val="nil"/>
              <w:left w:val="nil"/>
              <w:bottom w:val="single" w:sz="4" w:space="0" w:color="auto"/>
              <w:right w:val="single" w:sz="4" w:space="0" w:color="auto"/>
            </w:tcBorders>
            <w:shd w:val="clear" w:color="000000" w:fill="FDE9D9"/>
            <w:noWrap/>
            <w:vAlign w:val="bottom"/>
            <w:hideMark/>
          </w:tcPr>
          <w:p w:rsidR="000B5C1F" w:rsidRPr="00207396" w:rsidRDefault="00952E6B" w:rsidP="00952E6B">
            <w:pPr>
              <w:spacing w:after="0" w:line="240" w:lineRule="auto"/>
              <w:jc w:val="both"/>
              <w:rPr>
                <w:rFonts w:eastAsia="Times New Roman" w:cs="Calibri"/>
                <w:b/>
                <w:bCs/>
                <w:color w:val="FF0000"/>
                <w:sz w:val="20"/>
                <w:szCs w:val="20"/>
                <w:lang w:eastAsia="hu-HU"/>
              </w:rPr>
            </w:pPr>
            <w:r>
              <w:rPr>
                <w:rFonts w:eastAsia="Times New Roman" w:cs="Calibri"/>
                <w:b/>
                <w:bCs/>
                <w:color w:val="FF0000"/>
                <w:sz w:val="20"/>
                <w:szCs w:val="20"/>
                <w:lang w:eastAsia="hu-HU"/>
              </w:rPr>
              <w:t>1</w:t>
            </w:r>
            <w:r w:rsidR="000B5C1F" w:rsidRPr="00207396">
              <w:rPr>
                <w:rFonts w:eastAsia="Times New Roman" w:cs="Calibri"/>
                <w:b/>
                <w:bCs/>
                <w:color w:val="FF0000"/>
                <w:sz w:val="20"/>
                <w:szCs w:val="20"/>
                <w:lang w:eastAsia="hu-HU"/>
              </w:rPr>
              <w:t xml:space="preserve"> </w:t>
            </w:r>
            <w:r>
              <w:rPr>
                <w:rFonts w:eastAsia="Times New Roman" w:cs="Calibri"/>
                <w:b/>
                <w:bCs/>
                <w:color w:val="FF0000"/>
                <w:sz w:val="20"/>
                <w:szCs w:val="20"/>
                <w:lang w:eastAsia="hu-HU"/>
              </w:rPr>
              <w:t>9</w:t>
            </w:r>
            <w:r w:rsidR="000B5C1F" w:rsidRPr="00207396">
              <w:rPr>
                <w:rFonts w:eastAsia="Times New Roman" w:cs="Calibri"/>
                <w:b/>
                <w:bCs/>
                <w:color w:val="FF0000"/>
                <w:sz w:val="20"/>
                <w:szCs w:val="20"/>
                <w:lang w:eastAsia="hu-HU"/>
              </w:rPr>
              <w:t>43 000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noWrap/>
            <w:vAlign w:val="bottom"/>
            <w:hideMark/>
          </w:tcPr>
          <w:p w:rsidR="000B5C1F" w:rsidRPr="00572C5C" w:rsidRDefault="000B5C1F" w:rsidP="00A67DB9">
            <w:pPr>
              <w:spacing w:after="0" w:line="240" w:lineRule="auto"/>
              <w:jc w:val="both"/>
              <w:rPr>
                <w:rFonts w:eastAsia="Times New Roman" w:cs="Calibri"/>
                <w:sz w:val="20"/>
                <w:szCs w:val="20"/>
                <w:lang w:eastAsia="hu-HU"/>
              </w:rPr>
            </w:pPr>
            <w:r w:rsidRPr="00572C5C">
              <w:rPr>
                <w:rFonts w:eastAsia="Times New Roman" w:cs="Calibri"/>
                <w:sz w:val="20"/>
                <w:szCs w:val="20"/>
                <w:lang w:eastAsia="hu-HU"/>
              </w:rPr>
              <w:t>PPC, Social Media</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207396" w:rsidRDefault="00F96CE3" w:rsidP="00A67DB9">
            <w:pPr>
              <w:spacing w:after="0" w:line="240" w:lineRule="auto"/>
              <w:jc w:val="both"/>
              <w:rPr>
                <w:rFonts w:eastAsia="Times New Roman" w:cs="Calibri"/>
                <w:color w:val="FF0000"/>
                <w:sz w:val="20"/>
                <w:szCs w:val="20"/>
                <w:lang w:eastAsia="hu-HU"/>
              </w:rPr>
            </w:pPr>
            <w:r>
              <w:rPr>
                <w:rFonts w:eastAsia="Times New Roman" w:cs="Calibri"/>
                <w:color w:val="FF0000"/>
                <w:sz w:val="20"/>
                <w:szCs w:val="20"/>
                <w:lang w:eastAsia="hu-HU"/>
              </w:rPr>
              <w:t>65</w:t>
            </w:r>
            <w:r w:rsidR="000B5C1F" w:rsidRPr="00207396">
              <w:rPr>
                <w:rFonts w:eastAsia="Times New Roman" w:cs="Calibri"/>
                <w:color w:val="FF0000"/>
                <w:sz w:val="20"/>
                <w:szCs w:val="20"/>
                <w:lang w:eastAsia="hu-HU"/>
              </w:rPr>
              <w:t>0 000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F96CE3" w:rsidP="00A67DB9">
            <w:pPr>
              <w:spacing w:after="0" w:line="240" w:lineRule="auto"/>
              <w:jc w:val="both"/>
              <w:rPr>
                <w:rFonts w:eastAsia="Times New Roman" w:cs="Calibri"/>
                <w:color w:val="FF0000"/>
                <w:sz w:val="20"/>
                <w:szCs w:val="20"/>
                <w:lang w:eastAsia="hu-HU"/>
              </w:rPr>
            </w:pPr>
            <w:r>
              <w:rPr>
                <w:rFonts w:eastAsia="Times New Roman" w:cs="Calibri"/>
                <w:color w:val="FF0000"/>
                <w:sz w:val="20"/>
                <w:szCs w:val="20"/>
                <w:lang w:eastAsia="hu-HU"/>
              </w:rPr>
              <w:t>500 000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noWrap/>
            <w:vAlign w:val="bottom"/>
            <w:hideMark/>
          </w:tcPr>
          <w:p w:rsidR="000B5C1F" w:rsidRPr="00572C5C" w:rsidRDefault="000B5C1F" w:rsidP="00A67DB9">
            <w:pPr>
              <w:spacing w:after="0" w:line="240" w:lineRule="auto"/>
              <w:jc w:val="both"/>
              <w:rPr>
                <w:rFonts w:eastAsia="Times New Roman" w:cs="Calibri"/>
                <w:sz w:val="20"/>
                <w:szCs w:val="20"/>
                <w:lang w:eastAsia="hu-HU"/>
              </w:rPr>
            </w:pPr>
            <w:r w:rsidRPr="00572C5C">
              <w:rPr>
                <w:rFonts w:eastAsia="Times New Roman" w:cs="Calibri"/>
                <w:sz w:val="20"/>
                <w:szCs w:val="20"/>
                <w:lang w:eastAsia="hu-HU"/>
              </w:rPr>
              <w:t>PR-ügynökség</w:t>
            </w:r>
          </w:p>
        </w:tc>
        <w:tc>
          <w:tcPr>
            <w:tcW w:w="1249" w:type="pct"/>
            <w:tcBorders>
              <w:top w:val="nil"/>
              <w:left w:val="nil"/>
              <w:bottom w:val="single" w:sz="4" w:space="0" w:color="auto"/>
              <w:right w:val="single" w:sz="4" w:space="0" w:color="auto"/>
            </w:tcBorders>
            <w:shd w:val="clear" w:color="000000" w:fill="FFFFFF"/>
            <w:noWrap/>
            <w:vAlign w:val="bottom"/>
            <w:hideMark/>
          </w:tcPr>
          <w:p w:rsidR="000B5C1F" w:rsidRPr="00207396" w:rsidRDefault="00952E6B" w:rsidP="00952E6B">
            <w:pPr>
              <w:spacing w:after="0" w:line="240" w:lineRule="auto"/>
              <w:jc w:val="both"/>
              <w:rPr>
                <w:rFonts w:eastAsia="Times New Roman" w:cs="Calibri"/>
                <w:color w:val="FF0000"/>
                <w:sz w:val="20"/>
                <w:szCs w:val="20"/>
                <w:lang w:eastAsia="hu-HU"/>
              </w:rPr>
            </w:pPr>
            <w:r>
              <w:rPr>
                <w:rFonts w:eastAsia="Times New Roman" w:cs="Calibri"/>
                <w:color w:val="FF0000"/>
                <w:sz w:val="20"/>
                <w:szCs w:val="20"/>
                <w:highlight w:val="yellow"/>
                <w:lang w:eastAsia="hu-HU"/>
              </w:rPr>
              <w:t>5</w:t>
            </w:r>
            <w:r w:rsidR="000B5C1F" w:rsidRPr="00207396">
              <w:rPr>
                <w:rFonts w:eastAsia="Times New Roman" w:cs="Calibri"/>
                <w:color w:val="FF0000"/>
                <w:sz w:val="20"/>
                <w:szCs w:val="20"/>
                <w:highlight w:val="yellow"/>
                <w:lang w:eastAsia="hu-HU"/>
              </w:rPr>
              <w:t xml:space="preserve"> </w:t>
            </w:r>
            <w:r>
              <w:rPr>
                <w:rFonts w:eastAsia="Times New Roman" w:cs="Calibri"/>
                <w:color w:val="FF0000"/>
                <w:sz w:val="20"/>
                <w:szCs w:val="20"/>
                <w:highlight w:val="yellow"/>
                <w:lang w:eastAsia="hu-HU"/>
              </w:rPr>
              <w:t>1</w:t>
            </w:r>
            <w:r w:rsidR="000B5C1F" w:rsidRPr="00207396">
              <w:rPr>
                <w:rFonts w:eastAsia="Times New Roman" w:cs="Calibri"/>
                <w:color w:val="FF0000"/>
                <w:sz w:val="20"/>
                <w:szCs w:val="20"/>
                <w:highlight w:val="yellow"/>
                <w:lang w:eastAsia="hu-HU"/>
              </w:rPr>
              <w:t>43 000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952E6B" w:rsidP="00952E6B">
            <w:pPr>
              <w:spacing w:after="0" w:line="240" w:lineRule="auto"/>
              <w:jc w:val="both"/>
              <w:rPr>
                <w:rFonts w:eastAsia="Times New Roman" w:cs="Calibri"/>
                <w:color w:val="FF0000"/>
                <w:sz w:val="20"/>
                <w:szCs w:val="20"/>
                <w:lang w:eastAsia="hu-HU"/>
              </w:rPr>
            </w:pPr>
            <w:r>
              <w:rPr>
                <w:rFonts w:eastAsia="Times New Roman" w:cs="Calibri"/>
                <w:color w:val="FF0000"/>
                <w:sz w:val="20"/>
                <w:szCs w:val="20"/>
                <w:highlight w:val="yellow"/>
                <w:lang w:eastAsia="hu-HU"/>
              </w:rPr>
              <w:t>1</w:t>
            </w:r>
            <w:r w:rsidR="000B5C1F" w:rsidRPr="00207396">
              <w:rPr>
                <w:rFonts w:eastAsia="Times New Roman" w:cs="Calibri"/>
                <w:color w:val="FF0000"/>
                <w:sz w:val="20"/>
                <w:szCs w:val="20"/>
                <w:highlight w:val="yellow"/>
                <w:lang w:eastAsia="hu-HU"/>
              </w:rPr>
              <w:t xml:space="preserve"> </w:t>
            </w:r>
            <w:r>
              <w:rPr>
                <w:rFonts w:eastAsia="Times New Roman" w:cs="Calibri"/>
                <w:color w:val="FF0000"/>
                <w:sz w:val="20"/>
                <w:szCs w:val="20"/>
                <w:highlight w:val="yellow"/>
                <w:lang w:eastAsia="hu-HU"/>
              </w:rPr>
              <w:t>4</w:t>
            </w:r>
            <w:r w:rsidR="000B5C1F" w:rsidRPr="00207396">
              <w:rPr>
                <w:rFonts w:eastAsia="Times New Roman" w:cs="Calibri"/>
                <w:color w:val="FF0000"/>
                <w:sz w:val="20"/>
                <w:szCs w:val="20"/>
                <w:highlight w:val="yellow"/>
                <w:lang w:eastAsia="hu-HU"/>
              </w:rPr>
              <w:t>43 000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000000" w:fill="FDE9D9"/>
            <w:vAlign w:val="bottom"/>
            <w:hideMark/>
          </w:tcPr>
          <w:p w:rsidR="000B5C1F" w:rsidRPr="00572C5C" w:rsidRDefault="000B5C1F" w:rsidP="00A67DB9">
            <w:pPr>
              <w:spacing w:after="0" w:line="240" w:lineRule="auto"/>
              <w:jc w:val="both"/>
              <w:rPr>
                <w:rFonts w:eastAsia="Times New Roman" w:cs="Calibri"/>
                <w:b/>
                <w:bCs/>
                <w:sz w:val="20"/>
                <w:szCs w:val="20"/>
                <w:lang w:eastAsia="hu-HU"/>
              </w:rPr>
            </w:pPr>
            <w:r w:rsidRPr="00572C5C">
              <w:rPr>
                <w:rFonts w:eastAsia="Times New Roman" w:cs="Calibri"/>
                <w:b/>
                <w:bCs/>
                <w:sz w:val="20"/>
                <w:szCs w:val="20"/>
                <w:lang w:eastAsia="hu-HU"/>
              </w:rPr>
              <w:t xml:space="preserve">Orosz piac - </w:t>
            </w:r>
            <w:r w:rsidRPr="00572C5C">
              <w:rPr>
                <w:rFonts w:eastAsia="Times New Roman" w:cs="Calibri"/>
                <w:sz w:val="20"/>
                <w:szCs w:val="20"/>
                <w:lang w:eastAsia="hu-HU"/>
              </w:rPr>
              <w:t>PR-ügynökség, online kampány, B2C</w:t>
            </w:r>
          </w:p>
        </w:tc>
        <w:tc>
          <w:tcPr>
            <w:tcW w:w="1249" w:type="pct"/>
            <w:tcBorders>
              <w:top w:val="nil"/>
              <w:left w:val="nil"/>
              <w:bottom w:val="single" w:sz="4" w:space="0" w:color="auto"/>
              <w:right w:val="single" w:sz="4" w:space="0" w:color="auto"/>
            </w:tcBorders>
            <w:shd w:val="clear" w:color="000000" w:fill="FDE9D9"/>
            <w:noWrap/>
            <w:vAlign w:val="bottom"/>
            <w:hideMark/>
          </w:tcPr>
          <w:p w:rsidR="000B5C1F" w:rsidRPr="00207396" w:rsidRDefault="000B5C1F" w:rsidP="00952E6B">
            <w:pPr>
              <w:spacing w:after="0" w:line="240" w:lineRule="auto"/>
              <w:jc w:val="both"/>
              <w:rPr>
                <w:rFonts w:eastAsia="Times New Roman" w:cs="Calibri"/>
                <w:b/>
                <w:bCs/>
                <w:color w:val="FF0000"/>
                <w:sz w:val="20"/>
                <w:szCs w:val="20"/>
                <w:lang w:eastAsia="hu-HU"/>
              </w:rPr>
            </w:pPr>
            <w:r w:rsidRPr="00207396">
              <w:rPr>
                <w:rFonts w:eastAsia="Times New Roman" w:cs="Calibri"/>
                <w:b/>
                <w:bCs/>
                <w:color w:val="FF0000"/>
                <w:sz w:val="20"/>
                <w:szCs w:val="20"/>
                <w:lang w:eastAsia="hu-HU"/>
              </w:rPr>
              <w:t xml:space="preserve">14 </w:t>
            </w:r>
            <w:r w:rsidR="00BA6839">
              <w:rPr>
                <w:rFonts w:eastAsia="Times New Roman" w:cs="Calibri"/>
                <w:b/>
                <w:bCs/>
                <w:color w:val="FF0000"/>
                <w:sz w:val="20"/>
                <w:szCs w:val="20"/>
                <w:lang w:eastAsia="hu-HU"/>
              </w:rPr>
              <w:t>004</w:t>
            </w:r>
            <w:r w:rsidRPr="00207396">
              <w:rPr>
                <w:rFonts w:eastAsia="Times New Roman" w:cs="Calibri"/>
                <w:b/>
                <w:bCs/>
                <w:color w:val="FF0000"/>
                <w:sz w:val="20"/>
                <w:szCs w:val="20"/>
                <w:lang w:eastAsia="hu-HU"/>
              </w:rPr>
              <w:t xml:space="preserve"> </w:t>
            </w:r>
            <w:r w:rsidR="00952E6B">
              <w:rPr>
                <w:rFonts w:eastAsia="Times New Roman" w:cs="Calibri"/>
                <w:b/>
                <w:bCs/>
                <w:color w:val="FF0000"/>
                <w:sz w:val="20"/>
                <w:szCs w:val="20"/>
                <w:lang w:eastAsia="hu-HU"/>
              </w:rPr>
              <w:t>42</w:t>
            </w:r>
            <w:r w:rsidRPr="00207396">
              <w:rPr>
                <w:rFonts w:eastAsia="Times New Roman" w:cs="Calibri"/>
                <w:b/>
                <w:bCs/>
                <w:color w:val="FF0000"/>
                <w:sz w:val="20"/>
                <w:szCs w:val="20"/>
                <w:lang w:eastAsia="hu-HU"/>
              </w:rPr>
              <w:t>0</w:t>
            </w:r>
          </w:p>
        </w:tc>
        <w:tc>
          <w:tcPr>
            <w:tcW w:w="884" w:type="pct"/>
            <w:tcBorders>
              <w:top w:val="nil"/>
              <w:left w:val="nil"/>
              <w:bottom w:val="single" w:sz="4" w:space="0" w:color="auto"/>
              <w:right w:val="single" w:sz="4" w:space="0" w:color="auto"/>
            </w:tcBorders>
            <w:shd w:val="clear" w:color="000000" w:fill="FDE9D9"/>
            <w:noWrap/>
            <w:vAlign w:val="bottom"/>
            <w:hideMark/>
          </w:tcPr>
          <w:p w:rsidR="000B5C1F" w:rsidRPr="00207396" w:rsidRDefault="000B5C1F" w:rsidP="00BA6839">
            <w:pPr>
              <w:spacing w:after="0" w:line="240" w:lineRule="auto"/>
              <w:jc w:val="both"/>
              <w:rPr>
                <w:rFonts w:eastAsia="Times New Roman" w:cs="Calibri"/>
                <w:b/>
                <w:bCs/>
                <w:color w:val="FF0000"/>
                <w:sz w:val="20"/>
                <w:szCs w:val="20"/>
                <w:lang w:eastAsia="hu-HU"/>
              </w:rPr>
            </w:pPr>
            <w:r w:rsidRPr="00207396">
              <w:rPr>
                <w:rFonts w:eastAsia="Times New Roman" w:cs="Calibri"/>
                <w:b/>
                <w:bCs/>
                <w:color w:val="FF0000"/>
                <w:sz w:val="20"/>
                <w:szCs w:val="20"/>
                <w:lang w:eastAsia="hu-HU"/>
              </w:rPr>
              <w:t xml:space="preserve">9 </w:t>
            </w:r>
            <w:r w:rsidR="00BA6839">
              <w:rPr>
                <w:rFonts w:eastAsia="Times New Roman" w:cs="Calibri"/>
                <w:b/>
                <w:bCs/>
                <w:color w:val="FF0000"/>
                <w:sz w:val="20"/>
                <w:szCs w:val="20"/>
                <w:lang w:eastAsia="hu-HU"/>
              </w:rPr>
              <w:t>00</w:t>
            </w:r>
            <w:r w:rsidRPr="00207396">
              <w:rPr>
                <w:rFonts w:eastAsia="Times New Roman" w:cs="Calibri"/>
                <w:b/>
                <w:bCs/>
                <w:color w:val="FF0000"/>
                <w:sz w:val="20"/>
                <w:szCs w:val="20"/>
                <w:lang w:eastAsia="hu-HU"/>
              </w:rPr>
              <w:t>4 420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000000" w:fill="FFFFFF"/>
            <w:vAlign w:val="bottom"/>
            <w:hideMark/>
          </w:tcPr>
          <w:p w:rsidR="000B5C1F" w:rsidRPr="00572C5C" w:rsidRDefault="000B5C1F" w:rsidP="00F96CE3">
            <w:pPr>
              <w:spacing w:after="0" w:line="240" w:lineRule="auto"/>
              <w:jc w:val="both"/>
              <w:rPr>
                <w:rFonts w:eastAsia="Times New Roman" w:cs="Calibri"/>
                <w:sz w:val="20"/>
                <w:szCs w:val="20"/>
                <w:lang w:eastAsia="hu-HU"/>
              </w:rPr>
            </w:pPr>
            <w:r w:rsidRPr="00572C5C">
              <w:rPr>
                <w:rFonts w:eastAsia="Times New Roman" w:cs="Calibri"/>
                <w:sz w:val="20"/>
                <w:szCs w:val="20"/>
                <w:lang w:eastAsia="hu-HU"/>
              </w:rPr>
              <w:t>Online PR-ügynökség</w:t>
            </w:r>
            <w:r>
              <w:rPr>
                <w:rFonts w:eastAsia="Times New Roman" w:cs="Calibri"/>
                <w:sz w:val="20"/>
                <w:szCs w:val="20"/>
                <w:lang w:eastAsia="hu-HU"/>
              </w:rPr>
              <w:t xml:space="preserve">, </w:t>
            </w:r>
            <w:r w:rsidRPr="00572C5C">
              <w:rPr>
                <w:rFonts w:eastAsia="Times New Roman" w:cs="Calibri"/>
                <w:sz w:val="20"/>
                <w:szCs w:val="20"/>
                <w:lang w:eastAsia="hu-HU"/>
              </w:rPr>
              <w:t>PPC, Social Media</w:t>
            </w:r>
            <w:r>
              <w:rPr>
                <w:rFonts w:eastAsia="Times New Roman" w:cs="Calibri"/>
                <w:sz w:val="20"/>
                <w:szCs w:val="20"/>
                <w:lang w:eastAsia="hu-HU"/>
              </w:rPr>
              <w:t>,</w:t>
            </w:r>
            <w:r w:rsidRPr="00572C5C">
              <w:rPr>
                <w:rFonts w:eastAsia="Times New Roman" w:cs="Calibri"/>
                <w:sz w:val="20"/>
                <w:szCs w:val="20"/>
                <w:lang w:eastAsia="hu-HU"/>
              </w:rPr>
              <w:t xml:space="preserve"> Yandex, Google,</w:t>
            </w:r>
            <w:r w:rsidR="00F96CE3">
              <w:rPr>
                <w:rFonts w:eastAsia="Times New Roman" w:cs="Calibri"/>
                <w:sz w:val="20"/>
                <w:szCs w:val="20"/>
                <w:lang w:eastAsia="hu-HU"/>
              </w:rPr>
              <w:t xml:space="preserve"> ads,</w:t>
            </w:r>
            <w:r w:rsidRPr="00572C5C">
              <w:rPr>
                <w:rFonts w:eastAsia="Times New Roman" w:cs="Calibri"/>
                <w:sz w:val="20"/>
                <w:szCs w:val="20"/>
                <w:lang w:eastAsia="hu-HU"/>
              </w:rPr>
              <w:t xml:space="preserve"> Instagram,</w:t>
            </w:r>
          </w:p>
        </w:tc>
        <w:tc>
          <w:tcPr>
            <w:tcW w:w="1249" w:type="pct"/>
            <w:tcBorders>
              <w:top w:val="nil"/>
              <w:left w:val="nil"/>
              <w:bottom w:val="single" w:sz="4" w:space="0" w:color="auto"/>
              <w:right w:val="single" w:sz="4" w:space="0" w:color="auto"/>
            </w:tcBorders>
            <w:shd w:val="clear" w:color="000000" w:fill="FFFFFF"/>
            <w:noWrap/>
            <w:vAlign w:val="bottom"/>
            <w:hideMark/>
          </w:tcPr>
          <w:p w:rsidR="000B5C1F" w:rsidRPr="00207396" w:rsidRDefault="000B5C1F" w:rsidP="00952E6B">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highlight w:val="yellow"/>
                <w:lang w:eastAsia="hu-HU"/>
              </w:rPr>
              <w:t>14 </w:t>
            </w:r>
            <w:r w:rsidR="00BA6839">
              <w:rPr>
                <w:rFonts w:eastAsia="Times New Roman" w:cs="Calibri"/>
                <w:color w:val="FF0000"/>
                <w:sz w:val="20"/>
                <w:szCs w:val="20"/>
                <w:highlight w:val="yellow"/>
                <w:lang w:eastAsia="hu-HU"/>
              </w:rPr>
              <w:t>00</w:t>
            </w:r>
            <w:r w:rsidRPr="00207396">
              <w:rPr>
                <w:rFonts w:eastAsia="Times New Roman" w:cs="Calibri"/>
                <w:color w:val="FF0000"/>
                <w:sz w:val="20"/>
                <w:szCs w:val="20"/>
                <w:highlight w:val="yellow"/>
                <w:lang w:eastAsia="hu-HU"/>
              </w:rPr>
              <w:t xml:space="preserve">4 </w:t>
            </w:r>
            <w:r w:rsidR="00952E6B">
              <w:rPr>
                <w:rFonts w:eastAsia="Times New Roman" w:cs="Calibri"/>
                <w:color w:val="FF0000"/>
                <w:sz w:val="20"/>
                <w:szCs w:val="20"/>
                <w:highlight w:val="yellow"/>
                <w:lang w:eastAsia="hu-HU"/>
              </w:rPr>
              <w:t>42</w:t>
            </w:r>
            <w:r w:rsidRPr="00207396">
              <w:rPr>
                <w:rFonts w:eastAsia="Times New Roman" w:cs="Calibri"/>
                <w:color w:val="FF0000"/>
                <w:sz w:val="20"/>
                <w:szCs w:val="20"/>
                <w:highlight w:val="yellow"/>
                <w:lang w:eastAsia="hu-HU"/>
              </w:rPr>
              <w:t>0</w:t>
            </w:r>
          </w:p>
        </w:tc>
        <w:tc>
          <w:tcPr>
            <w:tcW w:w="884" w:type="pct"/>
            <w:tcBorders>
              <w:top w:val="nil"/>
              <w:left w:val="nil"/>
              <w:bottom w:val="single" w:sz="4" w:space="0" w:color="auto"/>
              <w:right w:val="single" w:sz="4" w:space="0" w:color="auto"/>
            </w:tcBorders>
            <w:shd w:val="clear" w:color="000000" w:fill="FFFFFF"/>
            <w:noWrap/>
            <w:vAlign w:val="bottom"/>
            <w:hideMark/>
          </w:tcPr>
          <w:p w:rsidR="000B5C1F" w:rsidRPr="00207396" w:rsidRDefault="000B5C1F" w:rsidP="00BA683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highlight w:val="yellow"/>
                <w:lang w:eastAsia="hu-HU"/>
              </w:rPr>
              <w:t>9 </w:t>
            </w:r>
            <w:r w:rsidR="00BA6839">
              <w:rPr>
                <w:rFonts w:eastAsia="Times New Roman" w:cs="Calibri"/>
                <w:color w:val="FF0000"/>
                <w:sz w:val="20"/>
                <w:szCs w:val="20"/>
                <w:highlight w:val="yellow"/>
                <w:lang w:eastAsia="hu-HU"/>
              </w:rPr>
              <w:t>00</w:t>
            </w:r>
            <w:r w:rsidRPr="00207396">
              <w:rPr>
                <w:rFonts w:eastAsia="Times New Roman" w:cs="Calibri"/>
                <w:color w:val="FF0000"/>
                <w:sz w:val="20"/>
                <w:szCs w:val="20"/>
                <w:highlight w:val="yellow"/>
                <w:lang w:eastAsia="hu-HU"/>
              </w:rPr>
              <w:t>4 420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000000" w:fill="FDE9D9"/>
            <w:vAlign w:val="bottom"/>
            <w:hideMark/>
          </w:tcPr>
          <w:p w:rsidR="000B5C1F" w:rsidRPr="00572C5C" w:rsidRDefault="000B5C1F" w:rsidP="00A67DB9">
            <w:pPr>
              <w:spacing w:after="0" w:line="240" w:lineRule="auto"/>
              <w:jc w:val="both"/>
              <w:rPr>
                <w:rFonts w:eastAsia="Times New Roman" w:cs="Calibri"/>
                <w:b/>
                <w:bCs/>
                <w:sz w:val="20"/>
                <w:szCs w:val="20"/>
                <w:lang w:eastAsia="hu-HU"/>
              </w:rPr>
            </w:pPr>
            <w:r w:rsidRPr="00572C5C">
              <w:rPr>
                <w:rFonts w:eastAsia="Times New Roman" w:cs="Calibri"/>
                <w:b/>
                <w:bCs/>
                <w:sz w:val="20"/>
                <w:szCs w:val="20"/>
                <w:lang w:eastAsia="hu-HU"/>
              </w:rPr>
              <w:t xml:space="preserve">Ukrán piac - </w:t>
            </w:r>
            <w:r w:rsidRPr="00572C5C">
              <w:rPr>
                <w:rFonts w:eastAsia="Times New Roman" w:cs="Calibri"/>
                <w:sz w:val="20"/>
                <w:szCs w:val="20"/>
                <w:lang w:eastAsia="hu-HU"/>
              </w:rPr>
              <w:t>PR-ügynökség</w:t>
            </w:r>
          </w:p>
        </w:tc>
        <w:tc>
          <w:tcPr>
            <w:tcW w:w="1249" w:type="pct"/>
            <w:tcBorders>
              <w:top w:val="nil"/>
              <w:left w:val="nil"/>
              <w:bottom w:val="single" w:sz="4" w:space="0" w:color="auto"/>
              <w:right w:val="single" w:sz="4" w:space="0" w:color="auto"/>
            </w:tcBorders>
            <w:shd w:val="clear" w:color="000000" w:fill="FDE9D9"/>
            <w:noWrap/>
            <w:vAlign w:val="bottom"/>
            <w:hideMark/>
          </w:tcPr>
          <w:p w:rsidR="000B5C1F" w:rsidRPr="00207396" w:rsidRDefault="000B5C1F" w:rsidP="00A67DB9">
            <w:pPr>
              <w:spacing w:after="0" w:line="240" w:lineRule="auto"/>
              <w:jc w:val="both"/>
              <w:rPr>
                <w:rFonts w:eastAsia="Times New Roman" w:cs="Calibri"/>
                <w:b/>
                <w:bCs/>
                <w:color w:val="FF0000"/>
                <w:sz w:val="20"/>
                <w:szCs w:val="20"/>
                <w:lang w:eastAsia="hu-HU"/>
              </w:rPr>
            </w:pPr>
            <w:r w:rsidRPr="00207396">
              <w:rPr>
                <w:rFonts w:eastAsia="Times New Roman" w:cs="Calibri"/>
                <w:b/>
                <w:bCs/>
                <w:color w:val="FF0000"/>
                <w:sz w:val="20"/>
                <w:szCs w:val="20"/>
                <w:lang w:eastAsia="hu-HU"/>
              </w:rPr>
              <w:t>3 700 000</w:t>
            </w:r>
          </w:p>
        </w:tc>
        <w:tc>
          <w:tcPr>
            <w:tcW w:w="884" w:type="pct"/>
            <w:tcBorders>
              <w:top w:val="nil"/>
              <w:left w:val="nil"/>
              <w:bottom w:val="single" w:sz="4" w:space="0" w:color="auto"/>
              <w:right w:val="single" w:sz="4" w:space="0" w:color="auto"/>
            </w:tcBorders>
            <w:shd w:val="clear" w:color="000000" w:fill="FDE9D9"/>
            <w:noWrap/>
            <w:vAlign w:val="bottom"/>
            <w:hideMark/>
          </w:tcPr>
          <w:p w:rsidR="000B5C1F" w:rsidRPr="00207396" w:rsidRDefault="000B5C1F" w:rsidP="00A67DB9">
            <w:pPr>
              <w:spacing w:after="0" w:line="240" w:lineRule="auto"/>
              <w:jc w:val="both"/>
              <w:rPr>
                <w:rFonts w:eastAsia="Times New Roman" w:cs="Calibri"/>
                <w:b/>
                <w:bCs/>
                <w:color w:val="FF0000"/>
                <w:sz w:val="20"/>
                <w:szCs w:val="20"/>
                <w:lang w:eastAsia="hu-HU"/>
              </w:rPr>
            </w:pPr>
            <w:r w:rsidRPr="00207396">
              <w:rPr>
                <w:rFonts w:eastAsia="Times New Roman" w:cs="Calibri"/>
                <w:b/>
                <w:bCs/>
                <w:color w:val="FF0000"/>
                <w:sz w:val="20"/>
                <w:szCs w:val="20"/>
                <w:lang w:eastAsia="hu-HU"/>
              </w:rPr>
              <w:t>3 700 000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000000" w:fill="FFFFFF"/>
            <w:vAlign w:val="bottom"/>
            <w:hideMark/>
          </w:tcPr>
          <w:p w:rsidR="000B5C1F" w:rsidRPr="00572C5C" w:rsidRDefault="000B5C1F" w:rsidP="00A67DB9">
            <w:pPr>
              <w:spacing w:after="0" w:line="240" w:lineRule="auto"/>
              <w:jc w:val="both"/>
              <w:rPr>
                <w:rFonts w:eastAsia="Times New Roman" w:cs="Calibri"/>
                <w:sz w:val="20"/>
                <w:szCs w:val="20"/>
                <w:lang w:eastAsia="hu-HU"/>
              </w:rPr>
            </w:pPr>
            <w:r w:rsidRPr="00572C5C">
              <w:rPr>
                <w:rFonts w:eastAsia="Times New Roman" w:cs="Calibri"/>
                <w:sz w:val="20"/>
                <w:szCs w:val="20"/>
                <w:lang w:eastAsia="hu-HU"/>
              </w:rPr>
              <w:t>PPC, Social Media</w:t>
            </w:r>
            <w:r>
              <w:rPr>
                <w:rFonts w:eastAsia="Times New Roman" w:cs="Calibri"/>
                <w:sz w:val="20"/>
                <w:szCs w:val="20"/>
                <w:lang w:eastAsia="hu-HU"/>
              </w:rPr>
              <w:t xml:space="preserve">, </w:t>
            </w:r>
            <w:r w:rsidRPr="00572C5C">
              <w:rPr>
                <w:rFonts w:eastAsia="Times New Roman" w:cs="Calibri"/>
                <w:sz w:val="20"/>
                <w:szCs w:val="20"/>
                <w:lang w:eastAsia="hu-HU"/>
              </w:rPr>
              <w:t>Online PR-ügynökség</w:t>
            </w:r>
            <w:r w:rsidR="00F96CE3">
              <w:rPr>
                <w:rFonts w:eastAsia="Times New Roman" w:cs="Calibri"/>
                <w:sz w:val="20"/>
                <w:szCs w:val="20"/>
                <w:lang w:eastAsia="hu-HU"/>
              </w:rPr>
              <w:t>, ads</w:t>
            </w:r>
          </w:p>
        </w:tc>
        <w:tc>
          <w:tcPr>
            <w:tcW w:w="1249" w:type="pct"/>
            <w:tcBorders>
              <w:top w:val="nil"/>
              <w:left w:val="nil"/>
              <w:bottom w:val="single" w:sz="4" w:space="0" w:color="auto"/>
              <w:right w:val="single" w:sz="4" w:space="0" w:color="auto"/>
            </w:tcBorders>
            <w:shd w:val="clear" w:color="000000" w:fill="FFFFFF"/>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highlight w:val="yellow"/>
                <w:lang w:eastAsia="hu-HU"/>
              </w:rPr>
              <w:t>3 700 000</w:t>
            </w:r>
          </w:p>
        </w:tc>
        <w:tc>
          <w:tcPr>
            <w:tcW w:w="884" w:type="pct"/>
            <w:tcBorders>
              <w:top w:val="nil"/>
              <w:left w:val="nil"/>
              <w:bottom w:val="single" w:sz="4" w:space="0" w:color="auto"/>
              <w:right w:val="single" w:sz="4" w:space="0" w:color="auto"/>
            </w:tcBorders>
            <w:shd w:val="clear" w:color="000000" w:fill="FFFFFF"/>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highlight w:val="yellow"/>
                <w:lang w:eastAsia="hu-HU"/>
              </w:rPr>
              <w:t>3 700 000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000000" w:fill="FDE9D9"/>
            <w:noWrap/>
            <w:vAlign w:val="bottom"/>
            <w:hideMark/>
          </w:tcPr>
          <w:p w:rsidR="000B5C1F" w:rsidRPr="00572C5C" w:rsidRDefault="000B5C1F" w:rsidP="00A67DB9">
            <w:pPr>
              <w:spacing w:after="0" w:line="240" w:lineRule="auto"/>
              <w:jc w:val="both"/>
              <w:rPr>
                <w:rFonts w:eastAsia="Times New Roman" w:cs="Calibri"/>
                <w:b/>
                <w:bCs/>
                <w:sz w:val="20"/>
                <w:szCs w:val="20"/>
                <w:lang w:eastAsia="hu-HU"/>
              </w:rPr>
            </w:pPr>
            <w:r w:rsidRPr="00572C5C">
              <w:rPr>
                <w:rFonts w:eastAsia="Times New Roman" w:cs="Calibri"/>
                <w:b/>
                <w:bCs/>
                <w:sz w:val="20"/>
                <w:szCs w:val="20"/>
                <w:lang w:eastAsia="hu-HU"/>
              </w:rPr>
              <w:t>Egyéb kiadások</w:t>
            </w:r>
          </w:p>
        </w:tc>
        <w:tc>
          <w:tcPr>
            <w:tcW w:w="1249" w:type="pct"/>
            <w:tcBorders>
              <w:top w:val="nil"/>
              <w:left w:val="nil"/>
              <w:bottom w:val="single" w:sz="4" w:space="0" w:color="auto"/>
              <w:right w:val="single" w:sz="4" w:space="0" w:color="auto"/>
            </w:tcBorders>
            <w:shd w:val="clear" w:color="000000" w:fill="FDE9D9"/>
            <w:noWrap/>
            <w:vAlign w:val="bottom"/>
            <w:hideMark/>
          </w:tcPr>
          <w:p w:rsidR="000B5C1F" w:rsidRPr="00207396" w:rsidRDefault="000B5C1F" w:rsidP="00952E6B">
            <w:pPr>
              <w:spacing w:after="0" w:line="240" w:lineRule="auto"/>
              <w:jc w:val="both"/>
              <w:rPr>
                <w:rFonts w:eastAsia="Times New Roman" w:cs="Calibri"/>
                <w:b/>
                <w:bCs/>
                <w:color w:val="FF0000"/>
                <w:sz w:val="20"/>
                <w:szCs w:val="20"/>
                <w:lang w:eastAsia="hu-HU"/>
              </w:rPr>
            </w:pPr>
            <w:r w:rsidRPr="00207396">
              <w:rPr>
                <w:rFonts w:eastAsia="Times New Roman" w:cs="Calibri"/>
                <w:b/>
                <w:bCs/>
                <w:color w:val="FF0000"/>
                <w:sz w:val="20"/>
                <w:szCs w:val="20"/>
                <w:lang w:eastAsia="hu-HU"/>
              </w:rPr>
              <w:t xml:space="preserve">9 </w:t>
            </w:r>
            <w:r w:rsidR="00952E6B">
              <w:rPr>
                <w:rFonts w:eastAsia="Times New Roman" w:cs="Calibri"/>
                <w:b/>
                <w:bCs/>
                <w:color w:val="FF0000"/>
                <w:sz w:val="20"/>
                <w:szCs w:val="20"/>
                <w:lang w:eastAsia="hu-HU"/>
              </w:rPr>
              <w:t>20</w:t>
            </w:r>
            <w:r w:rsidRPr="00207396">
              <w:rPr>
                <w:rFonts w:eastAsia="Times New Roman" w:cs="Calibri"/>
                <w:b/>
                <w:bCs/>
                <w:color w:val="FF0000"/>
                <w:sz w:val="20"/>
                <w:szCs w:val="20"/>
                <w:lang w:eastAsia="hu-HU"/>
              </w:rPr>
              <w:t>0 000</w:t>
            </w:r>
          </w:p>
        </w:tc>
        <w:tc>
          <w:tcPr>
            <w:tcW w:w="884" w:type="pct"/>
            <w:tcBorders>
              <w:top w:val="nil"/>
              <w:left w:val="nil"/>
              <w:bottom w:val="single" w:sz="4" w:space="0" w:color="auto"/>
              <w:right w:val="single" w:sz="4" w:space="0" w:color="auto"/>
            </w:tcBorders>
            <w:shd w:val="clear" w:color="000000" w:fill="FDE9D9"/>
            <w:noWrap/>
            <w:vAlign w:val="bottom"/>
            <w:hideMark/>
          </w:tcPr>
          <w:p w:rsidR="000B5C1F" w:rsidRPr="00207396" w:rsidRDefault="00952E6B" w:rsidP="00952E6B">
            <w:pPr>
              <w:spacing w:after="0" w:line="240" w:lineRule="auto"/>
              <w:jc w:val="both"/>
              <w:rPr>
                <w:rFonts w:eastAsia="Times New Roman" w:cs="Calibri"/>
                <w:b/>
                <w:bCs/>
                <w:color w:val="FF0000"/>
                <w:sz w:val="20"/>
                <w:szCs w:val="20"/>
                <w:lang w:eastAsia="hu-HU"/>
              </w:rPr>
            </w:pPr>
            <w:r>
              <w:rPr>
                <w:rFonts w:eastAsia="Times New Roman" w:cs="Calibri"/>
                <w:b/>
                <w:bCs/>
                <w:color w:val="FF0000"/>
                <w:sz w:val="20"/>
                <w:szCs w:val="20"/>
                <w:lang w:eastAsia="hu-HU"/>
              </w:rPr>
              <w:t>8</w:t>
            </w:r>
            <w:r w:rsidR="000B5C1F" w:rsidRPr="00207396">
              <w:rPr>
                <w:rFonts w:eastAsia="Times New Roman" w:cs="Calibri"/>
                <w:b/>
                <w:bCs/>
                <w:color w:val="FF0000"/>
                <w:sz w:val="20"/>
                <w:szCs w:val="20"/>
                <w:lang w:eastAsia="hu-HU"/>
              </w:rPr>
              <w:t xml:space="preserve"> </w:t>
            </w:r>
            <w:r>
              <w:rPr>
                <w:rFonts w:eastAsia="Times New Roman" w:cs="Calibri"/>
                <w:b/>
                <w:bCs/>
                <w:color w:val="FF0000"/>
                <w:sz w:val="20"/>
                <w:szCs w:val="20"/>
                <w:lang w:eastAsia="hu-HU"/>
              </w:rPr>
              <w:t>30</w:t>
            </w:r>
            <w:r w:rsidR="000B5C1F" w:rsidRPr="00207396">
              <w:rPr>
                <w:rFonts w:eastAsia="Times New Roman" w:cs="Calibri"/>
                <w:b/>
                <w:bCs/>
                <w:color w:val="FF0000"/>
                <w:sz w:val="20"/>
                <w:szCs w:val="20"/>
                <w:lang w:eastAsia="hu-HU"/>
              </w:rPr>
              <w:t>0 000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noWrap/>
            <w:vAlign w:val="bottom"/>
            <w:hideMark/>
          </w:tcPr>
          <w:p w:rsidR="000B5C1F" w:rsidRPr="00572C5C" w:rsidRDefault="000B5C1F" w:rsidP="00A67DB9">
            <w:pPr>
              <w:spacing w:after="0" w:line="240" w:lineRule="auto"/>
              <w:jc w:val="both"/>
              <w:rPr>
                <w:rFonts w:eastAsia="Times New Roman" w:cs="Calibri"/>
                <w:sz w:val="20"/>
                <w:szCs w:val="20"/>
                <w:lang w:eastAsia="hu-HU"/>
              </w:rPr>
            </w:pPr>
            <w:r w:rsidRPr="00572C5C">
              <w:rPr>
                <w:rFonts w:eastAsia="Times New Roman" w:cs="Calibri"/>
                <w:sz w:val="20"/>
                <w:szCs w:val="20"/>
                <w:lang w:eastAsia="hu-HU"/>
              </w:rPr>
              <w:t>Kiadványok, szóróajándékok</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3 500 000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3 000 000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noWrap/>
            <w:vAlign w:val="bottom"/>
            <w:hideMark/>
          </w:tcPr>
          <w:p w:rsidR="000B5C1F" w:rsidRPr="00572C5C" w:rsidRDefault="000B5C1F" w:rsidP="00A67DB9">
            <w:pPr>
              <w:spacing w:after="0" w:line="240" w:lineRule="auto"/>
              <w:jc w:val="both"/>
              <w:rPr>
                <w:rFonts w:eastAsia="Times New Roman" w:cs="Calibri"/>
                <w:sz w:val="20"/>
                <w:szCs w:val="20"/>
                <w:lang w:eastAsia="hu-HU"/>
              </w:rPr>
            </w:pPr>
            <w:r w:rsidRPr="00572C5C">
              <w:rPr>
                <w:rFonts w:eastAsia="Times New Roman" w:cs="Calibri"/>
                <w:sz w:val="20"/>
                <w:szCs w:val="20"/>
                <w:lang w:eastAsia="hu-HU"/>
              </w:rPr>
              <w:t>Fotózás</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700 000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300 000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noWrap/>
            <w:vAlign w:val="bottom"/>
            <w:hideMark/>
          </w:tcPr>
          <w:p w:rsidR="000B5C1F" w:rsidRPr="00572C5C" w:rsidRDefault="000B5C1F" w:rsidP="00A67DB9">
            <w:pPr>
              <w:spacing w:after="0" w:line="240" w:lineRule="auto"/>
              <w:jc w:val="both"/>
              <w:rPr>
                <w:rFonts w:eastAsia="Times New Roman" w:cs="Calibri"/>
                <w:sz w:val="20"/>
                <w:szCs w:val="20"/>
                <w:lang w:eastAsia="hu-HU"/>
              </w:rPr>
            </w:pPr>
            <w:r w:rsidRPr="00572C5C">
              <w:rPr>
                <w:rFonts w:eastAsia="Times New Roman" w:cs="Calibri"/>
                <w:sz w:val="20"/>
                <w:szCs w:val="20"/>
                <w:lang w:eastAsia="hu-HU"/>
              </w:rPr>
              <w:t>Grafikai tervezés összesen</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1 000 000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1 000 000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noWrap/>
            <w:vAlign w:val="bottom"/>
            <w:hideMark/>
          </w:tcPr>
          <w:p w:rsidR="000B5C1F" w:rsidRPr="00572C5C" w:rsidRDefault="000B5C1F" w:rsidP="00A67DB9">
            <w:pPr>
              <w:spacing w:after="0" w:line="240" w:lineRule="auto"/>
              <w:jc w:val="both"/>
              <w:rPr>
                <w:rFonts w:eastAsia="Times New Roman" w:cs="Calibri"/>
                <w:sz w:val="20"/>
                <w:szCs w:val="20"/>
                <w:lang w:eastAsia="hu-HU"/>
              </w:rPr>
            </w:pPr>
            <w:r w:rsidRPr="00572C5C">
              <w:rPr>
                <w:rFonts w:eastAsia="Times New Roman" w:cs="Calibri"/>
                <w:sz w:val="20"/>
                <w:szCs w:val="20"/>
                <w:lang w:eastAsia="hu-HU"/>
              </w:rPr>
              <w:t>Fordítás összesen</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1 000 000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1 000 000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noWrap/>
            <w:vAlign w:val="bottom"/>
            <w:hideMark/>
          </w:tcPr>
          <w:p w:rsidR="000B5C1F" w:rsidRPr="00572C5C" w:rsidRDefault="000B5C1F" w:rsidP="00A67DB9">
            <w:pPr>
              <w:spacing w:after="0" w:line="240" w:lineRule="auto"/>
              <w:jc w:val="both"/>
              <w:rPr>
                <w:rFonts w:eastAsia="Times New Roman" w:cs="Calibri"/>
                <w:sz w:val="20"/>
                <w:szCs w:val="20"/>
                <w:lang w:eastAsia="hu-HU"/>
              </w:rPr>
            </w:pPr>
            <w:r w:rsidRPr="00572C5C">
              <w:rPr>
                <w:rFonts w:eastAsia="Times New Roman" w:cs="Calibri"/>
                <w:sz w:val="20"/>
                <w:szCs w:val="20"/>
                <w:lang w:eastAsia="hu-HU"/>
              </w:rPr>
              <w:t>Filmkészítés, videotartalom-fejlesztés, 1 perces minivideók</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A1106E" w:rsidRDefault="000B5C1F" w:rsidP="00A67DB9">
            <w:pPr>
              <w:spacing w:after="0" w:line="240" w:lineRule="auto"/>
              <w:jc w:val="both"/>
              <w:rPr>
                <w:rFonts w:eastAsia="Times New Roman" w:cs="Calibri"/>
                <w:sz w:val="20"/>
                <w:szCs w:val="20"/>
                <w:lang w:eastAsia="hu-HU"/>
              </w:rPr>
            </w:pPr>
            <w:r w:rsidRPr="00A1106E">
              <w:rPr>
                <w:rFonts w:eastAsia="Times New Roman" w:cs="Calibri"/>
                <w:sz w:val="20"/>
                <w:szCs w:val="20"/>
                <w:lang w:eastAsia="hu-HU"/>
              </w:rPr>
              <w:t>1 000 000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A1106E" w:rsidRDefault="000B5C1F" w:rsidP="00A67DB9">
            <w:pPr>
              <w:spacing w:after="0" w:line="240" w:lineRule="auto"/>
              <w:jc w:val="both"/>
              <w:rPr>
                <w:rFonts w:eastAsia="Times New Roman" w:cs="Calibri"/>
                <w:sz w:val="20"/>
                <w:szCs w:val="20"/>
                <w:lang w:eastAsia="hu-HU"/>
              </w:rPr>
            </w:pPr>
            <w:r w:rsidRPr="00A1106E">
              <w:rPr>
                <w:rFonts w:eastAsia="Times New Roman" w:cs="Calibri"/>
                <w:sz w:val="20"/>
                <w:szCs w:val="20"/>
                <w:lang w:eastAsia="hu-HU"/>
              </w:rPr>
              <w:t>1 000 000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noWrap/>
            <w:vAlign w:val="bottom"/>
            <w:hideMark/>
          </w:tcPr>
          <w:p w:rsidR="000B5C1F" w:rsidRPr="00572C5C" w:rsidRDefault="000B5C1F" w:rsidP="00A67DB9">
            <w:pPr>
              <w:spacing w:after="0" w:line="240" w:lineRule="auto"/>
              <w:jc w:val="both"/>
              <w:rPr>
                <w:rFonts w:eastAsia="Times New Roman" w:cs="Calibri"/>
                <w:sz w:val="20"/>
                <w:szCs w:val="20"/>
                <w:lang w:eastAsia="hu-HU"/>
              </w:rPr>
            </w:pPr>
            <w:r>
              <w:rPr>
                <w:rFonts w:eastAsia="Times New Roman" w:cs="Calibri"/>
                <w:sz w:val="20"/>
                <w:szCs w:val="20"/>
                <w:lang w:eastAsia="hu-HU"/>
              </w:rPr>
              <w:t>Arculattervezés, pozícionálás</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1 500 000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1 500 000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auto" w:fill="auto"/>
            <w:noWrap/>
            <w:vAlign w:val="bottom"/>
            <w:hideMark/>
          </w:tcPr>
          <w:p w:rsidR="000B5C1F" w:rsidRPr="00572C5C" w:rsidRDefault="000B5C1F" w:rsidP="00A67DB9">
            <w:pPr>
              <w:spacing w:after="0" w:line="240" w:lineRule="auto"/>
              <w:jc w:val="both"/>
              <w:rPr>
                <w:rFonts w:eastAsia="Times New Roman" w:cs="Calibri"/>
                <w:sz w:val="20"/>
                <w:szCs w:val="20"/>
                <w:lang w:eastAsia="hu-HU"/>
              </w:rPr>
            </w:pPr>
            <w:r>
              <w:rPr>
                <w:rFonts w:eastAsia="Times New Roman" w:cs="Calibri"/>
                <w:sz w:val="20"/>
                <w:szCs w:val="20"/>
                <w:lang w:eastAsia="hu-HU"/>
              </w:rPr>
              <w:t>Meglévő honlap fejlesztése</w:t>
            </w:r>
          </w:p>
        </w:tc>
        <w:tc>
          <w:tcPr>
            <w:tcW w:w="1249"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500 000</w:t>
            </w:r>
          </w:p>
        </w:tc>
        <w:tc>
          <w:tcPr>
            <w:tcW w:w="884" w:type="pct"/>
            <w:tcBorders>
              <w:top w:val="nil"/>
              <w:left w:val="nil"/>
              <w:bottom w:val="single" w:sz="4" w:space="0" w:color="auto"/>
              <w:right w:val="single" w:sz="4" w:space="0" w:color="auto"/>
            </w:tcBorders>
            <w:shd w:val="clear" w:color="auto" w:fill="auto"/>
            <w:noWrap/>
            <w:vAlign w:val="bottom"/>
            <w:hideMark/>
          </w:tcPr>
          <w:p w:rsidR="000B5C1F" w:rsidRPr="00207396" w:rsidRDefault="000B5C1F" w:rsidP="00A67DB9">
            <w:pPr>
              <w:spacing w:after="0" w:line="240" w:lineRule="auto"/>
              <w:jc w:val="both"/>
              <w:rPr>
                <w:rFonts w:eastAsia="Times New Roman" w:cs="Calibri"/>
                <w:color w:val="FF0000"/>
                <w:sz w:val="20"/>
                <w:szCs w:val="20"/>
                <w:lang w:eastAsia="hu-HU"/>
              </w:rPr>
            </w:pPr>
            <w:r w:rsidRPr="00207396">
              <w:rPr>
                <w:rFonts w:eastAsia="Times New Roman" w:cs="Calibri"/>
                <w:color w:val="FF0000"/>
                <w:sz w:val="20"/>
                <w:szCs w:val="20"/>
                <w:lang w:eastAsia="hu-HU"/>
              </w:rPr>
              <w:t>500 000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000000" w:fill="FDE9D9"/>
            <w:noWrap/>
            <w:vAlign w:val="bottom"/>
            <w:hideMark/>
          </w:tcPr>
          <w:p w:rsidR="000B5C1F" w:rsidRPr="00572C5C" w:rsidRDefault="000B5C1F" w:rsidP="00A67DB9">
            <w:pPr>
              <w:spacing w:after="0" w:line="240" w:lineRule="auto"/>
              <w:jc w:val="both"/>
              <w:rPr>
                <w:rFonts w:eastAsia="Times New Roman" w:cs="Calibri"/>
                <w:b/>
                <w:bCs/>
                <w:sz w:val="20"/>
                <w:szCs w:val="20"/>
                <w:lang w:eastAsia="hu-HU"/>
              </w:rPr>
            </w:pPr>
            <w:r w:rsidRPr="00572C5C">
              <w:rPr>
                <w:rFonts w:eastAsia="Times New Roman" w:cs="Calibri"/>
                <w:b/>
                <w:bCs/>
                <w:sz w:val="20"/>
                <w:szCs w:val="20"/>
                <w:lang w:eastAsia="hu-HU"/>
              </w:rPr>
              <w:t>Tartalék</w:t>
            </w:r>
            <w:r w:rsidR="001E4AC0">
              <w:rPr>
                <w:rFonts w:eastAsia="Times New Roman" w:cs="Calibri"/>
                <w:b/>
                <w:bCs/>
                <w:sz w:val="20"/>
                <w:szCs w:val="20"/>
                <w:lang w:eastAsia="hu-HU"/>
              </w:rPr>
              <w:t>*</w:t>
            </w:r>
          </w:p>
        </w:tc>
        <w:tc>
          <w:tcPr>
            <w:tcW w:w="1249" w:type="pct"/>
            <w:tcBorders>
              <w:top w:val="nil"/>
              <w:left w:val="nil"/>
              <w:bottom w:val="single" w:sz="4" w:space="0" w:color="auto"/>
              <w:right w:val="single" w:sz="4" w:space="0" w:color="auto"/>
            </w:tcBorders>
            <w:shd w:val="clear" w:color="000000" w:fill="FDE9D9"/>
            <w:noWrap/>
            <w:vAlign w:val="bottom"/>
            <w:hideMark/>
          </w:tcPr>
          <w:p w:rsidR="000B5C1F" w:rsidRPr="00207396" w:rsidRDefault="000B5C1F" w:rsidP="00F96CE3">
            <w:pPr>
              <w:spacing w:after="0" w:line="240" w:lineRule="auto"/>
              <w:jc w:val="both"/>
              <w:rPr>
                <w:rFonts w:eastAsia="Times New Roman" w:cs="Calibri"/>
                <w:b/>
                <w:bCs/>
                <w:color w:val="FF0000"/>
                <w:sz w:val="20"/>
                <w:szCs w:val="20"/>
                <w:lang w:eastAsia="hu-HU"/>
              </w:rPr>
            </w:pPr>
            <w:r w:rsidRPr="00207396">
              <w:rPr>
                <w:rFonts w:eastAsia="Times New Roman" w:cs="Calibri"/>
                <w:b/>
                <w:bCs/>
                <w:color w:val="FF0000"/>
                <w:sz w:val="20"/>
                <w:szCs w:val="20"/>
                <w:lang w:eastAsia="hu-HU"/>
              </w:rPr>
              <w:t>1</w:t>
            </w:r>
            <w:r w:rsidR="00F96CE3">
              <w:rPr>
                <w:rFonts w:eastAsia="Times New Roman" w:cs="Calibri"/>
                <w:b/>
                <w:bCs/>
                <w:color w:val="FF0000"/>
                <w:sz w:val="20"/>
                <w:szCs w:val="20"/>
                <w:lang w:eastAsia="hu-HU"/>
              </w:rPr>
              <w:t>6</w:t>
            </w:r>
            <w:r w:rsidRPr="00207396">
              <w:rPr>
                <w:rFonts w:eastAsia="Times New Roman" w:cs="Calibri"/>
                <w:b/>
                <w:bCs/>
                <w:color w:val="FF0000"/>
                <w:sz w:val="20"/>
                <w:szCs w:val="20"/>
                <w:lang w:eastAsia="hu-HU"/>
              </w:rPr>
              <w:t xml:space="preserve"> </w:t>
            </w:r>
            <w:r w:rsidR="00F96CE3">
              <w:rPr>
                <w:rFonts w:eastAsia="Times New Roman" w:cs="Calibri"/>
                <w:b/>
                <w:bCs/>
                <w:color w:val="FF0000"/>
                <w:sz w:val="20"/>
                <w:szCs w:val="20"/>
                <w:lang w:eastAsia="hu-HU"/>
              </w:rPr>
              <w:t>5</w:t>
            </w:r>
            <w:r w:rsidRPr="00207396">
              <w:rPr>
                <w:rFonts w:eastAsia="Times New Roman" w:cs="Calibri"/>
                <w:b/>
                <w:bCs/>
                <w:color w:val="FF0000"/>
                <w:sz w:val="20"/>
                <w:szCs w:val="20"/>
                <w:lang w:eastAsia="hu-HU"/>
              </w:rPr>
              <w:t>00 000</w:t>
            </w:r>
          </w:p>
        </w:tc>
        <w:tc>
          <w:tcPr>
            <w:tcW w:w="884" w:type="pct"/>
            <w:tcBorders>
              <w:top w:val="nil"/>
              <w:left w:val="nil"/>
              <w:bottom w:val="single" w:sz="4" w:space="0" w:color="auto"/>
              <w:right w:val="single" w:sz="4" w:space="0" w:color="auto"/>
            </w:tcBorders>
            <w:shd w:val="clear" w:color="000000" w:fill="FDE9D9"/>
            <w:noWrap/>
            <w:vAlign w:val="bottom"/>
            <w:hideMark/>
          </w:tcPr>
          <w:p w:rsidR="000B5C1F" w:rsidRPr="00207396" w:rsidRDefault="000B5C1F" w:rsidP="00F96CE3">
            <w:pPr>
              <w:spacing w:after="0" w:line="240" w:lineRule="auto"/>
              <w:jc w:val="both"/>
              <w:rPr>
                <w:rFonts w:eastAsia="Times New Roman" w:cs="Calibri"/>
                <w:b/>
                <w:bCs/>
                <w:color w:val="FF0000"/>
                <w:sz w:val="20"/>
                <w:szCs w:val="20"/>
                <w:lang w:eastAsia="hu-HU"/>
              </w:rPr>
            </w:pPr>
            <w:r w:rsidRPr="00207396">
              <w:rPr>
                <w:rFonts w:eastAsia="Times New Roman" w:cs="Calibri"/>
                <w:b/>
                <w:bCs/>
                <w:color w:val="FF0000"/>
                <w:sz w:val="20"/>
                <w:szCs w:val="20"/>
                <w:lang w:eastAsia="hu-HU"/>
              </w:rPr>
              <w:t>1</w:t>
            </w:r>
            <w:r w:rsidR="00F96CE3">
              <w:rPr>
                <w:rFonts w:eastAsia="Times New Roman" w:cs="Calibri"/>
                <w:b/>
                <w:bCs/>
                <w:color w:val="FF0000"/>
                <w:sz w:val="20"/>
                <w:szCs w:val="20"/>
                <w:lang w:eastAsia="hu-HU"/>
              </w:rPr>
              <w:t>5</w:t>
            </w:r>
            <w:r w:rsidRPr="00207396">
              <w:rPr>
                <w:rFonts w:eastAsia="Times New Roman" w:cs="Calibri"/>
                <w:b/>
                <w:bCs/>
                <w:color w:val="FF0000"/>
                <w:sz w:val="20"/>
                <w:szCs w:val="20"/>
                <w:lang w:eastAsia="hu-HU"/>
              </w:rPr>
              <w:t xml:space="preserve"> </w:t>
            </w:r>
            <w:r w:rsidR="00F96CE3">
              <w:rPr>
                <w:rFonts w:eastAsia="Times New Roman" w:cs="Calibri"/>
                <w:b/>
                <w:bCs/>
                <w:color w:val="FF0000"/>
                <w:sz w:val="20"/>
                <w:szCs w:val="20"/>
                <w:lang w:eastAsia="hu-HU"/>
              </w:rPr>
              <w:t>5</w:t>
            </w:r>
            <w:r w:rsidRPr="00207396">
              <w:rPr>
                <w:rFonts w:eastAsia="Times New Roman" w:cs="Calibri"/>
                <w:b/>
                <w:bCs/>
                <w:color w:val="FF0000"/>
                <w:sz w:val="20"/>
                <w:szCs w:val="20"/>
                <w:lang w:eastAsia="hu-HU"/>
              </w:rPr>
              <w:t>00 000</w:t>
            </w:r>
          </w:p>
        </w:tc>
      </w:tr>
      <w:tr w:rsidR="000B5C1F" w:rsidRPr="00572C5C" w:rsidTr="00F5679C">
        <w:trPr>
          <w:trHeight w:val="227"/>
        </w:trPr>
        <w:tc>
          <w:tcPr>
            <w:tcW w:w="2867" w:type="pct"/>
            <w:tcBorders>
              <w:top w:val="nil"/>
              <w:left w:val="single" w:sz="4" w:space="0" w:color="auto"/>
              <w:bottom w:val="single" w:sz="4" w:space="0" w:color="auto"/>
              <w:right w:val="single" w:sz="4" w:space="0" w:color="auto"/>
            </w:tcBorders>
            <w:shd w:val="clear" w:color="000000" w:fill="FDE9D9"/>
            <w:noWrap/>
            <w:vAlign w:val="bottom"/>
            <w:hideMark/>
          </w:tcPr>
          <w:p w:rsidR="000B5C1F" w:rsidRPr="00572C5C" w:rsidRDefault="000B5C1F" w:rsidP="00A67DB9">
            <w:pPr>
              <w:spacing w:after="0" w:line="240" w:lineRule="auto"/>
              <w:jc w:val="both"/>
              <w:rPr>
                <w:rFonts w:eastAsia="Times New Roman" w:cs="Calibri"/>
                <w:b/>
                <w:bCs/>
                <w:sz w:val="20"/>
                <w:szCs w:val="20"/>
                <w:lang w:eastAsia="hu-HU"/>
              </w:rPr>
            </w:pPr>
            <w:r w:rsidRPr="00572C5C">
              <w:rPr>
                <w:rFonts w:eastAsia="Times New Roman" w:cs="Calibri"/>
                <w:b/>
                <w:bCs/>
                <w:sz w:val="20"/>
                <w:szCs w:val="20"/>
                <w:lang w:eastAsia="hu-HU"/>
              </w:rPr>
              <w:t>Marketing költségek mindösszesen</w:t>
            </w:r>
          </w:p>
        </w:tc>
        <w:tc>
          <w:tcPr>
            <w:tcW w:w="1249" w:type="pct"/>
            <w:tcBorders>
              <w:top w:val="nil"/>
              <w:left w:val="nil"/>
              <w:bottom w:val="single" w:sz="4" w:space="0" w:color="auto"/>
              <w:right w:val="single" w:sz="4" w:space="0" w:color="auto"/>
            </w:tcBorders>
            <w:shd w:val="clear" w:color="000000" w:fill="FDE9D9"/>
            <w:noWrap/>
            <w:vAlign w:val="bottom"/>
            <w:hideMark/>
          </w:tcPr>
          <w:p w:rsidR="000B5C1F" w:rsidRPr="00207396" w:rsidRDefault="00F96CE3" w:rsidP="00952E6B">
            <w:pPr>
              <w:spacing w:after="0" w:line="240" w:lineRule="auto"/>
              <w:jc w:val="both"/>
              <w:rPr>
                <w:rFonts w:eastAsia="Times New Roman" w:cs="Calibri"/>
                <w:b/>
                <w:bCs/>
                <w:color w:val="FF0000"/>
                <w:sz w:val="20"/>
                <w:szCs w:val="20"/>
                <w:lang w:eastAsia="hu-HU"/>
              </w:rPr>
            </w:pPr>
            <w:r>
              <w:rPr>
                <w:rFonts w:eastAsia="Times New Roman" w:cs="Calibri"/>
                <w:b/>
                <w:bCs/>
                <w:color w:val="FF0000"/>
                <w:sz w:val="20"/>
                <w:szCs w:val="20"/>
                <w:lang w:eastAsia="hu-HU"/>
              </w:rPr>
              <w:t>10</w:t>
            </w:r>
            <w:r w:rsidR="00952E6B">
              <w:rPr>
                <w:rFonts w:eastAsia="Times New Roman" w:cs="Calibri"/>
                <w:b/>
                <w:bCs/>
                <w:color w:val="FF0000"/>
                <w:sz w:val="20"/>
                <w:szCs w:val="20"/>
                <w:lang w:eastAsia="hu-HU"/>
              </w:rPr>
              <w:t>0</w:t>
            </w:r>
            <w:r w:rsidR="000B5C1F" w:rsidRPr="00207396">
              <w:rPr>
                <w:rFonts w:eastAsia="Times New Roman" w:cs="Calibri"/>
                <w:b/>
                <w:bCs/>
                <w:color w:val="FF0000"/>
                <w:sz w:val="20"/>
                <w:szCs w:val="20"/>
                <w:lang w:eastAsia="hu-HU"/>
              </w:rPr>
              <w:t xml:space="preserve"> </w:t>
            </w:r>
            <w:r w:rsidR="00952E6B">
              <w:rPr>
                <w:rFonts w:eastAsia="Times New Roman" w:cs="Calibri"/>
                <w:b/>
                <w:bCs/>
                <w:color w:val="FF0000"/>
                <w:sz w:val="20"/>
                <w:szCs w:val="20"/>
                <w:lang w:eastAsia="hu-HU"/>
              </w:rPr>
              <w:t>5</w:t>
            </w:r>
            <w:r w:rsidR="00BA6839">
              <w:rPr>
                <w:rFonts w:eastAsia="Times New Roman" w:cs="Calibri"/>
                <w:b/>
                <w:bCs/>
                <w:color w:val="FF0000"/>
                <w:sz w:val="20"/>
                <w:szCs w:val="20"/>
                <w:lang w:eastAsia="hu-HU"/>
              </w:rPr>
              <w:t>0</w:t>
            </w:r>
            <w:r w:rsidR="000B5C1F" w:rsidRPr="00207396">
              <w:rPr>
                <w:rFonts w:eastAsia="Times New Roman" w:cs="Calibri"/>
                <w:b/>
                <w:bCs/>
                <w:color w:val="FF0000"/>
                <w:sz w:val="20"/>
                <w:szCs w:val="20"/>
                <w:lang w:eastAsia="hu-HU"/>
              </w:rPr>
              <w:t>0 000</w:t>
            </w:r>
          </w:p>
        </w:tc>
        <w:tc>
          <w:tcPr>
            <w:tcW w:w="884" w:type="pct"/>
            <w:tcBorders>
              <w:top w:val="nil"/>
              <w:left w:val="nil"/>
              <w:bottom w:val="single" w:sz="4" w:space="0" w:color="auto"/>
              <w:right w:val="single" w:sz="4" w:space="0" w:color="auto"/>
            </w:tcBorders>
            <w:shd w:val="clear" w:color="000000" w:fill="FDE9D9"/>
            <w:noWrap/>
            <w:vAlign w:val="bottom"/>
            <w:hideMark/>
          </w:tcPr>
          <w:p w:rsidR="000B5C1F" w:rsidRPr="00207396" w:rsidRDefault="00F96CE3" w:rsidP="00952E6B">
            <w:pPr>
              <w:spacing w:after="0" w:line="240" w:lineRule="auto"/>
              <w:jc w:val="both"/>
              <w:rPr>
                <w:rFonts w:eastAsia="Times New Roman" w:cs="Calibri"/>
                <w:b/>
                <w:color w:val="FF0000"/>
                <w:sz w:val="20"/>
                <w:szCs w:val="20"/>
                <w:lang w:eastAsia="hu-HU"/>
              </w:rPr>
            </w:pPr>
            <w:r>
              <w:rPr>
                <w:rFonts w:eastAsia="Times New Roman" w:cs="Calibri"/>
                <w:b/>
                <w:color w:val="FF0000"/>
                <w:sz w:val="20"/>
                <w:szCs w:val="20"/>
                <w:lang w:eastAsia="hu-HU"/>
              </w:rPr>
              <w:t>8</w:t>
            </w:r>
            <w:r w:rsidR="00952E6B">
              <w:rPr>
                <w:rFonts w:eastAsia="Times New Roman" w:cs="Calibri"/>
                <w:b/>
                <w:color w:val="FF0000"/>
                <w:sz w:val="20"/>
                <w:szCs w:val="20"/>
                <w:lang w:eastAsia="hu-HU"/>
              </w:rPr>
              <w:t>1</w:t>
            </w:r>
            <w:r w:rsidR="000B5C1F" w:rsidRPr="00207396">
              <w:rPr>
                <w:rFonts w:eastAsia="Times New Roman" w:cs="Calibri"/>
                <w:b/>
                <w:color w:val="FF0000"/>
                <w:sz w:val="20"/>
                <w:szCs w:val="20"/>
                <w:lang w:eastAsia="hu-HU"/>
              </w:rPr>
              <w:t> </w:t>
            </w:r>
            <w:r w:rsidR="00952E6B">
              <w:rPr>
                <w:rFonts w:eastAsia="Times New Roman" w:cs="Calibri"/>
                <w:b/>
                <w:color w:val="FF0000"/>
                <w:sz w:val="20"/>
                <w:szCs w:val="20"/>
                <w:lang w:eastAsia="hu-HU"/>
              </w:rPr>
              <w:t>5</w:t>
            </w:r>
            <w:r w:rsidR="00BA6839">
              <w:rPr>
                <w:rFonts w:eastAsia="Times New Roman" w:cs="Calibri"/>
                <w:b/>
                <w:color w:val="FF0000"/>
                <w:sz w:val="20"/>
                <w:szCs w:val="20"/>
                <w:lang w:eastAsia="hu-HU"/>
              </w:rPr>
              <w:t>0</w:t>
            </w:r>
            <w:r w:rsidR="00E44ED5">
              <w:rPr>
                <w:rFonts w:eastAsia="Times New Roman" w:cs="Calibri"/>
                <w:b/>
                <w:color w:val="FF0000"/>
                <w:sz w:val="20"/>
                <w:szCs w:val="20"/>
                <w:lang w:eastAsia="hu-HU"/>
              </w:rPr>
              <w:t>0</w:t>
            </w:r>
            <w:r w:rsidR="000B5C1F" w:rsidRPr="00207396">
              <w:rPr>
                <w:rFonts w:eastAsia="Times New Roman" w:cs="Calibri"/>
                <w:b/>
                <w:color w:val="FF0000"/>
                <w:sz w:val="20"/>
                <w:szCs w:val="20"/>
                <w:lang w:eastAsia="hu-HU"/>
              </w:rPr>
              <w:t xml:space="preserve"> 000</w:t>
            </w:r>
          </w:p>
        </w:tc>
      </w:tr>
    </w:tbl>
    <w:p w:rsidR="00B250EF" w:rsidRPr="00706A7B" w:rsidRDefault="001E4AC0" w:rsidP="00B250EF">
      <w:pPr>
        <w:spacing w:after="0" w:line="240" w:lineRule="auto"/>
        <w:jc w:val="both"/>
        <w:rPr>
          <w:i/>
          <w:sz w:val="16"/>
          <w:szCs w:val="16"/>
        </w:rPr>
      </w:pPr>
      <w:r w:rsidRPr="00706A7B">
        <w:rPr>
          <w:i/>
          <w:sz w:val="16"/>
          <w:szCs w:val="16"/>
        </w:rPr>
        <w:t>*Tartalék esetében 1</w:t>
      </w:r>
      <w:r w:rsidR="00F96CE3">
        <w:rPr>
          <w:i/>
          <w:sz w:val="16"/>
          <w:szCs w:val="16"/>
        </w:rPr>
        <w:t>5,5</w:t>
      </w:r>
      <w:r w:rsidRPr="00706A7B">
        <w:rPr>
          <w:i/>
          <w:sz w:val="16"/>
          <w:szCs w:val="16"/>
        </w:rPr>
        <w:t>M Ft a Hakone együttműködésből származó bevétel.</w:t>
      </w:r>
    </w:p>
    <w:p w:rsidR="00A67DB9" w:rsidRDefault="00A67DB9" w:rsidP="00A67DB9">
      <w:pPr>
        <w:rPr>
          <w:sz w:val="32"/>
          <w:szCs w:val="32"/>
        </w:rPr>
      </w:pPr>
    </w:p>
    <w:p w:rsidR="00B250EF" w:rsidRPr="00822837" w:rsidRDefault="00A67DB9" w:rsidP="00A67DB9">
      <w:pPr>
        <w:rPr>
          <w:sz w:val="32"/>
          <w:szCs w:val="32"/>
        </w:rPr>
      </w:pPr>
      <w:r>
        <w:rPr>
          <w:sz w:val="32"/>
          <w:szCs w:val="32"/>
        </w:rPr>
        <w:br/>
      </w:r>
      <w:r w:rsidR="00B250EF" w:rsidRPr="00822837">
        <w:rPr>
          <w:sz w:val="32"/>
          <w:szCs w:val="32"/>
        </w:rPr>
        <w:t>III. VEZETŐSÉGI ÉS SZERVEZETI FELÉPÍTÉS</w:t>
      </w:r>
    </w:p>
    <w:p w:rsidR="00B250EF" w:rsidRPr="00822837" w:rsidRDefault="00B250EF" w:rsidP="00A67DB9">
      <w:pPr>
        <w:spacing w:after="0" w:line="240" w:lineRule="auto"/>
        <w:jc w:val="both"/>
        <w:rPr>
          <w:sz w:val="24"/>
          <w:szCs w:val="24"/>
        </w:rPr>
      </w:pPr>
      <w:r w:rsidRPr="00822837">
        <w:rPr>
          <w:sz w:val="24"/>
          <w:szCs w:val="24"/>
        </w:rPr>
        <w:t xml:space="preserve">A Társaság legfőbb szerve a </w:t>
      </w:r>
      <w:r w:rsidRPr="00822837">
        <w:rPr>
          <w:b/>
          <w:sz w:val="24"/>
          <w:szCs w:val="24"/>
        </w:rPr>
        <w:t>taggyűlés</w:t>
      </w:r>
      <w:r w:rsidRPr="00822837">
        <w:rPr>
          <w:sz w:val="24"/>
          <w:szCs w:val="24"/>
        </w:rPr>
        <w:t>, amely dönthet más szerv hatáskörébe tartozó kérdésekben is. A taggyűlést legalább éven</w:t>
      </w:r>
      <w:r w:rsidR="001356D8">
        <w:rPr>
          <w:sz w:val="24"/>
          <w:szCs w:val="24"/>
        </w:rPr>
        <w:t>te két</w:t>
      </w:r>
      <w:r w:rsidRPr="00822837">
        <w:rPr>
          <w:sz w:val="24"/>
          <w:szCs w:val="24"/>
        </w:rPr>
        <w:t xml:space="preserve"> alkalommal össze kell hívni.</w:t>
      </w:r>
    </w:p>
    <w:p w:rsidR="00B250EF" w:rsidRPr="00822837" w:rsidRDefault="00B250EF" w:rsidP="00A67DB9">
      <w:pPr>
        <w:spacing w:after="0" w:line="240" w:lineRule="auto"/>
        <w:jc w:val="both"/>
        <w:rPr>
          <w:sz w:val="24"/>
          <w:szCs w:val="24"/>
        </w:rPr>
      </w:pPr>
      <w:r w:rsidRPr="00822837">
        <w:rPr>
          <w:sz w:val="24"/>
          <w:szCs w:val="24"/>
        </w:rPr>
        <w:t>A taggyűlés egyhangú döntése szükséges az alábbi kérdésekben:</w:t>
      </w:r>
    </w:p>
    <w:p w:rsidR="00B250EF" w:rsidRPr="00822837" w:rsidRDefault="00B250EF" w:rsidP="00A67DB9">
      <w:pPr>
        <w:numPr>
          <w:ilvl w:val="0"/>
          <w:numId w:val="2"/>
        </w:numPr>
        <w:spacing w:after="0" w:line="240" w:lineRule="auto"/>
        <w:ind w:left="709" w:firstLine="0"/>
        <w:jc w:val="both"/>
        <w:rPr>
          <w:sz w:val="24"/>
          <w:szCs w:val="24"/>
        </w:rPr>
      </w:pPr>
      <w:r w:rsidRPr="00822837">
        <w:rPr>
          <w:sz w:val="24"/>
          <w:szCs w:val="24"/>
        </w:rPr>
        <w:t>a tagok társasági szerződésben foglal</w:t>
      </w:r>
      <w:r w:rsidR="001356D8">
        <w:rPr>
          <w:sz w:val="24"/>
          <w:szCs w:val="24"/>
        </w:rPr>
        <w:t>t kötelezettségeinek növelése</w:t>
      </w:r>
      <w:r w:rsidRPr="00822837">
        <w:rPr>
          <w:sz w:val="24"/>
          <w:szCs w:val="24"/>
        </w:rPr>
        <w:t>,</w:t>
      </w:r>
    </w:p>
    <w:p w:rsidR="00B250EF" w:rsidRPr="00822837" w:rsidRDefault="00B250EF" w:rsidP="00A67DB9">
      <w:pPr>
        <w:numPr>
          <w:ilvl w:val="0"/>
          <w:numId w:val="2"/>
        </w:numPr>
        <w:spacing w:after="0" w:line="240" w:lineRule="auto"/>
        <w:ind w:left="709" w:firstLine="0"/>
        <w:jc w:val="both"/>
        <w:rPr>
          <w:sz w:val="24"/>
          <w:szCs w:val="24"/>
        </w:rPr>
      </w:pPr>
      <w:r w:rsidRPr="00822837">
        <w:rPr>
          <w:sz w:val="24"/>
          <w:szCs w:val="24"/>
        </w:rPr>
        <w:t xml:space="preserve">új </w:t>
      </w:r>
      <w:r w:rsidR="001356D8">
        <w:rPr>
          <w:sz w:val="24"/>
          <w:szCs w:val="24"/>
        </w:rPr>
        <w:t>kötelezettségek megállapítása</w:t>
      </w:r>
      <w:r w:rsidRPr="00822837">
        <w:rPr>
          <w:sz w:val="24"/>
          <w:szCs w:val="24"/>
        </w:rPr>
        <w:t>, illetve</w:t>
      </w:r>
    </w:p>
    <w:p w:rsidR="00B250EF" w:rsidRPr="00822837" w:rsidRDefault="00B250EF" w:rsidP="00A67DB9">
      <w:pPr>
        <w:numPr>
          <w:ilvl w:val="0"/>
          <w:numId w:val="2"/>
        </w:numPr>
        <w:spacing w:after="0" w:line="240" w:lineRule="auto"/>
        <w:ind w:left="709" w:firstLine="0"/>
        <w:jc w:val="both"/>
        <w:rPr>
          <w:sz w:val="24"/>
          <w:szCs w:val="24"/>
        </w:rPr>
      </w:pPr>
      <w:r w:rsidRPr="00822837">
        <w:rPr>
          <w:sz w:val="24"/>
          <w:szCs w:val="24"/>
        </w:rPr>
        <w:t>az egyes</w:t>
      </w:r>
      <w:r w:rsidR="001356D8">
        <w:rPr>
          <w:sz w:val="24"/>
          <w:szCs w:val="24"/>
        </w:rPr>
        <w:t xml:space="preserve"> tagok külön jogainak csorbítása</w:t>
      </w:r>
      <w:r w:rsidRPr="00822837">
        <w:rPr>
          <w:sz w:val="24"/>
          <w:szCs w:val="24"/>
        </w:rPr>
        <w:t>.</w:t>
      </w:r>
    </w:p>
    <w:p w:rsidR="00B250EF" w:rsidRPr="00822837" w:rsidRDefault="00B250EF" w:rsidP="00A67DB9">
      <w:pPr>
        <w:spacing w:after="0" w:line="240" w:lineRule="auto"/>
        <w:jc w:val="both"/>
        <w:rPr>
          <w:sz w:val="24"/>
          <w:szCs w:val="24"/>
        </w:rPr>
      </w:pPr>
      <w:r w:rsidRPr="00822837">
        <w:rPr>
          <w:sz w:val="24"/>
          <w:szCs w:val="24"/>
        </w:rPr>
        <w:t>A taggyűlés háromnegyedes szótöbbsége szükséges:</w:t>
      </w:r>
    </w:p>
    <w:p w:rsidR="00B250EF" w:rsidRPr="00822837" w:rsidRDefault="00B250EF" w:rsidP="00A67DB9">
      <w:pPr>
        <w:numPr>
          <w:ilvl w:val="0"/>
          <w:numId w:val="2"/>
        </w:numPr>
        <w:spacing w:after="0" w:line="240" w:lineRule="auto"/>
        <w:ind w:left="1418" w:hanging="709"/>
        <w:jc w:val="both"/>
        <w:rPr>
          <w:sz w:val="24"/>
          <w:szCs w:val="24"/>
        </w:rPr>
      </w:pPr>
      <w:r w:rsidRPr="00822837">
        <w:rPr>
          <w:sz w:val="24"/>
          <w:szCs w:val="24"/>
        </w:rPr>
        <w:t>a társasági szerződés módosításához,</w:t>
      </w:r>
    </w:p>
    <w:p w:rsidR="00B250EF" w:rsidRPr="00822837" w:rsidRDefault="00B250EF" w:rsidP="00A67DB9">
      <w:pPr>
        <w:numPr>
          <w:ilvl w:val="0"/>
          <w:numId w:val="2"/>
        </w:numPr>
        <w:spacing w:after="0" w:line="240" w:lineRule="auto"/>
        <w:ind w:left="1418" w:hanging="709"/>
        <w:jc w:val="both"/>
        <w:rPr>
          <w:sz w:val="24"/>
          <w:szCs w:val="24"/>
        </w:rPr>
      </w:pPr>
      <w:r w:rsidRPr="00822837">
        <w:rPr>
          <w:sz w:val="24"/>
          <w:szCs w:val="24"/>
        </w:rPr>
        <w:t>a felügyelő bizottsági tag, ügyvezető és a könyvvizsgáló kinevezéséhez, visszahívásához,</w:t>
      </w:r>
    </w:p>
    <w:p w:rsidR="00B250EF" w:rsidRPr="00822837" w:rsidRDefault="00B250EF" w:rsidP="00A67DB9">
      <w:pPr>
        <w:numPr>
          <w:ilvl w:val="0"/>
          <w:numId w:val="2"/>
        </w:numPr>
        <w:spacing w:after="0" w:line="240" w:lineRule="auto"/>
        <w:ind w:left="1418" w:hanging="709"/>
        <w:jc w:val="both"/>
        <w:rPr>
          <w:sz w:val="24"/>
          <w:szCs w:val="24"/>
        </w:rPr>
      </w:pPr>
      <w:r w:rsidRPr="00822837">
        <w:rPr>
          <w:sz w:val="24"/>
          <w:szCs w:val="24"/>
        </w:rPr>
        <w:t>a tag kizárásának kezdeményezéséhez,</w:t>
      </w:r>
    </w:p>
    <w:p w:rsidR="00B250EF" w:rsidRPr="00822837" w:rsidRDefault="00B250EF" w:rsidP="00A67DB9">
      <w:pPr>
        <w:numPr>
          <w:ilvl w:val="0"/>
          <w:numId w:val="2"/>
        </w:numPr>
        <w:spacing w:after="0" w:line="240" w:lineRule="auto"/>
        <w:ind w:left="1418" w:hanging="709"/>
        <w:jc w:val="both"/>
        <w:rPr>
          <w:sz w:val="24"/>
          <w:szCs w:val="24"/>
        </w:rPr>
      </w:pPr>
      <w:r w:rsidRPr="00822837">
        <w:rPr>
          <w:sz w:val="24"/>
          <w:szCs w:val="24"/>
        </w:rPr>
        <w:t>a Társaság megszűnésének, átalakulásának, egyesülésének, szétválásának elhatározásához,</w:t>
      </w:r>
    </w:p>
    <w:p w:rsidR="00B250EF" w:rsidRPr="00822837" w:rsidRDefault="00B250EF" w:rsidP="00A67DB9">
      <w:pPr>
        <w:numPr>
          <w:ilvl w:val="0"/>
          <w:numId w:val="2"/>
        </w:numPr>
        <w:spacing w:after="0" w:line="240" w:lineRule="auto"/>
        <w:ind w:left="1418" w:hanging="709"/>
        <w:jc w:val="both"/>
        <w:rPr>
          <w:sz w:val="24"/>
          <w:szCs w:val="24"/>
        </w:rPr>
      </w:pPr>
      <w:r w:rsidRPr="00822837">
        <w:rPr>
          <w:sz w:val="24"/>
          <w:szCs w:val="24"/>
        </w:rPr>
        <w:t>ha a Társaság törzstőkén felüli vagyonából saját üzletrészt vásárol,</w:t>
      </w:r>
    </w:p>
    <w:p w:rsidR="00B250EF" w:rsidRPr="00822837" w:rsidRDefault="00B250EF" w:rsidP="00A67DB9">
      <w:pPr>
        <w:numPr>
          <w:ilvl w:val="0"/>
          <w:numId w:val="2"/>
        </w:numPr>
        <w:spacing w:after="0" w:line="240" w:lineRule="auto"/>
        <w:ind w:left="1418" w:hanging="709"/>
        <w:jc w:val="both"/>
        <w:rPr>
          <w:sz w:val="24"/>
          <w:szCs w:val="24"/>
        </w:rPr>
      </w:pPr>
      <w:r w:rsidRPr="00822837">
        <w:rPr>
          <w:sz w:val="24"/>
          <w:szCs w:val="24"/>
        </w:rPr>
        <w:t>ha a 20</w:t>
      </w:r>
      <w:r>
        <w:rPr>
          <w:sz w:val="24"/>
          <w:szCs w:val="24"/>
        </w:rPr>
        <w:t xml:space="preserve">13. évi </w:t>
      </w:r>
      <w:r w:rsidRPr="00822837">
        <w:rPr>
          <w:sz w:val="24"/>
          <w:szCs w:val="24"/>
        </w:rPr>
        <w:t>V. törvény, vagy a társasági szerződés másként rendelkezik</w:t>
      </w:r>
    </w:p>
    <w:p w:rsidR="00B250EF" w:rsidRPr="00822837" w:rsidRDefault="00B250EF" w:rsidP="00A67DB9">
      <w:pPr>
        <w:numPr>
          <w:ilvl w:val="0"/>
          <w:numId w:val="2"/>
        </w:numPr>
        <w:spacing w:after="0" w:line="240" w:lineRule="auto"/>
        <w:ind w:left="1418" w:hanging="709"/>
        <w:jc w:val="both"/>
        <w:rPr>
          <w:sz w:val="24"/>
          <w:szCs w:val="24"/>
        </w:rPr>
      </w:pPr>
      <w:r w:rsidRPr="00822837">
        <w:rPr>
          <w:sz w:val="24"/>
          <w:szCs w:val="24"/>
        </w:rPr>
        <w:t>részvétel</w:t>
      </w:r>
      <w:r w:rsidR="001356D8">
        <w:rPr>
          <w:sz w:val="24"/>
          <w:szCs w:val="24"/>
        </w:rPr>
        <w:t>hez</w:t>
      </w:r>
      <w:r w:rsidRPr="00822837">
        <w:rPr>
          <w:sz w:val="24"/>
          <w:szCs w:val="24"/>
        </w:rPr>
        <w:t xml:space="preserve"> más vállalkozásokban, társaságokban, bárminemű és bármilyen mértékű hitelfelvétel</w:t>
      </w:r>
      <w:r w:rsidR="001356D8">
        <w:rPr>
          <w:sz w:val="24"/>
          <w:szCs w:val="24"/>
        </w:rPr>
        <w:t>hez</w:t>
      </w:r>
      <w:r w:rsidRPr="00822837">
        <w:rPr>
          <w:sz w:val="24"/>
          <w:szCs w:val="24"/>
        </w:rPr>
        <w:t>,</w:t>
      </w:r>
    </w:p>
    <w:p w:rsidR="00B250EF" w:rsidRPr="00822837" w:rsidRDefault="00B250EF" w:rsidP="00A67DB9">
      <w:pPr>
        <w:numPr>
          <w:ilvl w:val="0"/>
          <w:numId w:val="2"/>
        </w:numPr>
        <w:spacing w:after="0" w:line="240" w:lineRule="auto"/>
        <w:ind w:left="1418" w:hanging="709"/>
        <w:jc w:val="both"/>
        <w:rPr>
          <w:sz w:val="24"/>
          <w:szCs w:val="24"/>
        </w:rPr>
      </w:pPr>
      <w:r w:rsidRPr="00822837">
        <w:rPr>
          <w:sz w:val="24"/>
          <w:szCs w:val="24"/>
        </w:rPr>
        <w:t>a Társaság éves üzleti tervének elfogadásához.</w:t>
      </w:r>
    </w:p>
    <w:p w:rsidR="00B250EF" w:rsidRPr="00822837" w:rsidRDefault="00B250EF" w:rsidP="00A67DB9">
      <w:pPr>
        <w:spacing w:after="0" w:line="240" w:lineRule="auto"/>
        <w:jc w:val="both"/>
        <w:rPr>
          <w:sz w:val="24"/>
          <w:szCs w:val="24"/>
        </w:rPr>
      </w:pPr>
    </w:p>
    <w:p w:rsidR="00B250EF" w:rsidRPr="00822837" w:rsidRDefault="00B250EF" w:rsidP="00A67DB9">
      <w:pPr>
        <w:spacing w:after="0" w:line="240" w:lineRule="auto"/>
        <w:jc w:val="both"/>
        <w:rPr>
          <w:b/>
          <w:sz w:val="24"/>
          <w:szCs w:val="24"/>
        </w:rPr>
      </w:pPr>
      <w:r w:rsidRPr="00822837">
        <w:rPr>
          <w:b/>
          <w:sz w:val="24"/>
          <w:szCs w:val="24"/>
        </w:rPr>
        <w:lastRenderedPageBreak/>
        <w:t>Alkalmazottak</w:t>
      </w:r>
    </w:p>
    <w:p w:rsidR="00F66909" w:rsidRDefault="00F66909" w:rsidP="00A67DB9">
      <w:pPr>
        <w:tabs>
          <w:tab w:val="left" w:pos="709"/>
        </w:tabs>
        <w:spacing w:after="0" w:line="240" w:lineRule="auto"/>
        <w:ind w:left="709"/>
        <w:jc w:val="both"/>
        <w:rPr>
          <w:sz w:val="24"/>
          <w:szCs w:val="24"/>
        </w:rPr>
      </w:pPr>
    </w:p>
    <w:p w:rsidR="00F66909" w:rsidRPr="00207396" w:rsidRDefault="00F66909" w:rsidP="00A67DB9">
      <w:pPr>
        <w:tabs>
          <w:tab w:val="left" w:pos="0"/>
        </w:tabs>
        <w:spacing w:after="0" w:line="240" w:lineRule="auto"/>
        <w:jc w:val="both"/>
        <w:rPr>
          <w:color w:val="FF0000"/>
          <w:sz w:val="24"/>
          <w:szCs w:val="24"/>
        </w:rPr>
      </w:pPr>
      <w:r w:rsidRPr="00207396">
        <w:rPr>
          <w:color w:val="FF0000"/>
          <w:sz w:val="24"/>
          <w:szCs w:val="24"/>
        </w:rPr>
        <w:t xml:space="preserve">A hatékonyabb szervezeti felépítés érdekében a Hévízi TDM Egyesület alkalmazottait és plusz 1 főt a Hévízi Turisztikai Nonprofit Kft. alkalmaz 2020.05.01-től </w:t>
      </w:r>
      <w:r w:rsidR="00207396" w:rsidRPr="00207396">
        <w:rPr>
          <w:color w:val="FF0000"/>
          <w:sz w:val="24"/>
          <w:szCs w:val="24"/>
        </w:rPr>
        <w:t>a</w:t>
      </w:r>
      <w:r w:rsidRPr="00207396">
        <w:rPr>
          <w:color w:val="FF0000"/>
          <w:sz w:val="24"/>
          <w:szCs w:val="24"/>
        </w:rPr>
        <w:t>z ehhez szükséges</w:t>
      </w:r>
      <w:r w:rsidR="00207396" w:rsidRPr="00207396">
        <w:rPr>
          <w:color w:val="FF0000"/>
          <w:sz w:val="24"/>
          <w:szCs w:val="24"/>
        </w:rPr>
        <w:t xml:space="preserve"> források egyesületi átadásával 2020. évre vonatkozóan.</w:t>
      </w:r>
    </w:p>
    <w:p w:rsidR="00F66909" w:rsidRDefault="00F66909" w:rsidP="00A67DB9">
      <w:pPr>
        <w:tabs>
          <w:tab w:val="left" w:pos="0"/>
        </w:tabs>
        <w:spacing w:after="0" w:line="240" w:lineRule="auto"/>
        <w:jc w:val="both"/>
        <w:rPr>
          <w:sz w:val="24"/>
          <w:szCs w:val="24"/>
        </w:rPr>
      </w:pPr>
    </w:p>
    <w:p w:rsidR="00B250EF" w:rsidRPr="00822837" w:rsidRDefault="00B250EF" w:rsidP="00A67DB9">
      <w:pPr>
        <w:tabs>
          <w:tab w:val="left" w:pos="0"/>
        </w:tabs>
        <w:spacing w:after="0" w:line="240" w:lineRule="auto"/>
        <w:jc w:val="both"/>
        <w:rPr>
          <w:sz w:val="24"/>
          <w:szCs w:val="24"/>
        </w:rPr>
      </w:pPr>
      <w:r w:rsidRPr="00822837">
        <w:rPr>
          <w:sz w:val="24"/>
          <w:szCs w:val="24"/>
        </w:rPr>
        <w:t>Ügyvezető</w:t>
      </w:r>
    </w:p>
    <w:p w:rsidR="00B250EF" w:rsidRPr="00822837" w:rsidRDefault="00B250EF" w:rsidP="00A67DB9">
      <w:pPr>
        <w:spacing w:after="0" w:line="240" w:lineRule="auto"/>
        <w:jc w:val="both"/>
        <w:rPr>
          <w:sz w:val="24"/>
          <w:szCs w:val="24"/>
        </w:rPr>
      </w:pPr>
      <w:r w:rsidRPr="00822837">
        <w:rPr>
          <w:sz w:val="24"/>
          <w:szCs w:val="24"/>
        </w:rPr>
        <w:t>A Társaság ügyeinek intézését és képviseletét az ügyvezető látja el. Az ügyvezető egyedül és önállóan képviseli a Társaságot.</w:t>
      </w:r>
    </w:p>
    <w:p w:rsidR="00B250EF" w:rsidRPr="00822837" w:rsidRDefault="00B250EF" w:rsidP="00A67DB9">
      <w:pPr>
        <w:spacing w:after="0" w:line="240" w:lineRule="auto"/>
        <w:jc w:val="both"/>
        <w:rPr>
          <w:sz w:val="24"/>
          <w:szCs w:val="24"/>
        </w:rPr>
      </w:pPr>
      <w:r w:rsidRPr="00822837">
        <w:rPr>
          <w:sz w:val="24"/>
          <w:szCs w:val="24"/>
        </w:rPr>
        <w:t>Az ügyvezető feladatai:</w:t>
      </w:r>
    </w:p>
    <w:p w:rsidR="00B250EF" w:rsidRPr="00822837" w:rsidRDefault="00B250EF" w:rsidP="00A67DB9">
      <w:pPr>
        <w:numPr>
          <w:ilvl w:val="0"/>
          <w:numId w:val="2"/>
        </w:numPr>
        <w:spacing w:after="0" w:line="240" w:lineRule="auto"/>
        <w:ind w:left="1418" w:hanging="709"/>
        <w:jc w:val="both"/>
        <w:rPr>
          <w:sz w:val="24"/>
          <w:szCs w:val="24"/>
        </w:rPr>
      </w:pPr>
      <w:r w:rsidRPr="00822837">
        <w:rPr>
          <w:sz w:val="24"/>
          <w:szCs w:val="24"/>
        </w:rPr>
        <w:t>a Társaság munkaszervezetének a taggyűlés döntésének megfelelő kialakítása és irányítása,</w:t>
      </w:r>
    </w:p>
    <w:p w:rsidR="00B250EF" w:rsidRPr="00822837" w:rsidRDefault="00B250EF" w:rsidP="00A67DB9">
      <w:pPr>
        <w:numPr>
          <w:ilvl w:val="0"/>
          <w:numId w:val="2"/>
        </w:numPr>
        <w:spacing w:after="0" w:line="240" w:lineRule="auto"/>
        <w:ind w:left="1418" w:hanging="709"/>
        <w:jc w:val="both"/>
        <w:rPr>
          <w:sz w:val="24"/>
          <w:szCs w:val="24"/>
        </w:rPr>
      </w:pPr>
      <w:r w:rsidRPr="00822837">
        <w:rPr>
          <w:sz w:val="24"/>
          <w:szCs w:val="24"/>
        </w:rPr>
        <w:t>a munkáltatói jogok gyakorlása a Társaság munkavállalói felett,</w:t>
      </w:r>
    </w:p>
    <w:p w:rsidR="00B250EF" w:rsidRPr="00822837" w:rsidRDefault="00B250EF" w:rsidP="00A67DB9">
      <w:pPr>
        <w:numPr>
          <w:ilvl w:val="0"/>
          <w:numId w:val="2"/>
        </w:numPr>
        <w:spacing w:after="0" w:line="240" w:lineRule="auto"/>
        <w:ind w:left="1418" w:hanging="709"/>
        <w:jc w:val="both"/>
        <w:rPr>
          <w:sz w:val="24"/>
          <w:szCs w:val="24"/>
        </w:rPr>
      </w:pPr>
      <w:r w:rsidRPr="00822837">
        <w:rPr>
          <w:sz w:val="24"/>
          <w:szCs w:val="24"/>
        </w:rPr>
        <w:t>a Társaság képviselete hatóságok előtt és harmadik személyekkel szemben,</w:t>
      </w:r>
    </w:p>
    <w:p w:rsidR="00B250EF" w:rsidRPr="00822837" w:rsidRDefault="00B250EF" w:rsidP="00A67DB9">
      <w:pPr>
        <w:numPr>
          <w:ilvl w:val="0"/>
          <w:numId w:val="2"/>
        </w:numPr>
        <w:spacing w:after="0" w:line="240" w:lineRule="auto"/>
        <w:ind w:left="1418" w:hanging="709"/>
        <w:jc w:val="both"/>
        <w:rPr>
          <w:sz w:val="24"/>
          <w:szCs w:val="24"/>
        </w:rPr>
      </w:pPr>
      <w:r w:rsidRPr="00822837">
        <w:rPr>
          <w:sz w:val="24"/>
          <w:szCs w:val="24"/>
        </w:rPr>
        <w:t>a mérleg és a vagyonkimutatás, továbbá a tevékenységi körök szerint készített ügyviteli és bizonylati rend taggyűlés számára történő előterjesztése,</w:t>
      </w:r>
    </w:p>
    <w:p w:rsidR="00B250EF" w:rsidRPr="00822837" w:rsidRDefault="00B250EF" w:rsidP="00A67DB9">
      <w:pPr>
        <w:numPr>
          <w:ilvl w:val="0"/>
          <w:numId w:val="2"/>
        </w:numPr>
        <w:spacing w:after="0" w:line="240" w:lineRule="auto"/>
        <w:ind w:left="1418" w:hanging="709"/>
        <w:jc w:val="both"/>
        <w:rPr>
          <w:sz w:val="24"/>
          <w:szCs w:val="24"/>
        </w:rPr>
      </w:pPr>
      <w:r w:rsidRPr="00822837">
        <w:rPr>
          <w:sz w:val="24"/>
          <w:szCs w:val="24"/>
        </w:rPr>
        <w:t>a Határozatok Könyvének, a Társaság üzleti könyveinek szabályszerű vezetése,</w:t>
      </w:r>
    </w:p>
    <w:p w:rsidR="00B250EF" w:rsidRPr="00822837" w:rsidRDefault="00B250EF" w:rsidP="00A67DB9">
      <w:pPr>
        <w:numPr>
          <w:ilvl w:val="0"/>
          <w:numId w:val="2"/>
        </w:numPr>
        <w:spacing w:after="0" w:line="240" w:lineRule="auto"/>
        <w:ind w:left="1418" w:hanging="709"/>
        <w:jc w:val="both"/>
        <w:rPr>
          <w:sz w:val="24"/>
          <w:szCs w:val="24"/>
        </w:rPr>
      </w:pPr>
      <w:r w:rsidRPr="00822837">
        <w:rPr>
          <w:sz w:val="24"/>
          <w:szCs w:val="24"/>
        </w:rPr>
        <w:t>a Társaság éves munkaprogramjának elkészítése,</w:t>
      </w:r>
    </w:p>
    <w:p w:rsidR="00B250EF" w:rsidRPr="00822837" w:rsidRDefault="00B250EF" w:rsidP="00A67DB9">
      <w:pPr>
        <w:numPr>
          <w:ilvl w:val="0"/>
          <w:numId w:val="2"/>
        </w:numPr>
        <w:spacing w:after="0" w:line="240" w:lineRule="auto"/>
        <w:ind w:left="1418" w:hanging="709"/>
        <w:jc w:val="both"/>
        <w:rPr>
          <w:sz w:val="24"/>
          <w:szCs w:val="24"/>
        </w:rPr>
      </w:pPr>
      <w:r w:rsidRPr="00822837">
        <w:rPr>
          <w:sz w:val="24"/>
          <w:szCs w:val="24"/>
        </w:rPr>
        <w:t>az elfogadott éves munkatervből eredő munkafeladatok meghatározása,</w:t>
      </w:r>
    </w:p>
    <w:p w:rsidR="00B250EF" w:rsidRPr="00822837" w:rsidRDefault="00B250EF" w:rsidP="00A67DB9">
      <w:pPr>
        <w:numPr>
          <w:ilvl w:val="0"/>
          <w:numId w:val="2"/>
        </w:numPr>
        <w:spacing w:after="0" w:line="240" w:lineRule="auto"/>
        <w:ind w:left="1418" w:hanging="709"/>
        <w:jc w:val="both"/>
        <w:rPr>
          <w:sz w:val="24"/>
          <w:szCs w:val="24"/>
        </w:rPr>
      </w:pPr>
      <w:r w:rsidRPr="00822837">
        <w:rPr>
          <w:sz w:val="24"/>
          <w:szCs w:val="24"/>
        </w:rPr>
        <w:t>az alapító okiratban, a 20</w:t>
      </w:r>
      <w:r>
        <w:rPr>
          <w:sz w:val="24"/>
          <w:szCs w:val="24"/>
        </w:rPr>
        <w:t xml:space="preserve">13. évi </w:t>
      </w:r>
      <w:r w:rsidRPr="00822837">
        <w:rPr>
          <w:sz w:val="24"/>
          <w:szCs w:val="24"/>
        </w:rPr>
        <w:t>V. törvényben és a munkaszerződésben meghatározott egyéb feladatok.</w:t>
      </w:r>
    </w:p>
    <w:p w:rsidR="00F66909" w:rsidRPr="00822837" w:rsidRDefault="00F66909" w:rsidP="00A67DB9">
      <w:pPr>
        <w:spacing w:after="0" w:line="240" w:lineRule="auto"/>
        <w:ind w:left="709"/>
        <w:jc w:val="both"/>
        <w:rPr>
          <w:sz w:val="24"/>
          <w:szCs w:val="24"/>
        </w:rPr>
      </w:pPr>
    </w:p>
    <w:p w:rsidR="00B250EF" w:rsidRPr="00822837" w:rsidRDefault="00B250EF" w:rsidP="00A67DB9">
      <w:pPr>
        <w:spacing w:after="0" w:line="240" w:lineRule="auto"/>
        <w:jc w:val="both"/>
        <w:rPr>
          <w:sz w:val="24"/>
          <w:szCs w:val="24"/>
        </w:rPr>
      </w:pPr>
      <w:r w:rsidRPr="00822837">
        <w:rPr>
          <w:sz w:val="24"/>
          <w:szCs w:val="24"/>
        </w:rPr>
        <w:t>Marketing munkatárs - az ügyvezető utasításai szerint látja el a munkáját.</w:t>
      </w:r>
    </w:p>
    <w:p w:rsidR="00B250EF" w:rsidRDefault="00B250EF" w:rsidP="00A67DB9">
      <w:pPr>
        <w:spacing w:after="0" w:line="240" w:lineRule="auto"/>
        <w:jc w:val="both"/>
        <w:rPr>
          <w:sz w:val="24"/>
          <w:szCs w:val="24"/>
        </w:rPr>
      </w:pPr>
      <w:r>
        <w:rPr>
          <w:sz w:val="24"/>
          <w:szCs w:val="24"/>
        </w:rPr>
        <w:t>Online munkatárs</w:t>
      </w:r>
      <w:r w:rsidRPr="00822837">
        <w:rPr>
          <w:sz w:val="24"/>
          <w:szCs w:val="24"/>
        </w:rPr>
        <w:t xml:space="preserve"> –az ügyvezető utasításai szerint látja el a munkáját.</w:t>
      </w:r>
    </w:p>
    <w:p w:rsidR="00F66909" w:rsidRPr="00207396" w:rsidRDefault="00F66909" w:rsidP="00A67DB9">
      <w:pPr>
        <w:spacing w:after="0" w:line="240" w:lineRule="auto"/>
        <w:jc w:val="both"/>
        <w:rPr>
          <w:color w:val="FF0000"/>
          <w:sz w:val="24"/>
          <w:szCs w:val="24"/>
        </w:rPr>
      </w:pPr>
      <w:r w:rsidRPr="00207396">
        <w:rPr>
          <w:color w:val="FF0000"/>
          <w:sz w:val="24"/>
          <w:szCs w:val="24"/>
        </w:rPr>
        <w:t xml:space="preserve">Programszervező – </w:t>
      </w:r>
      <w:r w:rsidRPr="00A67DB9">
        <w:rPr>
          <w:color w:val="FF0000"/>
          <w:sz w:val="24"/>
          <w:szCs w:val="24"/>
        </w:rPr>
        <w:t>munkaszervezetvezető-helyettes</w:t>
      </w:r>
      <w:r w:rsidRPr="00207396">
        <w:rPr>
          <w:color w:val="FF0000"/>
          <w:sz w:val="24"/>
          <w:szCs w:val="24"/>
        </w:rPr>
        <w:t xml:space="preserve"> – </w:t>
      </w:r>
      <w:r w:rsidR="00D834FC" w:rsidRPr="00207396">
        <w:rPr>
          <w:color w:val="FF0000"/>
          <w:sz w:val="24"/>
          <w:szCs w:val="24"/>
        </w:rPr>
        <w:t>az ügyvezető utasításai szerint látja el a munkáját.</w:t>
      </w:r>
    </w:p>
    <w:p w:rsidR="00F66909" w:rsidRPr="00207396" w:rsidRDefault="00F66909" w:rsidP="00A67DB9">
      <w:pPr>
        <w:spacing w:after="0" w:line="240" w:lineRule="auto"/>
        <w:jc w:val="both"/>
        <w:rPr>
          <w:color w:val="FF0000"/>
          <w:sz w:val="24"/>
          <w:szCs w:val="24"/>
        </w:rPr>
      </w:pPr>
      <w:r w:rsidRPr="00207396">
        <w:rPr>
          <w:color w:val="FF0000"/>
          <w:sz w:val="24"/>
          <w:szCs w:val="24"/>
        </w:rPr>
        <w:t>Irodavezető (</w:t>
      </w:r>
      <w:r w:rsidR="00D834FC" w:rsidRPr="00207396">
        <w:rPr>
          <w:color w:val="FF0000"/>
          <w:sz w:val="24"/>
          <w:szCs w:val="24"/>
        </w:rPr>
        <w:t xml:space="preserve">napi </w:t>
      </w:r>
      <w:r w:rsidRPr="00207396">
        <w:rPr>
          <w:color w:val="FF0000"/>
          <w:sz w:val="24"/>
          <w:szCs w:val="24"/>
        </w:rPr>
        <w:t xml:space="preserve">4 órában) – </w:t>
      </w:r>
      <w:r w:rsidR="00D834FC" w:rsidRPr="00207396">
        <w:rPr>
          <w:color w:val="FF0000"/>
          <w:sz w:val="24"/>
          <w:szCs w:val="24"/>
        </w:rPr>
        <w:t>az ügyvezető utasításai szerint látja el a munkáját.</w:t>
      </w:r>
    </w:p>
    <w:p w:rsidR="00F66909" w:rsidRPr="00207396" w:rsidRDefault="00D834FC" w:rsidP="00A67DB9">
      <w:pPr>
        <w:spacing w:after="0" w:line="240" w:lineRule="auto"/>
        <w:jc w:val="both"/>
        <w:rPr>
          <w:color w:val="FF0000"/>
          <w:sz w:val="24"/>
          <w:szCs w:val="24"/>
        </w:rPr>
      </w:pPr>
      <w:r w:rsidRPr="00207396">
        <w:rPr>
          <w:color w:val="FF0000"/>
          <w:sz w:val="24"/>
          <w:szCs w:val="24"/>
        </w:rPr>
        <w:t>Informátor (2 fő) - az ügyvezető utasításai szerint látja el a munkáját.</w:t>
      </w:r>
    </w:p>
    <w:p w:rsidR="00B250EF" w:rsidRPr="00822837" w:rsidRDefault="00B250EF" w:rsidP="00B250EF">
      <w:pPr>
        <w:spacing w:after="0" w:line="240" w:lineRule="auto"/>
        <w:jc w:val="both"/>
        <w:rPr>
          <w:sz w:val="24"/>
          <w:szCs w:val="24"/>
        </w:rPr>
      </w:pPr>
    </w:p>
    <w:p w:rsidR="00B250EF" w:rsidRPr="00822837" w:rsidRDefault="00B250EF" w:rsidP="00A67DB9">
      <w:pPr>
        <w:spacing w:after="0" w:line="240" w:lineRule="auto"/>
        <w:jc w:val="both"/>
        <w:rPr>
          <w:b/>
          <w:sz w:val="24"/>
          <w:szCs w:val="24"/>
        </w:rPr>
      </w:pPr>
      <w:r w:rsidRPr="00822837">
        <w:rPr>
          <w:b/>
          <w:sz w:val="24"/>
          <w:szCs w:val="24"/>
        </w:rPr>
        <w:t>Belső tanácsadó testület</w:t>
      </w:r>
    </w:p>
    <w:p w:rsidR="00B250EF" w:rsidRDefault="00B250EF" w:rsidP="00B250EF">
      <w:pPr>
        <w:spacing w:after="0" w:line="240" w:lineRule="auto"/>
        <w:jc w:val="both"/>
        <w:rPr>
          <w:sz w:val="24"/>
          <w:szCs w:val="24"/>
        </w:rPr>
      </w:pPr>
      <w:r w:rsidRPr="00822837">
        <w:rPr>
          <w:sz w:val="24"/>
          <w:szCs w:val="24"/>
        </w:rPr>
        <w:t>A Társaságnál 5 tagú felügyelő bizottság működik. A felügyelő bizottság határozatait egyszerű szótöbbséggel hozza.</w:t>
      </w:r>
    </w:p>
    <w:p w:rsidR="00B250EF" w:rsidRPr="00822837" w:rsidRDefault="00B250EF" w:rsidP="00B250EF">
      <w:pPr>
        <w:spacing w:after="0" w:line="240" w:lineRule="auto"/>
        <w:jc w:val="both"/>
        <w:rPr>
          <w:sz w:val="24"/>
          <w:szCs w:val="24"/>
        </w:rPr>
      </w:pPr>
    </w:p>
    <w:p w:rsidR="00B250EF" w:rsidRPr="00822837" w:rsidRDefault="00B250EF" w:rsidP="00B250EF">
      <w:pPr>
        <w:spacing w:after="0" w:line="240" w:lineRule="auto"/>
        <w:jc w:val="both"/>
        <w:rPr>
          <w:sz w:val="24"/>
          <w:szCs w:val="24"/>
        </w:rPr>
      </w:pPr>
      <w:r w:rsidRPr="00822837">
        <w:rPr>
          <w:sz w:val="24"/>
          <w:szCs w:val="24"/>
        </w:rPr>
        <w:t>A felügyelő bizottság feladatai:</w:t>
      </w:r>
    </w:p>
    <w:p w:rsidR="00B250EF" w:rsidRPr="00822837" w:rsidRDefault="00B250EF" w:rsidP="00B250EF">
      <w:pPr>
        <w:numPr>
          <w:ilvl w:val="0"/>
          <w:numId w:val="2"/>
        </w:numPr>
        <w:spacing w:after="0" w:line="240" w:lineRule="auto"/>
        <w:ind w:left="1418" w:hanging="709"/>
        <w:jc w:val="both"/>
        <w:rPr>
          <w:b/>
          <w:sz w:val="24"/>
          <w:szCs w:val="24"/>
          <w:u w:val="single"/>
        </w:rPr>
      </w:pPr>
      <w:r w:rsidRPr="00822837">
        <w:rPr>
          <w:sz w:val="24"/>
          <w:szCs w:val="24"/>
        </w:rPr>
        <w:t xml:space="preserve">a Társaság ügyvezetésének ellenőrzése, </w:t>
      </w:r>
    </w:p>
    <w:p w:rsidR="00B250EF" w:rsidRPr="00822837" w:rsidRDefault="00B250EF" w:rsidP="00B250EF">
      <w:pPr>
        <w:numPr>
          <w:ilvl w:val="0"/>
          <w:numId w:val="2"/>
        </w:numPr>
        <w:spacing w:after="0" w:line="240" w:lineRule="auto"/>
        <w:ind w:left="1418" w:hanging="709"/>
        <w:jc w:val="both"/>
        <w:rPr>
          <w:b/>
          <w:sz w:val="24"/>
          <w:szCs w:val="24"/>
          <w:u w:val="single"/>
        </w:rPr>
      </w:pPr>
      <w:r w:rsidRPr="00822837">
        <w:rPr>
          <w:sz w:val="24"/>
          <w:szCs w:val="24"/>
        </w:rPr>
        <w:t>megvizsgálni minden fontosabb jelentést és mérleget, e vizsgálat eredményét a felügyelő bizottság elnöke a taggyűléssel ismerteti,</w:t>
      </w:r>
    </w:p>
    <w:p w:rsidR="00B250EF" w:rsidRPr="00822837" w:rsidRDefault="00B250EF" w:rsidP="00B250EF">
      <w:pPr>
        <w:numPr>
          <w:ilvl w:val="0"/>
          <w:numId w:val="2"/>
        </w:numPr>
        <w:spacing w:after="0" w:line="240" w:lineRule="auto"/>
        <w:ind w:left="1418" w:hanging="709"/>
        <w:jc w:val="both"/>
        <w:rPr>
          <w:b/>
          <w:sz w:val="24"/>
          <w:szCs w:val="24"/>
          <w:u w:val="single"/>
        </w:rPr>
      </w:pPr>
      <w:r w:rsidRPr="00822837">
        <w:rPr>
          <w:sz w:val="24"/>
          <w:szCs w:val="24"/>
        </w:rPr>
        <w:t>írásbeli jelentés készítése a számvitelről szóló 2000. évi C. törvény szerinti beszámolóról és az adózott eredmény felhasználásáról a taggyűlés részére,</w:t>
      </w:r>
    </w:p>
    <w:p w:rsidR="00B250EF" w:rsidRPr="00822837" w:rsidRDefault="00B250EF" w:rsidP="00B250EF">
      <w:pPr>
        <w:numPr>
          <w:ilvl w:val="0"/>
          <w:numId w:val="2"/>
        </w:numPr>
        <w:spacing w:after="0" w:line="240" w:lineRule="auto"/>
        <w:ind w:left="1418" w:hanging="709"/>
        <w:jc w:val="both"/>
        <w:rPr>
          <w:b/>
          <w:sz w:val="24"/>
          <w:szCs w:val="24"/>
          <w:u w:val="single"/>
        </w:rPr>
      </w:pPr>
      <w:r w:rsidRPr="00822837">
        <w:rPr>
          <w:sz w:val="24"/>
          <w:szCs w:val="24"/>
        </w:rPr>
        <w:t>jelzés a taggyűlésnek, ha a közhasznú tevékenység folytatásának feltételeiről kötött szerződés megszegését észleli,</w:t>
      </w:r>
    </w:p>
    <w:p w:rsidR="00B250EF" w:rsidRPr="00822837" w:rsidRDefault="00B250EF" w:rsidP="00B250EF">
      <w:pPr>
        <w:numPr>
          <w:ilvl w:val="0"/>
          <w:numId w:val="2"/>
        </w:numPr>
        <w:spacing w:after="0" w:line="240" w:lineRule="auto"/>
        <w:ind w:left="1418" w:hanging="709"/>
        <w:jc w:val="both"/>
        <w:rPr>
          <w:b/>
          <w:sz w:val="24"/>
          <w:szCs w:val="24"/>
          <w:u w:val="single"/>
        </w:rPr>
      </w:pPr>
      <w:r w:rsidRPr="00822837">
        <w:rPr>
          <w:sz w:val="24"/>
          <w:szCs w:val="24"/>
        </w:rPr>
        <w:t>a kijelölt tag képviseli a Társaságot az ügyvezetővel kötendő szerződések esetén, valamint az ügyvezető ellen indítandó perekben,</w:t>
      </w:r>
    </w:p>
    <w:p w:rsidR="00B250EF" w:rsidRPr="00822837" w:rsidRDefault="00B250EF" w:rsidP="00B250EF">
      <w:pPr>
        <w:numPr>
          <w:ilvl w:val="0"/>
          <w:numId w:val="2"/>
        </w:numPr>
        <w:spacing w:after="0" w:line="240" w:lineRule="auto"/>
        <w:ind w:left="1418" w:hanging="709"/>
        <w:jc w:val="both"/>
        <w:rPr>
          <w:b/>
          <w:sz w:val="24"/>
          <w:szCs w:val="24"/>
          <w:u w:val="single"/>
        </w:rPr>
      </w:pPr>
      <w:r w:rsidRPr="00822837">
        <w:rPr>
          <w:sz w:val="24"/>
          <w:szCs w:val="24"/>
        </w:rPr>
        <w:t xml:space="preserve">a felügyelő bizottság köteles a taggyűlést összehívni, a döntést kezdeményezni, ha azt az ügyvezető elmulasztja, továbbá ha a közhasznú tevékenység folytatásának </w:t>
      </w:r>
      <w:r w:rsidRPr="00822837">
        <w:rPr>
          <w:sz w:val="24"/>
          <w:szCs w:val="24"/>
        </w:rPr>
        <w:lastRenderedPageBreak/>
        <w:t>feltételeiről kötött szerződés megszegését észleli, vagy a Társaság érdeke azt megkívánja,</w:t>
      </w:r>
    </w:p>
    <w:p w:rsidR="00B250EF" w:rsidRPr="00A15169" w:rsidRDefault="00B250EF" w:rsidP="00B250EF">
      <w:pPr>
        <w:numPr>
          <w:ilvl w:val="0"/>
          <w:numId w:val="2"/>
        </w:numPr>
        <w:spacing w:after="0" w:line="240" w:lineRule="auto"/>
        <w:ind w:left="1418" w:hanging="709"/>
        <w:jc w:val="both"/>
        <w:rPr>
          <w:b/>
          <w:sz w:val="24"/>
          <w:szCs w:val="24"/>
          <w:u w:val="single"/>
        </w:rPr>
      </w:pPr>
      <w:r w:rsidRPr="00822837">
        <w:rPr>
          <w:sz w:val="24"/>
          <w:szCs w:val="24"/>
        </w:rPr>
        <w:t>a felügyelő bizottság az ügyrendjét maga állapítja meg és azt a taggyűlés hagyja jóvá.</w:t>
      </w:r>
    </w:p>
    <w:p w:rsidR="00B250EF" w:rsidRPr="00A15169" w:rsidRDefault="00B250EF" w:rsidP="00B250EF">
      <w:pPr>
        <w:spacing w:after="0" w:line="240" w:lineRule="auto"/>
        <w:ind w:left="1418"/>
        <w:jc w:val="both"/>
        <w:rPr>
          <w:b/>
          <w:sz w:val="24"/>
          <w:szCs w:val="24"/>
          <w:u w:val="single"/>
        </w:rPr>
      </w:pPr>
    </w:p>
    <w:p w:rsidR="00B250EF" w:rsidRPr="00822837" w:rsidRDefault="00B250EF" w:rsidP="00A67DB9">
      <w:pPr>
        <w:spacing w:after="0" w:line="240" w:lineRule="auto"/>
        <w:jc w:val="both"/>
        <w:rPr>
          <w:b/>
          <w:sz w:val="24"/>
          <w:szCs w:val="24"/>
        </w:rPr>
      </w:pPr>
      <w:r w:rsidRPr="00822837">
        <w:rPr>
          <w:b/>
          <w:sz w:val="24"/>
          <w:szCs w:val="24"/>
        </w:rPr>
        <w:t>Külső tanácsadók:</w:t>
      </w:r>
    </w:p>
    <w:p w:rsidR="00B250EF" w:rsidRPr="00822837" w:rsidRDefault="00B250EF" w:rsidP="00B250EF">
      <w:pPr>
        <w:spacing w:after="0" w:line="240" w:lineRule="auto"/>
        <w:jc w:val="both"/>
        <w:rPr>
          <w:sz w:val="24"/>
          <w:szCs w:val="24"/>
        </w:rPr>
      </w:pPr>
      <w:r w:rsidRPr="00822837">
        <w:rPr>
          <w:sz w:val="24"/>
          <w:szCs w:val="24"/>
        </w:rPr>
        <w:t>- Marketing szakmai tanácsadás – Hévíz TDM Egyesület elnöksége</w:t>
      </w:r>
    </w:p>
    <w:p w:rsidR="00A67DB9" w:rsidRDefault="00B250EF" w:rsidP="00A67DB9">
      <w:pPr>
        <w:spacing w:after="0" w:line="240" w:lineRule="auto"/>
        <w:jc w:val="both"/>
        <w:rPr>
          <w:sz w:val="24"/>
          <w:szCs w:val="24"/>
        </w:rPr>
      </w:pPr>
      <w:r w:rsidRPr="00822837">
        <w:rPr>
          <w:sz w:val="24"/>
          <w:szCs w:val="24"/>
        </w:rPr>
        <w:t xml:space="preserve">- A </w:t>
      </w:r>
      <w:r w:rsidRPr="00822837">
        <w:rPr>
          <w:rStyle w:val="Kiemels"/>
          <w:i w:val="0"/>
          <w:sz w:val="24"/>
          <w:szCs w:val="24"/>
        </w:rPr>
        <w:t>Társaság</w:t>
      </w:r>
      <w:r w:rsidRPr="00822837">
        <w:rPr>
          <w:sz w:val="24"/>
          <w:szCs w:val="24"/>
        </w:rPr>
        <w:t xml:space="preserve"> könyvvizsgálójának neve: </w:t>
      </w:r>
      <w:r>
        <w:rPr>
          <w:sz w:val="24"/>
          <w:szCs w:val="24"/>
        </w:rPr>
        <w:t>Vecsera</w:t>
      </w:r>
      <w:r w:rsidR="00A67DB9">
        <w:rPr>
          <w:sz w:val="24"/>
          <w:szCs w:val="24"/>
        </w:rPr>
        <w:t xml:space="preserve"> </w:t>
      </w:r>
      <w:r>
        <w:rPr>
          <w:sz w:val="24"/>
          <w:szCs w:val="24"/>
        </w:rPr>
        <w:t>Jánosné</w:t>
      </w:r>
    </w:p>
    <w:p w:rsidR="00A67DB9" w:rsidRDefault="00A67DB9" w:rsidP="00A67DB9">
      <w:pPr>
        <w:spacing w:after="0" w:line="240" w:lineRule="auto"/>
        <w:jc w:val="both"/>
        <w:rPr>
          <w:b/>
          <w:color w:val="FF0000"/>
          <w:sz w:val="24"/>
          <w:szCs w:val="24"/>
        </w:rPr>
      </w:pPr>
    </w:p>
    <w:p w:rsidR="00A67DB9" w:rsidRDefault="00A67DB9" w:rsidP="00B250EF">
      <w:pPr>
        <w:spacing w:after="0" w:line="240" w:lineRule="auto"/>
        <w:jc w:val="center"/>
        <w:rPr>
          <w:b/>
          <w:color w:val="FF0000"/>
          <w:sz w:val="24"/>
          <w:szCs w:val="24"/>
        </w:rPr>
      </w:pPr>
    </w:p>
    <w:p w:rsidR="00B250EF" w:rsidRPr="00207396" w:rsidRDefault="001E4AC0" w:rsidP="00A67DB9">
      <w:pPr>
        <w:spacing w:after="0" w:line="240" w:lineRule="auto"/>
        <w:jc w:val="both"/>
        <w:rPr>
          <w:b/>
          <w:color w:val="FF0000"/>
          <w:sz w:val="24"/>
          <w:szCs w:val="24"/>
        </w:rPr>
      </w:pPr>
      <w:r w:rsidRPr="00207396">
        <w:rPr>
          <w:b/>
          <w:color w:val="FF0000"/>
          <w:sz w:val="24"/>
          <w:szCs w:val="24"/>
        </w:rPr>
        <w:t>S</w:t>
      </w:r>
      <w:r w:rsidR="00B250EF" w:rsidRPr="00207396">
        <w:rPr>
          <w:b/>
          <w:color w:val="FF0000"/>
          <w:sz w:val="24"/>
          <w:szCs w:val="24"/>
        </w:rPr>
        <w:t>zervezeti felépítés</w:t>
      </w:r>
    </w:p>
    <w:p w:rsidR="006854BC" w:rsidRDefault="006854BC" w:rsidP="00B250EF">
      <w:pPr>
        <w:spacing w:after="0" w:line="240" w:lineRule="auto"/>
        <w:jc w:val="center"/>
        <w:rPr>
          <w:b/>
          <w:sz w:val="24"/>
          <w:szCs w:val="24"/>
        </w:rPr>
      </w:pPr>
    </w:p>
    <w:p w:rsidR="006854BC" w:rsidRDefault="001E4AC0" w:rsidP="00B250EF">
      <w:pPr>
        <w:spacing w:after="0" w:line="240" w:lineRule="auto"/>
        <w:jc w:val="center"/>
        <w:rPr>
          <w:b/>
          <w:sz w:val="24"/>
          <w:szCs w:val="24"/>
        </w:rPr>
      </w:pPr>
      <w:r w:rsidRPr="001E4AC0">
        <w:rPr>
          <w:noProof/>
          <w:szCs w:val="24"/>
          <w:lang w:eastAsia="hu-HU"/>
        </w:rPr>
        <w:drawing>
          <wp:inline distT="0" distB="0" distL="0" distR="0">
            <wp:extent cx="5762625" cy="3324225"/>
            <wp:effectExtent l="19050" t="0" r="0" b="0"/>
            <wp:docPr id="23" name="Kép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cstate="print"/>
                    <a:srcRect/>
                    <a:stretch>
                      <a:fillRect/>
                    </a:stretch>
                  </pic:blipFill>
                  <pic:spPr bwMode="auto">
                    <a:xfrm>
                      <a:off x="0" y="0"/>
                      <a:ext cx="5762625" cy="3324225"/>
                    </a:xfrm>
                    <a:prstGeom prst="rect">
                      <a:avLst/>
                    </a:prstGeom>
                    <a:noFill/>
                    <a:ln w="9525">
                      <a:noFill/>
                      <a:miter lim="800000"/>
                      <a:headEnd/>
                      <a:tailEnd/>
                    </a:ln>
                  </pic:spPr>
                </pic:pic>
              </a:graphicData>
            </a:graphic>
          </wp:inline>
        </w:drawing>
      </w:r>
    </w:p>
    <w:p w:rsidR="00A67DB9" w:rsidRDefault="00A67DB9" w:rsidP="00B250EF">
      <w:pPr>
        <w:pStyle w:val="Cmsor1"/>
        <w:rPr>
          <w:rFonts w:ascii="Calibri" w:hAnsi="Calibri"/>
          <w:sz w:val="32"/>
          <w:szCs w:val="32"/>
        </w:rPr>
      </w:pPr>
    </w:p>
    <w:p w:rsidR="00B250EF" w:rsidRDefault="00B250EF" w:rsidP="00A67DB9">
      <w:pPr>
        <w:pStyle w:val="Cmsor1"/>
        <w:jc w:val="both"/>
        <w:rPr>
          <w:rFonts w:ascii="Calibri" w:hAnsi="Calibri"/>
          <w:sz w:val="32"/>
          <w:szCs w:val="32"/>
        </w:rPr>
      </w:pPr>
      <w:bookmarkStart w:id="15" w:name="_Toc38281836"/>
      <w:r w:rsidRPr="009764C6">
        <w:rPr>
          <w:rFonts w:ascii="Calibri" w:hAnsi="Calibri"/>
          <w:sz w:val="32"/>
          <w:szCs w:val="32"/>
        </w:rPr>
        <w:t>IV. PÉNZÜGYI TERV</w:t>
      </w:r>
      <w:bookmarkEnd w:id="15"/>
    </w:p>
    <w:p w:rsidR="00B250EF" w:rsidRPr="001E4AC0" w:rsidRDefault="00B250EF" w:rsidP="00A67DB9">
      <w:pPr>
        <w:spacing w:after="0" w:line="240" w:lineRule="auto"/>
        <w:jc w:val="both"/>
        <w:rPr>
          <w:sz w:val="24"/>
          <w:szCs w:val="24"/>
        </w:rPr>
      </w:pPr>
      <w:r w:rsidRPr="001E4AC0">
        <w:rPr>
          <w:sz w:val="24"/>
          <w:szCs w:val="24"/>
        </w:rPr>
        <w:t>Az alábbi táblázat tartalmazza részletesen a</w:t>
      </w:r>
      <w:r w:rsidR="00207396">
        <w:rPr>
          <w:sz w:val="24"/>
          <w:szCs w:val="24"/>
        </w:rPr>
        <w:t xml:space="preserve"> </w:t>
      </w:r>
      <w:r w:rsidR="00207396" w:rsidRPr="00207396">
        <w:rPr>
          <w:color w:val="FF0000"/>
          <w:sz w:val="24"/>
          <w:szCs w:val="24"/>
        </w:rPr>
        <w:t>módosított</w:t>
      </w:r>
      <w:r w:rsidRPr="00207396">
        <w:rPr>
          <w:color w:val="FF0000"/>
          <w:sz w:val="24"/>
          <w:szCs w:val="24"/>
        </w:rPr>
        <w:t xml:space="preserve"> </w:t>
      </w:r>
      <w:r w:rsidRPr="001E4AC0">
        <w:rPr>
          <w:sz w:val="24"/>
          <w:szCs w:val="24"/>
        </w:rPr>
        <w:t>működési költségeket, valamint összefoglalóan a marketing célú kiadások összegét a II. 5. pontban részletesen bemutatottak alapján.</w:t>
      </w:r>
    </w:p>
    <w:p w:rsidR="001E4AC0" w:rsidRPr="001E4AC0" w:rsidRDefault="001E4AC0" w:rsidP="00A67DB9">
      <w:pPr>
        <w:spacing w:after="0" w:line="240" w:lineRule="auto"/>
        <w:ind w:firstLine="708"/>
        <w:jc w:val="both"/>
        <w:rPr>
          <w:sz w:val="24"/>
          <w:szCs w:val="24"/>
        </w:rPr>
      </w:pPr>
    </w:p>
    <w:p w:rsidR="001E4AC0" w:rsidRPr="00207396" w:rsidRDefault="001E4AC0" w:rsidP="00A67DB9">
      <w:pPr>
        <w:jc w:val="both"/>
        <w:rPr>
          <w:color w:val="FF0000"/>
          <w:sz w:val="24"/>
          <w:szCs w:val="24"/>
        </w:rPr>
      </w:pPr>
      <w:r w:rsidRPr="00207396">
        <w:rPr>
          <w:color w:val="FF0000"/>
          <w:sz w:val="24"/>
          <w:szCs w:val="24"/>
        </w:rPr>
        <w:t xml:space="preserve">A pénzügyi tervre hatással volt és hatással lesz a 2020. évben a járványügyi helyzet és az ezzel kapcsolatos gazdasági folyamatok mind az önkormányzatnál, mind a többi tulajdonosnál. Ezek okán készült el a 2.7. pontban a marketing költségterv két módozata. </w:t>
      </w:r>
    </w:p>
    <w:p w:rsidR="001E4AC0" w:rsidRPr="00207396" w:rsidRDefault="001E4AC0" w:rsidP="00A67DB9">
      <w:pPr>
        <w:jc w:val="both"/>
        <w:rPr>
          <w:color w:val="FF0000"/>
          <w:sz w:val="24"/>
          <w:szCs w:val="24"/>
        </w:rPr>
      </w:pPr>
      <w:r w:rsidRPr="00207396">
        <w:rPr>
          <w:color w:val="FF0000"/>
          <w:sz w:val="24"/>
          <w:szCs w:val="24"/>
        </w:rPr>
        <w:t>A módosított pénzügyi tervben feltüntettük a Hévízi TDM Egyesülettől érkező dolgozókkal járó bér- és járulékköltség-változást, illetve az ehhez kapcsolódó forrást.</w:t>
      </w:r>
    </w:p>
    <w:p w:rsidR="001E4AC0" w:rsidRPr="00697239" w:rsidRDefault="001E4AC0" w:rsidP="001E4AC0">
      <w:pPr>
        <w:spacing w:after="0" w:line="240" w:lineRule="auto"/>
        <w:jc w:val="both"/>
        <w:rPr>
          <w:sz w:val="24"/>
          <w:szCs w:val="24"/>
        </w:rPr>
      </w:pPr>
    </w:p>
    <w:tbl>
      <w:tblPr>
        <w:tblW w:w="9654" w:type="dxa"/>
        <w:tblInd w:w="55" w:type="dxa"/>
        <w:tblCellMar>
          <w:left w:w="70" w:type="dxa"/>
          <w:right w:w="70" w:type="dxa"/>
        </w:tblCellMar>
        <w:tblLook w:val="04A0" w:firstRow="1" w:lastRow="0" w:firstColumn="1" w:lastColumn="0" w:noHBand="0" w:noVBand="1"/>
      </w:tblPr>
      <w:tblGrid>
        <w:gridCol w:w="6678"/>
        <w:gridCol w:w="1559"/>
        <w:gridCol w:w="1417"/>
      </w:tblGrid>
      <w:tr w:rsidR="001E4AC0" w:rsidRPr="00F717A4" w:rsidTr="00F5679C">
        <w:trPr>
          <w:trHeight w:val="615"/>
        </w:trPr>
        <w:tc>
          <w:tcPr>
            <w:tcW w:w="6678" w:type="dxa"/>
            <w:tcBorders>
              <w:top w:val="single" w:sz="8" w:space="0" w:color="auto"/>
              <w:left w:val="single" w:sz="8" w:space="0" w:color="auto"/>
              <w:bottom w:val="single" w:sz="8" w:space="0" w:color="auto"/>
              <w:right w:val="single" w:sz="8" w:space="0" w:color="auto"/>
            </w:tcBorders>
            <w:shd w:val="clear" w:color="000000" w:fill="95B3D7"/>
            <w:noWrap/>
            <w:vAlign w:val="center"/>
            <w:hideMark/>
          </w:tcPr>
          <w:p w:rsidR="001E4AC0" w:rsidRPr="00F717A4" w:rsidRDefault="001E4AC0" w:rsidP="00A67DB9">
            <w:pPr>
              <w:spacing w:after="0" w:line="240" w:lineRule="auto"/>
              <w:jc w:val="both"/>
              <w:rPr>
                <w:rFonts w:eastAsia="Times New Roman" w:cs="Calibri"/>
                <w:b/>
                <w:bCs/>
                <w:color w:val="000000"/>
                <w:lang w:eastAsia="hu-HU"/>
              </w:rPr>
            </w:pPr>
            <w:r w:rsidRPr="00F717A4">
              <w:rPr>
                <w:rFonts w:eastAsia="Times New Roman" w:cs="Calibri"/>
                <w:b/>
                <w:bCs/>
                <w:color w:val="000000"/>
                <w:lang w:eastAsia="hu-HU"/>
              </w:rPr>
              <w:lastRenderedPageBreak/>
              <w:t>Hévízi Turisztikai Nonprofit Kft. működési és karbantartási költségei</w:t>
            </w:r>
          </w:p>
        </w:tc>
        <w:tc>
          <w:tcPr>
            <w:tcW w:w="1559" w:type="dxa"/>
            <w:tcBorders>
              <w:top w:val="single" w:sz="8" w:space="0" w:color="auto"/>
              <w:left w:val="nil"/>
              <w:bottom w:val="single" w:sz="8" w:space="0" w:color="auto"/>
              <w:right w:val="single" w:sz="8" w:space="0" w:color="auto"/>
            </w:tcBorders>
            <w:shd w:val="clear" w:color="000000" w:fill="95B3D7"/>
            <w:vAlign w:val="center"/>
            <w:hideMark/>
          </w:tcPr>
          <w:p w:rsidR="001E4AC0" w:rsidRPr="00F717A4" w:rsidRDefault="001E4AC0" w:rsidP="00A67DB9">
            <w:pPr>
              <w:numPr>
                <w:ilvl w:val="0"/>
                <w:numId w:val="12"/>
              </w:numPr>
              <w:spacing w:after="0" w:line="240" w:lineRule="auto"/>
              <w:jc w:val="both"/>
              <w:rPr>
                <w:rFonts w:eastAsia="Times New Roman" w:cs="Calibri"/>
                <w:b/>
                <w:bCs/>
                <w:color w:val="000000"/>
                <w:lang w:eastAsia="hu-HU"/>
              </w:rPr>
            </w:pPr>
            <w:r>
              <w:rPr>
                <w:rFonts w:eastAsia="Times New Roman" w:cs="Calibri"/>
                <w:b/>
                <w:bCs/>
                <w:color w:val="000000"/>
                <w:lang w:eastAsia="hu-HU"/>
              </w:rPr>
              <w:t xml:space="preserve">opció </w:t>
            </w:r>
            <w:r w:rsidRPr="00F717A4">
              <w:rPr>
                <w:rFonts w:eastAsia="Times New Roman" w:cs="Calibri"/>
                <w:b/>
                <w:bCs/>
                <w:color w:val="000000"/>
                <w:lang w:eastAsia="hu-HU"/>
              </w:rPr>
              <w:t>Bruttó összeg Ft</w:t>
            </w:r>
          </w:p>
        </w:tc>
        <w:tc>
          <w:tcPr>
            <w:tcW w:w="1417" w:type="dxa"/>
            <w:tcBorders>
              <w:top w:val="single" w:sz="8" w:space="0" w:color="auto"/>
              <w:left w:val="nil"/>
              <w:bottom w:val="single" w:sz="8" w:space="0" w:color="auto"/>
              <w:right w:val="single" w:sz="8" w:space="0" w:color="auto"/>
            </w:tcBorders>
            <w:shd w:val="clear" w:color="000000" w:fill="95B3D7"/>
            <w:vAlign w:val="center"/>
          </w:tcPr>
          <w:p w:rsidR="001E4AC0" w:rsidRPr="00F717A4" w:rsidRDefault="001E4AC0" w:rsidP="00A67DB9">
            <w:pPr>
              <w:numPr>
                <w:ilvl w:val="0"/>
                <w:numId w:val="12"/>
              </w:numPr>
              <w:spacing w:after="0" w:line="240" w:lineRule="auto"/>
              <w:jc w:val="both"/>
              <w:rPr>
                <w:rFonts w:eastAsia="Times New Roman" w:cs="Calibri"/>
                <w:b/>
                <w:bCs/>
                <w:color w:val="000000"/>
                <w:lang w:eastAsia="hu-HU"/>
              </w:rPr>
            </w:pPr>
            <w:r>
              <w:rPr>
                <w:rFonts w:eastAsia="Times New Roman" w:cs="Calibri"/>
                <w:b/>
                <w:bCs/>
                <w:color w:val="000000"/>
                <w:lang w:eastAsia="hu-HU"/>
              </w:rPr>
              <w:t xml:space="preserve">opció </w:t>
            </w:r>
            <w:r w:rsidRPr="00F717A4">
              <w:rPr>
                <w:rFonts w:eastAsia="Times New Roman" w:cs="Calibri"/>
                <w:b/>
                <w:bCs/>
                <w:color w:val="000000"/>
                <w:lang w:eastAsia="hu-HU"/>
              </w:rPr>
              <w:t>Bruttó összeg Ft</w:t>
            </w:r>
          </w:p>
        </w:tc>
      </w:tr>
      <w:tr w:rsidR="001E4AC0" w:rsidRPr="00F717A4" w:rsidTr="00F5679C">
        <w:trPr>
          <w:trHeight w:val="315"/>
        </w:trPr>
        <w:tc>
          <w:tcPr>
            <w:tcW w:w="6678" w:type="dxa"/>
            <w:tcBorders>
              <w:top w:val="nil"/>
              <w:left w:val="single" w:sz="8" w:space="0" w:color="auto"/>
              <w:bottom w:val="single" w:sz="8" w:space="0" w:color="auto"/>
              <w:right w:val="single" w:sz="8" w:space="0" w:color="auto"/>
            </w:tcBorders>
            <w:shd w:val="clear" w:color="auto" w:fill="auto"/>
            <w:noWrap/>
            <w:vAlign w:val="center"/>
            <w:hideMark/>
          </w:tcPr>
          <w:p w:rsidR="001E4AC0" w:rsidRPr="00F717A4" w:rsidRDefault="001E4AC0" w:rsidP="00A67DB9">
            <w:pPr>
              <w:spacing w:after="0" w:line="240" w:lineRule="auto"/>
              <w:jc w:val="both"/>
              <w:rPr>
                <w:rFonts w:eastAsia="Times New Roman" w:cs="Calibri"/>
                <w:color w:val="000000"/>
                <w:lang w:eastAsia="hu-HU"/>
              </w:rPr>
            </w:pPr>
            <w:r w:rsidRPr="00F717A4">
              <w:rPr>
                <w:rFonts w:eastAsia="Times New Roman" w:cs="Calibri"/>
                <w:color w:val="000000"/>
                <w:lang w:eastAsia="hu-HU"/>
              </w:rPr>
              <w:t>Telefon és internet költség összesen</w:t>
            </w:r>
          </w:p>
        </w:tc>
        <w:tc>
          <w:tcPr>
            <w:tcW w:w="1559" w:type="dxa"/>
            <w:tcBorders>
              <w:top w:val="nil"/>
              <w:left w:val="nil"/>
              <w:bottom w:val="single" w:sz="8" w:space="0" w:color="auto"/>
              <w:right w:val="single" w:sz="8" w:space="0" w:color="auto"/>
            </w:tcBorders>
            <w:shd w:val="clear" w:color="auto" w:fill="auto"/>
            <w:noWrap/>
            <w:vAlign w:val="center"/>
            <w:hideMark/>
          </w:tcPr>
          <w:p w:rsidR="001E4AC0" w:rsidRPr="00F717A4" w:rsidRDefault="001E4AC0" w:rsidP="00A67DB9">
            <w:pPr>
              <w:spacing w:after="0" w:line="240" w:lineRule="auto"/>
              <w:jc w:val="both"/>
              <w:rPr>
                <w:rFonts w:eastAsia="Times New Roman" w:cs="Calibri"/>
                <w:color w:val="000000"/>
                <w:lang w:eastAsia="hu-HU"/>
              </w:rPr>
            </w:pPr>
            <w:r w:rsidRPr="00F717A4">
              <w:rPr>
                <w:rFonts w:eastAsia="Times New Roman" w:cs="Calibri"/>
                <w:color w:val="000000"/>
                <w:lang w:eastAsia="hu-HU"/>
              </w:rPr>
              <w:t>350 000</w:t>
            </w:r>
          </w:p>
        </w:tc>
        <w:tc>
          <w:tcPr>
            <w:tcW w:w="1417" w:type="dxa"/>
            <w:tcBorders>
              <w:top w:val="nil"/>
              <w:left w:val="nil"/>
              <w:bottom w:val="single" w:sz="8" w:space="0" w:color="auto"/>
              <w:right w:val="single" w:sz="8" w:space="0" w:color="auto"/>
            </w:tcBorders>
            <w:vAlign w:val="center"/>
          </w:tcPr>
          <w:p w:rsidR="001E4AC0" w:rsidRPr="00F717A4" w:rsidRDefault="001E4AC0" w:rsidP="00A67DB9">
            <w:pPr>
              <w:spacing w:after="0" w:line="240" w:lineRule="auto"/>
              <w:jc w:val="both"/>
              <w:rPr>
                <w:rFonts w:eastAsia="Times New Roman" w:cs="Calibri"/>
                <w:color w:val="000000"/>
                <w:lang w:eastAsia="hu-HU"/>
              </w:rPr>
            </w:pPr>
            <w:r w:rsidRPr="00F717A4">
              <w:rPr>
                <w:rFonts w:eastAsia="Times New Roman" w:cs="Calibri"/>
                <w:color w:val="000000"/>
                <w:lang w:eastAsia="hu-HU"/>
              </w:rPr>
              <w:t>350 000</w:t>
            </w:r>
          </w:p>
        </w:tc>
      </w:tr>
      <w:tr w:rsidR="001E4AC0" w:rsidRPr="00F717A4" w:rsidTr="00F5679C">
        <w:trPr>
          <w:trHeight w:val="315"/>
        </w:trPr>
        <w:tc>
          <w:tcPr>
            <w:tcW w:w="6678" w:type="dxa"/>
            <w:tcBorders>
              <w:top w:val="nil"/>
              <w:left w:val="single" w:sz="8" w:space="0" w:color="auto"/>
              <w:bottom w:val="single" w:sz="8" w:space="0" w:color="auto"/>
              <w:right w:val="single" w:sz="8" w:space="0" w:color="auto"/>
            </w:tcBorders>
            <w:shd w:val="clear" w:color="auto" w:fill="auto"/>
            <w:noWrap/>
            <w:vAlign w:val="center"/>
            <w:hideMark/>
          </w:tcPr>
          <w:p w:rsidR="001E4AC0" w:rsidRPr="00F717A4" w:rsidRDefault="001E4AC0" w:rsidP="00A67DB9">
            <w:pPr>
              <w:spacing w:after="0" w:line="240" w:lineRule="auto"/>
              <w:jc w:val="both"/>
              <w:rPr>
                <w:rFonts w:eastAsia="Times New Roman" w:cs="Calibri"/>
                <w:color w:val="000000"/>
                <w:lang w:eastAsia="hu-HU"/>
              </w:rPr>
            </w:pPr>
            <w:r w:rsidRPr="00F717A4">
              <w:rPr>
                <w:rFonts w:eastAsia="Times New Roman" w:cs="Calibri"/>
                <w:color w:val="000000"/>
                <w:lang w:eastAsia="hu-HU"/>
              </w:rPr>
              <w:t>Irodabérlet összesen, rezsi</w:t>
            </w:r>
          </w:p>
        </w:tc>
        <w:tc>
          <w:tcPr>
            <w:tcW w:w="1559" w:type="dxa"/>
            <w:tcBorders>
              <w:top w:val="nil"/>
              <w:left w:val="nil"/>
              <w:bottom w:val="single" w:sz="8" w:space="0" w:color="auto"/>
              <w:right w:val="single" w:sz="8" w:space="0" w:color="auto"/>
            </w:tcBorders>
            <w:shd w:val="clear" w:color="auto" w:fill="auto"/>
            <w:noWrap/>
            <w:vAlign w:val="center"/>
            <w:hideMark/>
          </w:tcPr>
          <w:p w:rsidR="001E4AC0" w:rsidRPr="00F717A4" w:rsidRDefault="001E4AC0" w:rsidP="00A67DB9">
            <w:pPr>
              <w:spacing w:after="0" w:line="240" w:lineRule="auto"/>
              <w:jc w:val="both"/>
              <w:rPr>
                <w:rFonts w:eastAsia="Times New Roman" w:cs="Calibri"/>
                <w:color w:val="000000"/>
                <w:lang w:eastAsia="hu-HU"/>
              </w:rPr>
            </w:pPr>
            <w:r w:rsidRPr="00F717A4">
              <w:rPr>
                <w:rFonts w:eastAsia="Times New Roman" w:cs="Calibri"/>
                <w:color w:val="000000"/>
                <w:lang w:eastAsia="hu-HU"/>
              </w:rPr>
              <w:t>500 000</w:t>
            </w:r>
          </w:p>
        </w:tc>
        <w:tc>
          <w:tcPr>
            <w:tcW w:w="1417" w:type="dxa"/>
            <w:tcBorders>
              <w:top w:val="nil"/>
              <w:left w:val="nil"/>
              <w:bottom w:val="single" w:sz="8" w:space="0" w:color="auto"/>
              <w:right w:val="single" w:sz="8" w:space="0" w:color="auto"/>
            </w:tcBorders>
            <w:vAlign w:val="center"/>
          </w:tcPr>
          <w:p w:rsidR="001E4AC0" w:rsidRPr="00F717A4" w:rsidRDefault="001E4AC0" w:rsidP="00A67DB9">
            <w:pPr>
              <w:spacing w:after="0" w:line="240" w:lineRule="auto"/>
              <w:jc w:val="both"/>
              <w:rPr>
                <w:rFonts w:eastAsia="Times New Roman" w:cs="Calibri"/>
                <w:color w:val="000000"/>
                <w:lang w:eastAsia="hu-HU"/>
              </w:rPr>
            </w:pPr>
            <w:r w:rsidRPr="00F717A4">
              <w:rPr>
                <w:rFonts w:eastAsia="Times New Roman" w:cs="Calibri"/>
                <w:color w:val="000000"/>
                <w:lang w:eastAsia="hu-HU"/>
              </w:rPr>
              <w:t>500 000</w:t>
            </w:r>
          </w:p>
        </w:tc>
      </w:tr>
      <w:tr w:rsidR="001E4AC0" w:rsidRPr="00F717A4" w:rsidTr="00F5679C">
        <w:trPr>
          <w:trHeight w:val="315"/>
        </w:trPr>
        <w:tc>
          <w:tcPr>
            <w:tcW w:w="6678" w:type="dxa"/>
            <w:tcBorders>
              <w:top w:val="nil"/>
              <w:left w:val="single" w:sz="8" w:space="0" w:color="auto"/>
              <w:bottom w:val="single" w:sz="8" w:space="0" w:color="auto"/>
              <w:right w:val="single" w:sz="8" w:space="0" w:color="auto"/>
            </w:tcBorders>
            <w:shd w:val="clear" w:color="auto" w:fill="auto"/>
            <w:noWrap/>
            <w:vAlign w:val="center"/>
            <w:hideMark/>
          </w:tcPr>
          <w:p w:rsidR="001E4AC0" w:rsidRPr="00F717A4" w:rsidRDefault="001E4AC0" w:rsidP="00A67DB9">
            <w:pPr>
              <w:spacing w:after="0" w:line="240" w:lineRule="auto"/>
              <w:jc w:val="both"/>
              <w:rPr>
                <w:rFonts w:eastAsia="Times New Roman" w:cs="Calibri"/>
                <w:color w:val="000000"/>
                <w:lang w:eastAsia="hu-HU"/>
              </w:rPr>
            </w:pPr>
            <w:r w:rsidRPr="00F717A4">
              <w:rPr>
                <w:rFonts w:eastAsia="Times New Roman" w:cs="Calibri"/>
                <w:color w:val="000000"/>
                <w:lang w:eastAsia="hu-HU"/>
              </w:rPr>
              <w:t>Könyvviteli és könyvvizsgálati szolgáltatás összesen</w:t>
            </w:r>
          </w:p>
        </w:tc>
        <w:tc>
          <w:tcPr>
            <w:tcW w:w="1559" w:type="dxa"/>
            <w:tcBorders>
              <w:top w:val="nil"/>
              <w:left w:val="nil"/>
              <w:bottom w:val="single" w:sz="8" w:space="0" w:color="auto"/>
              <w:right w:val="single" w:sz="8" w:space="0" w:color="auto"/>
            </w:tcBorders>
            <w:shd w:val="clear" w:color="auto" w:fill="auto"/>
            <w:noWrap/>
            <w:vAlign w:val="center"/>
            <w:hideMark/>
          </w:tcPr>
          <w:p w:rsidR="001E4AC0" w:rsidRPr="00F717A4" w:rsidRDefault="001E4AC0" w:rsidP="00A67DB9">
            <w:pPr>
              <w:spacing w:after="0" w:line="240" w:lineRule="auto"/>
              <w:jc w:val="both"/>
              <w:rPr>
                <w:rFonts w:eastAsia="Times New Roman" w:cs="Calibri"/>
                <w:color w:val="000000"/>
                <w:lang w:eastAsia="hu-HU"/>
              </w:rPr>
            </w:pPr>
            <w:r w:rsidRPr="00F717A4">
              <w:rPr>
                <w:rFonts w:eastAsia="Times New Roman" w:cs="Calibri"/>
                <w:color w:val="000000"/>
                <w:lang w:eastAsia="hu-HU"/>
              </w:rPr>
              <w:t>2 000 000</w:t>
            </w:r>
          </w:p>
        </w:tc>
        <w:tc>
          <w:tcPr>
            <w:tcW w:w="1417" w:type="dxa"/>
            <w:tcBorders>
              <w:top w:val="nil"/>
              <w:left w:val="nil"/>
              <w:bottom w:val="single" w:sz="8" w:space="0" w:color="auto"/>
              <w:right w:val="single" w:sz="8" w:space="0" w:color="auto"/>
            </w:tcBorders>
            <w:vAlign w:val="center"/>
          </w:tcPr>
          <w:p w:rsidR="001E4AC0" w:rsidRPr="00F717A4" w:rsidRDefault="001E4AC0" w:rsidP="00A67DB9">
            <w:pPr>
              <w:spacing w:after="0" w:line="240" w:lineRule="auto"/>
              <w:jc w:val="both"/>
              <w:rPr>
                <w:rFonts w:eastAsia="Times New Roman" w:cs="Calibri"/>
                <w:color w:val="000000"/>
                <w:lang w:eastAsia="hu-HU"/>
              </w:rPr>
            </w:pPr>
            <w:r w:rsidRPr="00F717A4">
              <w:rPr>
                <w:rFonts w:eastAsia="Times New Roman" w:cs="Calibri"/>
                <w:color w:val="000000"/>
                <w:lang w:eastAsia="hu-HU"/>
              </w:rPr>
              <w:t>2 000 000</w:t>
            </w:r>
          </w:p>
        </w:tc>
      </w:tr>
      <w:tr w:rsidR="001E4AC0" w:rsidRPr="00F717A4" w:rsidTr="00F5679C">
        <w:trPr>
          <w:trHeight w:val="315"/>
        </w:trPr>
        <w:tc>
          <w:tcPr>
            <w:tcW w:w="6678" w:type="dxa"/>
            <w:tcBorders>
              <w:top w:val="nil"/>
              <w:left w:val="single" w:sz="8" w:space="0" w:color="auto"/>
              <w:bottom w:val="single" w:sz="8" w:space="0" w:color="auto"/>
              <w:right w:val="single" w:sz="8" w:space="0" w:color="auto"/>
            </w:tcBorders>
            <w:shd w:val="clear" w:color="auto" w:fill="auto"/>
            <w:noWrap/>
            <w:vAlign w:val="center"/>
            <w:hideMark/>
          </w:tcPr>
          <w:p w:rsidR="001E4AC0" w:rsidRPr="00F717A4" w:rsidRDefault="001E4AC0" w:rsidP="00A67DB9">
            <w:pPr>
              <w:spacing w:after="0" w:line="240" w:lineRule="auto"/>
              <w:jc w:val="both"/>
              <w:rPr>
                <w:rFonts w:eastAsia="Times New Roman" w:cs="Calibri"/>
                <w:color w:val="000000"/>
                <w:lang w:eastAsia="hu-HU"/>
              </w:rPr>
            </w:pPr>
            <w:r w:rsidRPr="00F717A4">
              <w:rPr>
                <w:rFonts w:eastAsia="Times New Roman" w:cs="Calibri"/>
                <w:color w:val="000000"/>
                <w:lang w:eastAsia="hu-HU"/>
              </w:rPr>
              <w:t>Postaköltség összesen</w:t>
            </w:r>
          </w:p>
        </w:tc>
        <w:tc>
          <w:tcPr>
            <w:tcW w:w="1559" w:type="dxa"/>
            <w:tcBorders>
              <w:top w:val="nil"/>
              <w:left w:val="nil"/>
              <w:bottom w:val="single" w:sz="8" w:space="0" w:color="auto"/>
              <w:right w:val="single" w:sz="8" w:space="0" w:color="auto"/>
            </w:tcBorders>
            <w:shd w:val="clear" w:color="auto" w:fill="auto"/>
            <w:noWrap/>
            <w:vAlign w:val="center"/>
            <w:hideMark/>
          </w:tcPr>
          <w:p w:rsidR="001E4AC0" w:rsidRPr="00F717A4" w:rsidRDefault="001E4AC0" w:rsidP="00A67DB9">
            <w:pPr>
              <w:spacing w:after="0" w:line="240" w:lineRule="auto"/>
              <w:jc w:val="both"/>
              <w:rPr>
                <w:rFonts w:eastAsia="Times New Roman" w:cs="Calibri"/>
                <w:color w:val="000000"/>
                <w:lang w:eastAsia="hu-HU"/>
              </w:rPr>
            </w:pPr>
            <w:r w:rsidRPr="00F717A4">
              <w:rPr>
                <w:rFonts w:eastAsia="Times New Roman" w:cs="Calibri"/>
                <w:color w:val="000000"/>
                <w:lang w:eastAsia="hu-HU"/>
              </w:rPr>
              <w:t>100 000</w:t>
            </w:r>
          </w:p>
        </w:tc>
        <w:tc>
          <w:tcPr>
            <w:tcW w:w="1417" w:type="dxa"/>
            <w:tcBorders>
              <w:top w:val="nil"/>
              <w:left w:val="nil"/>
              <w:bottom w:val="single" w:sz="8" w:space="0" w:color="auto"/>
              <w:right w:val="single" w:sz="8" w:space="0" w:color="auto"/>
            </w:tcBorders>
            <w:vAlign w:val="center"/>
          </w:tcPr>
          <w:p w:rsidR="001E4AC0" w:rsidRPr="00F717A4" w:rsidRDefault="001E4AC0" w:rsidP="00A67DB9">
            <w:pPr>
              <w:spacing w:after="0" w:line="240" w:lineRule="auto"/>
              <w:jc w:val="both"/>
              <w:rPr>
                <w:rFonts w:eastAsia="Times New Roman" w:cs="Calibri"/>
                <w:color w:val="000000"/>
                <w:lang w:eastAsia="hu-HU"/>
              </w:rPr>
            </w:pPr>
            <w:r w:rsidRPr="00F717A4">
              <w:rPr>
                <w:rFonts w:eastAsia="Times New Roman" w:cs="Calibri"/>
                <w:color w:val="000000"/>
                <w:lang w:eastAsia="hu-HU"/>
              </w:rPr>
              <w:t>100 000</w:t>
            </w:r>
          </w:p>
        </w:tc>
      </w:tr>
      <w:tr w:rsidR="001E4AC0" w:rsidRPr="00F717A4" w:rsidTr="00F5679C">
        <w:trPr>
          <w:trHeight w:val="315"/>
        </w:trPr>
        <w:tc>
          <w:tcPr>
            <w:tcW w:w="6678" w:type="dxa"/>
            <w:tcBorders>
              <w:top w:val="nil"/>
              <w:left w:val="single" w:sz="8" w:space="0" w:color="auto"/>
              <w:bottom w:val="single" w:sz="8" w:space="0" w:color="auto"/>
              <w:right w:val="single" w:sz="8" w:space="0" w:color="auto"/>
            </w:tcBorders>
            <w:shd w:val="clear" w:color="auto" w:fill="auto"/>
            <w:noWrap/>
            <w:vAlign w:val="center"/>
            <w:hideMark/>
          </w:tcPr>
          <w:p w:rsidR="001E4AC0" w:rsidRPr="00F717A4" w:rsidRDefault="001E4AC0" w:rsidP="00A67DB9">
            <w:pPr>
              <w:spacing w:after="0" w:line="240" w:lineRule="auto"/>
              <w:jc w:val="both"/>
              <w:rPr>
                <w:rFonts w:eastAsia="Times New Roman" w:cs="Calibri"/>
                <w:color w:val="000000"/>
                <w:lang w:eastAsia="hu-HU"/>
              </w:rPr>
            </w:pPr>
            <w:r w:rsidRPr="00F717A4">
              <w:rPr>
                <w:rFonts w:eastAsia="Times New Roman" w:cs="Calibri"/>
                <w:color w:val="000000"/>
                <w:lang w:eastAsia="hu-HU"/>
              </w:rPr>
              <w:t>Egyéb szolgáltatások (hatósági díj, ügyvédi díj) összesen</w:t>
            </w:r>
          </w:p>
        </w:tc>
        <w:tc>
          <w:tcPr>
            <w:tcW w:w="1559" w:type="dxa"/>
            <w:tcBorders>
              <w:top w:val="nil"/>
              <w:left w:val="nil"/>
              <w:bottom w:val="single" w:sz="8" w:space="0" w:color="auto"/>
              <w:right w:val="single" w:sz="8" w:space="0" w:color="auto"/>
            </w:tcBorders>
            <w:shd w:val="clear" w:color="auto" w:fill="auto"/>
            <w:noWrap/>
            <w:vAlign w:val="center"/>
            <w:hideMark/>
          </w:tcPr>
          <w:p w:rsidR="001E4AC0" w:rsidRPr="00F717A4" w:rsidRDefault="001E4AC0" w:rsidP="00A67DB9">
            <w:pPr>
              <w:spacing w:after="0" w:line="240" w:lineRule="auto"/>
              <w:jc w:val="both"/>
              <w:rPr>
                <w:rFonts w:eastAsia="Times New Roman" w:cs="Calibri"/>
                <w:color w:val="000000"/>
                <w:lang w:eastAsia="hu-HU"/>
              </w:rPr>
            </w:pPr>
            <w:r w:rsidRPr="00F717A4">
              <w:rPr>
                <w:rFonts w:eastAsia="Times New Roman" w:cs="Calibri"/>
                <w:color w:val="000000"/>
                <w:lang w:eastAsia="hu-HU"/>
              </w:rPr>
              <w:t>500 000</w:t>
            </w:r>
          </w:p>
        </w:tc>
        <w:tc>
          <w:tcPr>
            <w:tcW w:w="1417" w:type="dxa"/>
            <w:tcBorders>
              <w:top w:val="nil"/>
              <w:left w:val="nil"/>
              <w:bottom w:val="single" w:sz="8" w:space="0" w:color="auto"/>
              <w:right w:val="single" w:sz="8" w:space="0" w:color="auto"/>
            </w:tcBorders>
            <w:vAlign w:val="center"/>
          </w:tcPr>
          <w:p w:rsidR="001E4AC0" w:rsidRPr="00F717A4" w:rsidRDefault="001E4AC0" w:rsidP="00A67DB9">
            <w:pPr>
              <w:spacing w:after="0" w:line="240" w:lineRule="auto"/>
              <w:jc w:val="both"/>
              <w:rPr>
                <w:rFonts w:eastAsia="Times New Roman" w:cs="Calibri"/>
                <w:color w:val="000000"/>
                <w:lang w:eastAsia="hu-HU"/>
              </w:rPr>
            </w:pPr>
            <w:r w:rsidRPr="00F717A4">
              <w:rPr>
                <w:rFonts w:eastAsia="Times New Roman" w:cs="Calibri"/>
                <w:color w:val="000000"/>
                <w:lang w:eastAsia="hu-HU"/>
              </w:rPr>
              <w:t>500 000</w:t>
            </w:r>
          </w:p>
        </w:tc>
      </w:tr>
      <w:tr w:rsidR="001E4AC0" w:rsidRPr="00F717A4" w:rsidTr="00F5679C">
        <w:trPr>
          <w:trHeight w:val="315"/>
        </w:trPr>
        <w:tc>
          <w:tcPr>
            <w:tcW w:w="6678" w:type="dxa"/>
            <w:tcBorders>
              <w:top w:val="nil"/>
              <w:left w:val="single" w:sz="8" w:space="0" w:color="auto"/>
              <w:bottom w:val="single" w:sz="8" w:space="0" w:color="auto"/>
              <w:right w:val="single" w:sz="8" w:space="0" w:color="auto"/>
            </w:tcBorders>
            <w:shd w:val="clear" w:color="auto" w:fill="auto"/>
            <w:noWrap/>
            <w:vAlign w:val="center"/>
            <w:hideMark/>
          </w:tcPr>
          <w:p w:rsidR="001E4AC0" w:rsidRPr="00F717A4" w:rsidRDefault="001E4AC0" w:rsidP="00A67DB9">
            <w:pPr>
              <w:spacing w:after="0" w:line="240" w:lineRule="auto"/>
              <w:jc w:val="both"/>
              <w:rPr>
                <w:rFonts w:eastAsia="Times New Roman" w:cs="Calibri"/>
                <w:color w:val="000000"/>
                <w:lang w:eastAsia="hu-HU"/>
              </w:rPr>
            </w:pPr>
            <w:r w:rsidRPr="00F717A4">
              <w:rPr>
                <w:rFonts w:eastAsia="Times New Roman" w:cs="Calibri"/>
                <w:color w:val="000000"/>
                <w:lang w:eastAsia="hu-HU"/>
              </w:rPr>
              <w:t>Bank ktg.</w:t>
            </w:r>
          </w:p>
        </w:tc>
        <w:tc>
          <w:tcPr>
            <w:tcW w:w="1559" w:type="dxa"/>
            <w:tcBorders>
              <w:top w:val="nil"/>
              <w:left w:val="nil"/>
              <w:bottom w:val="single" w:sz="8" w:space="0" w:color="auto"/>
              <w:right w:val="single" w:sz="8" w:space="0" w:color="auto"/>
            </w:tcBorders>
            <w:shd w:val="clear" w:color="auto" w:fill="auto"/>
            <w:noWrap/>
            <w:vAlign w:val="center"/>
            <w:hideMark/>
          </w:tcPr>
          <w:p w:rsidR="001E4AC0" w:rsidRPr="00F717A4" w:rsidRDefault="001E4AC0" w:rsidP="00A67DB9">
            <w:pPr>
              <w:spacing w:after="0" w:line="240" w:lineRule="auto"/>
              <w:jc w:val="both"/>
              <w:rPr>
                <w:rFonts w:eastAsia="Times New Roman" w:cs="Calibri"/>
                <w:color w:val="000000"/>
                <w:lang w:eastAsia="hu-HU"/>
              </w:rPr>
            </w:pPr>
            <w:r w:rsidRPr="00F717A4">
              <w:rPr>
                <w:rFonts w:eastAsia="Times New Roman" w:cs="Calibri"/>
                <w:color w:val="000000"/>
                <w:lang w:eastAsia="hu-HU"/>
              </w:rPr>
              <w:t>800 000</w:t>
            </w:r>
          </w:p>
        </w:tc>
        <w:tc>
          <w:tcPr>
            <w:tcW w:w="1417" w:type="dxa"/>
            <w:tcBorders>
              <w:top w:val="nil"/>
              <w:left w:val="nil"/>
              <w:bottom w:val="single" w:sz="8" w:space="0" w:color="auto"/>
              <w:right w:val="single" w:sz="8" w:space="0" w:color="auto"/>
            </w:tcBorders>
            <w:vAlign w:val="center"/>
          </w:tcPr>
          <w:p w:rsidR="001E4AC0" w:rsidRPr="00F717A4" w:rsidRDefault="001E4AC0" w:rsidP="00A67DB9">
            <w:pPr>
              <w:spacing w:after="0" w:line="240" w:lineRule="auto"/>
              <w:jc w:val="both"/>
              <w:rPr>
                <w:rFonts w:eastAsia="Times New Roman" w:cs="Calibri"/>
                <w:color w:val="000000"/>
                <w:lang w:eastAsia="hu-HU"/>
              </w:rPr>
            </w:pPr>
            <w:r w:rsidRPr="00F717A4">
              <w:rPr>
                <w:rFonts w:eastAsia="Times New Roman" w:cs="Calibri"/>
                <w:color w:val="000000"/>
                <w:lang w:eastAsia="hu-HU"/>
              </w:rPr>
              <w:t>800 000</w:t>
            </w:r>
          </w:p>
        </w:tc>
      </w:tr>
      <w:tr w:rsidR="001E4AC0" w:rsidRPr="00F717A4" w:rsidTr="00F5679C">
        <w:trPr>
          <w:trHeight w:val="315"/>
        </w:trPr>
        <w:tc>
          <w:tcPr>
            <w:tcW w:w="6678" w:type="dxa"/>
            <w:tcBorders>
              <w:top w:val="nil"/>
              <w:left w:val="single" w:sz="8" w:space="0" w:color="auto"/>
              <w:bottom w:val="single" w:sz="8" w:space="0" w:color="auto"/>
              <w:right w:val="single" w:sz="8" w:space="0" w:color="auto"/>
            </w:tcBorders>
            <w:shd w:val="clear" w:color="auto" w:fill="auto"/>
            <w:noWrap/>
            <w:vAlign w:val="center"/>
            <w:hideMark/>
          </w:tcPr>
          <w:p w:rsidR="001E4AC0" w:rsidRPr="00952E6B" w:rsidRDefault="001E4AC0" w:rsidP="00A67DB9">
            <w:pPr>
              <w:spacing w:after="0" w:line="240" w:lineRule="auto"/>
              <w:jc w:val="both"/>
              <w:rPr>
                <w:rFonts w:eastAsia="Times New Roman" w:cs="Calibri"/>
                <w:color w:val="FF0000"/>
                <w:lang w:eastAsia="hu-HU"/>
              </w:rPr>
            </w:pPr>
            <w:r w:rsidRPr="00952E6B">
              <w:rPr>
                <w:rFonts w:eastAsia="Times New Roman" w:cs="Calibri"/>
                <w:color w:val="FF0000"/>
                <w:lang w:eastAsia="hu-HU"/>
              </w:rPr>
              <w:t>Bérköltség, járulékokkal 3 főre</w:t>
            </w:r>
          </w:p>
        </w:tc>
        <w:tc>
          <w:tcPr>
            <w:tcW w:w="1559" w:type="dxa"/>
            <w:tcBorders>
              <w:top w:val="nil"/>
              <w:left w:val="nil"/>
              <w:bottom w:val="single" w:sz="8" w:space="0" w:color="auto"/>
              <w:right w:val="single" w:sz="8" w:space="0" w:color="auto"/>
            </w:tcBorders>
            <w:shd w:val="clear" w:color="auto" w:fill="auto"/>
            <w:noWrap/>
            <w:vAlign w:val="center"/>
            <w:hideMark/>
          </w:tcPr>
          <w:p w:rsidR="001E4AC0" w:rsidRPr="00952E6B" w:rsidRDefault="00952E6B" w:rsidP="00952E6B">
            <w:pPr>
              <w:spacing w:after="0" w:line="240" w:lineRule="auto"/>
              <w:jc w:val="both"/>
              <w:rPr>
                <w:rFonts w:eastAsia="Times New Roman" w:cs="Calibri"/>
                <w:color w:val="FF0000"/>
                <w:lang w:eastAsia="hu-HU"/>
              </w:rPr>
            </w:pPr>
            <w:r w:rsidRPr="00952E6B">
              <w:rPr>
                <w:rFonts w:eastAsia="Times New Roman" w:cs="Calibri"/>
                <w:color w:val="FF0000"/>
                <w:lang w:eastAsia="hu-HU"/>
              </w:rPr>
              <w:t>14</w:t>
            </w:r>
            <w:r w:rsidR="001E4AC0" w:rsidRPr="00952E6B">
              <w:rPr>
                <w:rFonts w:eastAsia="Times New Roman" w:cs="Calibri"/>
                <w:color w:val="FF0000"/>
                <w:lang w:eastAsia="hu-HU"/>
              </w:rPr>
              <w:t xml:space="preserve"> </w:t>
            </w:r>
            <w:r w:rsidRPr="00952E6B">
              <w:rPr>
                <w:rFonts w:eastAsia="Times New Roman" w:cs="Calibri"/>
                <w:color w:val="FF0000"/>
                <w:lang w:eastAsia="hu-HU"/>
              </w:rPr>
              <w:t>50</w:t>
            </w:r>
            <w:r w:rsidR="001E4AC0" w:rsidRPr="00952E6B">
              <w:rPr>
                <w:rFonts w:eastAsia="Times New Roman" w:cs="Calibri"/>
                <w:color w:val="FF0000"/>
                <w:lang w:eastAsia="hu-HU"/>
              </w:rPr>
              <w:t>0 000</w:t>
            </w:r>
          </w:p>
        </w:tc>
        <w:tc>
          <w:tcPr>
            <w:tcW w:w="1417" w:type="dxa"/>
            <w:tcBorders>
              <w:top w:val="nil"/>
              <w:left w:val="nil"/>
              <w:bottom w:val="single" w:sz="8" w:space="0" w:color="auto"/>
              <w:right w:val="single" w:sz="8" w:space="0" w:color="auto"/>
            </w:tcBorders>
            <w:vAlign w:val="center"/>
          </w:tcPr>
          <w:p w:rsidR="001E4AC0" w:rsidRPr="00952E6B" w:rsidRDefault="00952E6B" w:rsidP="00952E6B">
            <w:pPr>
              <w:spacing w:after="0" w:line="240" w:lineRule="auto"/>
              <w:jc w:val="both"/>
              <w:rPr>
                <w:rFonts w:eastAsia="Times New Roman" w:cs="Calibri"/>
                <w:color w:val="FF0000"/>
                <w:lang w:eastAsia="hu-HU"/>
              </w:rPr>
            </w:pPr>
            <w:r w:rsidRPr="00952E6B">
              <w:rPr>
                <w:rFonts w:eastAsia="Times New Roman" w:cs="Calibri"/>
                <w:color w:val="FF0000"/>
                <w:lang w:eastAsia="hu-HU"/>
              </w:rPr>
              <w:t>14</w:t>
            </w:r>
            <w:r w:rsidR="001E4AC0" w:rsidRPr="00952E6B">
              <w:rPr>
                <w:rFonts w:eastAsia="Times New Roman" w:cs="Calibri"/>
                <w:color w:val="FF0000"/>
                <w:lang w:eastAsia="hu-HU"/>
              </w:rPr>
              <w:t xml:space="preserve"> 5</w:t>
            </w:r>
            <w:r w:rsidRPr="00952E6B">
              <w:rPr>
                <w:rFonts w:eastAsia="Times New Roman" w:cs="Calibri"/>
                <w:color w:val="FF0000"/>
                <w:lang w:eastAsia="hu-HU"/>
              </w:rPr>
              <w:t>0</w:t>
            </w:r>
            <w:r w:rsidR="001E4AC0" w:rsidRPr="00952E6B">
              <w:rPr>
                <w:rFonts w:eastAsia="Times New Roman" w:cs="Calibri"/>
                <w:color w:val="FF0000"/>
                <w:lang w:eastAsia="hu-HU"/>
              </w:rPr>
              <w:t>0 000</w:t>
            </w:r>
          </w:p>
        </w:tc>
      </w:tr>
      <w:tr w:rsidR="001E4AC0" w:rsidRPr="00F717A4" w:rsidTr="00F5679C">
        <w:trPr>
          <w:trHeight w:val="315"/>
        </w:trPr>
        <w:tc>
          <w:tcPr>
            <w:tcW w:w="6678" w:type="dxa"/>
            <w:tcBorders>
              <w:top w:val="nil"/>
              <w:left w:val="single" w:sz="8" w:space="0" w:color="auto"/>
              <w:bottom w:val="single" w:sz="8" w:space="0" w:color="auto"/>
              <w:right w:val="single" w:sz="8" w:space="0" w:color="auto"/>
            </w:tcBorders>
            <w:shd w:val="clear" w:color="auto" w:fill="auto"/>
            <w:vAlign w:val="center"/>
            <w:hideMark/>
          </w:tcPr>
          <w:p w:rsidR="001E4AC0" w:rsidRPr="00207396" w:rsidRDefault="001E4AC0" w:rsidP="00A67DB9">
            <w:pPr>
              <w:spacing w:after="0" w:line="240" w:lineRule="auto"/>
              <w:jc w:val="both"/>
              <w:rPr>
                <w:rFonts w:eastAsia="Times New Roman" w:cs="Calibri"/>
                <w:color w:val="FF0000"/>
                <w:lang w:eastAsia="hu-HU"/>
              </w:rPr>
            </w:pPr>
            <w:r w:rsidRPr="00207396">
              <w:rPr>
                <w:rFonts w:eastAsia="Times New Roman" w:cs="Calibri"/>
                <w:color w:val="FF0000"/>
                <w:lang w:eastAsia="hu-HU"/>
              </w:rPr>
              <w:t>Bérköltség járulékkal 8 hónapra számolva 4 főre</w:t>
            </w:r>
          </w:p>
        </w:tc>
        <w:tc>
          <w:tcPr>
            <w:tcW w:w="1559" w:type="dxa"/>
            <w:tcBorders>
              <w:top w:val="nil"/>
              <w:left w:val="nil"/>
              <w:bottom w:val="single" w:sz="8" w:space="0" w:color="auto"/>
              <w:right w:val="single" w:sz="8" w:space="0" w:color="auto"/>
            </w:tcBorders>
            <w:shd w:val="clear" w:color="auto" w:fill="auto"/>
            <w:noWrap/>
            <w:vAlign w:val="center"/>
            <w:hideMark/>
          </w:tcPr>
          <w:p w:rsidR="001E4AC0" w:rsidRPr="00207396" w:rsidRDefault="001E4AC0" w:rsidP="00A67DB9">
            <w:pPr>
              <w:spacing w:after="0" w:line="240" w:lineRule="auto"/>
              <w:jc w:val="both"/>
              <w:rPr>
                <w:rFonts w:eastAsia="Times New Roman" w:cs="Calibri"/>
                <w:color w:val="FF0000"/>
                <w:lang w:eastAsia="hu-HU"/>
              </w:rPr>
            </w:pPr>
            <w:r w:rsidRPr="00207396">
              <w:rPr>
                <w:rFonts w:eastAsia="Times New Roman" w:cs="Calibri"/>
                <w:color w:val="FF0000"/>
                <w:lang w:eastAsia="hu-HU"/>
              </w:rPr>
              <w:t>8 500 000</w:t>
            </w:r>
          </w:p>
        </w:tc>
        <w:tc>
          <w:tcPr>
            <w:tcW w:w="1417" w:type="dxa"/>
            <w:tcBorders>
              <w:top w:val="nil"/>
              <w:left w:val="nil"/>
              <w:bottom w:val="single" w:sz="8" w:space="0" w:color="auto"/>
              <w:right w:val="single" w:sz="8" w:space="0" w:color="auto"/>
            </w:tcBorders>
            <w:vAlign w:val="center"/>
          </w:tcPr>
          <w:p w:rsidR="001E4AC0" w:rsidRPr="00207396" w:rsidRDefault="001E4AC0" w:rsidP="00A67DB9">
            <w:pPr>
              <w:spacing w:after="0" w:line="240" w:lineRule="auto"/>
              <w:jc w:val="both"/>
              <w:rPr>
                <w:rFonts w:eastAsia="Times New Roman" w:cs="Calibri"/>
                <w:color w:val="FF0000"/>
                <w:lang w:eastAsia="hu-HU"/>
              </w:rPr>
            </w:pPr>
            <w:r w:rsidRPr="00207396">
              <w:rPr>
                <w:rFonts w:eastAsia="Times New Roman" w:cs="Calibri"/>
                <w:color w:val="FF0000"/>
                <w:lang w:eastAsia="hu-HU"/>
              </w:rPr>
              <w:t>8 500 000</w:t>
            </w:r>
          </w:p>
        </w:tc>
      </w:tr>
      <w:tr w:rsidR="001E4AC0" w:rsidRPr="00F717A4" w:rsidTr="00F5679C">
        <w:trPr>
          <w:trHeight w:val="315"/>
        </w:trPr>
        <w:tc>
          <w:tcPr>
            <w:tcW w:w="6678" w:type="dxa"/>
            <w:tcBorders>
              <w:top w:val="nil"/>
              <w:left w:val="single" w:sz="8" w:space="0" w:color="auto"/>
              <w:bottom w:val="single" w:sz="8" w:space="0" w:color="auto"/>
              <w:right w:val="single" w:sz="8" w:space="0" w:color="auto"/>
            </w:tcBorders>
            <w:shd w:val="clear" w:color="auto" w:fill="auto"/>
            <w:vAlign w:val="center"/>
            <w:hideMark/>
          </w:tcPr>
          <w:p w:rsidR="001E4AC0" w:rsidRPr="00207396" w:rsidRDefault="001E4AC0" w:rsidP="00A67DB9">
            <w:pPr>
              <w:spacing w:after="0" w:line="240" w:lineRule="auto"/>
              <w:jc w:val="both"/>
              <w:rPr>
                <w:rFonts w:eastAsia="Times New Roman" w:cs="Calibri"/>
                <w:color w:val="FF0000"/>
                <w:lang w:eastAsia="hu-HU"/>
              </w:rPr>
            </w:pPr>
            <w:r w:rsidRPr="00207396">
              <w:rPr>
                <w:rFonts w:eastAsia="Times New Roman" w:cs="Calibri"/>
                <w:color w:val="FF0000"/>
                <w:lang w:eastAsia="hu-HU"/>
              </w:rPr>
              <w:t>Egyéb személyi költség (napidíj, szállás, gk.haszn, béren kívüli juttatások)</w:t>
            </w:r>
          </w:p>
        </w:tc>
        <w:tc>
          <w:tcPr>
            <w:tcW w:w="1559" w:type="dxa"/>
            <w:tcBorders>
              <w:top w:val="nil"/>
              <w:left w:val="nil"/>
              <w:bottom w:val="single" w:sz="8" w:space="0" w:color="auto"/>
              <w:right w:val="single" w:sz="8" w:space="0" w:color="auto"/>
            </w:tcBorders>
            <w:shd w:val="clear" w:color="auto" w:fill="auto"/>
            <w:noWrap/>
            <w:vAlign w:val="center"/>
            <w:hideMark/>
          </w:tcPr>
          <w:p w:rsidR="001E4AC0" w:rsidRPr="00207396" w:rsidRDefault="001E4AC0" w:rsidP="00A67DB9">
            <w:pPr>
              <w:spacing w:after="0" w:line="240" w:lineRule="auto"/>
              <w:jc w:val="both"/>
              <w:rPr>
                <w:rFonts w:eastAsia="Times New Roman" w:cs="Calibri"/>
                <w:color w:val="FF0000"/>
                <w:lang w:eastAsia="hu-HU"/>
              </w:rPr>
            </w:pPr>
            <w:r w:rsidRPr="00207396">
              <w:rPr>
                <w:rFonts w:eastAsia="Times New Roman" w:cs="Calibri"/>
                <w:color w:val="FF0000"/>
                <w:lang w:eastAsia="hu-HU"/>
              </w:rPr>
              <w:t>2 800 000</w:t>
            </w:r>
          </w:p>
        </w:tc>
        <w:tc>
          <w:tcPr>
            <w:tcW w:w="1417" w:type="dxa"/>
            <w:tcBorders>
              <w:top w:val="nil"/>
              <w:left w:val="nil"/>
              <w:bottom w:val="single" w:sz="8" w:space="0" w:color="auto"/>
              <w:right w:val="single" w:sz="8" w:space="0" w:color="auto"/>
            </w:tcBorders>
            <w:vAlign w:val="center"/>
          </w:tcPr>
          <w:p w:rsidR="001E4AC0" w:rsidRPr="00207396" w:rsidRDefault="001E4AC0" w:rsidP="00A67DB9">
            <w:pPr>
              <w:spacing w:after="0" w:line="240" w:lineRule="auto"/>
              <w:jc w:val="both"/>
              <w:rPr>
                <w:rFonts w:eastAsia="Times New Roman" w:cs="Calibri"/>
                <w:color w:val="FF0000"/>
                <w:lang w:eastAsia="hu-HU"/>
              </w:rPr>
            </w:pPr>
            <w:r w:rsidRPr="00207396">
              <w:rPr>
                <w:rFonts w:eastAsia="Times New Roman" w:cs="Calibri"/>
                <w:color w:val="FF0000"/>
                <w:lang w:eastAsia="hu-HU"/>
              </w:rPr>
              <w:t>2 800 000</w:t>
            </w:r>
          </w:p>
        </w:tc>
      </w:tr>
      <w:tr w:rsidR="00E44ED5" w:rsidRPr="00F717A4" w:rsidTr="00F5679C">
        <w:trPr>
          <w:trHeight w:val="315"/>
        </w:trPr>
        <w:tc>
          <w:tcPr>
            <w:tcW w:w="6678" w:type="dxa"/>
            <w:tcBorders>
              <w:top w:val="nil"/>
              <w:left w:val="single" w:sz="8" w:space="0" w:color="auto"/>
              <w:bottom w:val="single" w:sz="8" w:space="0" w:color="auto"/>
              <w:right w:val="single" w:sz="8" w:space="0" w:color="auto"/>
            </w:tcBorders>
            <w:shd w:val="clear" w:color="auto" w:fill="auto"/>
            <w:noWrap/>
            <w:vAlign w:val="center"/>
            <w:hideMark/>
          </w:tcPr>
          <w:p w:rsidR="00E44ED5" w:rsidRPr="00BA6839" w:rsidRDefault="00E44ED5" w:rsidP="00A67DB9">
            <w:pPr>
              <w:spacing w:after="0" w:line="240" w:lineRule="auto"/>
              <w:jc w:val="both"/>
              <w:rPr>
                <w:rFonts w:eastAsia="Times New Roman" w:cs="Calibri"/>
                <w:color w:val="FF0000"/>
                <w:lang w:eastAsia="hu-HU"/>
              </w:rPr>
            </w:pPr>
            <w:r w:rsidRPr="00BA6839">
              <w:rPr>
                <w:rFonts w:eastAsia="Times New Roman" w:cs="Calibri"/>
                <w:color w:val="FF0000"/>
                <w:lang w:eastAsia="hu-HU"/>
              </w:rPr>
              <w:t>Hakone együttműködés költségei</w:t>
            </w:r>
          </w:p>
        </w:tc>
        <w:tc>
          <w:tcPr>
            <w:tcW w:w="1559" w:type="dxa"/>
            <w:tcBorders>
              <w:top w:val="nil"/>
              <w:left w:val="nil"/>
              <w:bottom w:val="single" w:sz="8" w:space="0" w:color="auto"/>
              <w:right w:val="single" w:sz="8" w:space="0" w:color="auto"/>
            </w:tcBorders>
            <w:shd w:val="clear" w:color="auto" w:fill="auto"/>
            <w:noWrap/>
            <w:vAlign w:val="center"/>
            <w:hideMark/>
          </w:tcPr>
          <w:p w:rsidR="00E44ED5" w:rsidRPr="00BA6839" w:rsidRDefault="00952E6B" w:rsidP="00A67DB9">
            <w:pPr>
              <w:spacing w:after="0" w:line="240" w:lineRule="auto"/>
              <w:jc w:val="both"/>
              <w:rPr>
                <w:rFonts w:eastAsia="Times New Roman" w:cs="Calibri"/>
                <w:color w:val="FF0000"/>
                <w:lang w:eastAsia="hu-HU"/>
              </w:rPr>
            </w:pPr>
            <w:r>
              <w:rPr>
                <w:rFonts w:eastAsia="Times New Roman" w:cs="Calibri"/>
                <w:color w:val="FF0000"/>
                <w:lang w:eastAsia="hu-HU"/>
              </w:rPr>
              <w:t>790</w:t>
            </w:r>
            <w:r w:rsidR="00E44ED5" w:rsidRPr="00BA6839">
              <w:rPr>
                <w:rFonts w:eastAsia="Times New Roman" w:cs="Calibri"/>
                <w:color w:val="FF0000"/>
                <w:lang w:eastAsia="hu-HU"/>
              </w:rPr>
              <w:t xml:space="preserve"> 000</w:t>
            </w:r>
          </w:p>
        </w:tc>
        <w:tc>
          <w:tcPr>
            <w:tcW w:w="1417" w:type="dxa"/>
            <w:tcBorders>
              <w:top w:val="nil"/>
              <w:left w:val="nil"/>
              <w:bottom w:val="single" w:sz="8" w:space="0" w:color="auto"/>
              <w:right w:val="single" w:sz="8" w:space="0" w:color="auto"/>
            </w:tcBorders>
            <w:vAlign w:val="center"/>
          </w:tcPr>
          <w:p w:rsidR="00E44ED5" w:rsidRPr="00BA6839" w:rsidRDefault="00952E6B" w:rsidP="00A67DB9">
            <w:pPr>
              <w:spacing w:after="0" w:line="240" w:lineRule="auto"/>
              <w:jc w:val="both"/>
              <w:rPr>
                <w:rFonts w:eastAsia="Times New Roman" w:cs="Calibri"/>
                <w:color w:val="FF0000"/>
                <w:lang w:eastAsia="hu-HU"/>
              </w:rPr>
            </w:pPr>
            <w:r>
              <w:rPr>
                <w:rFonts w:eastAsia="Times New Roman" w:cs="Calibri"/>
                <w:color w:val="FF0000"/>
                <w:lang w:eastAsia="hu-HU"/>
              </w:rPr>
              <w:t>790</w:t>
            </w:r>
            <w:r w:rsidR="00E44ED5" w:rsidRPr="00BA6839">
              <w:rPr>
                <w:rFonts w:eastAsia="Times New Roman" w:cs="Calibri"/>
                <w:color w:val="FF0000"/>
                <w:lang w:eastAsia="hu-HU"/>
              </w:rPr>
              <w:t xml:space="preserve"> 000</w:t>
            </w:r>
          </w:p>
        </w:tc>
      </w:tr>
      <w:tr w:rsidR="00E44ED5" w:rsidRPr="00F717A4" w:rsidTr="00F5679C">
        <w:trPr>
          <w:trHeight w:val="315"/>
        </w:trPr>
        <w:tc>
          <w:tcPr>
            <w:tcW w:w="6678" w:type="dxa"/>
            <w:tcBorders>
              <w:top w:val="nil"/>
              <w:left w:val="single" w:sz="8" w:space="0" w:color="auto"/>
              <w:bottom w:val="single" w:sz="8" w:space="0" w:color="auto"/>
              <w:right w:val="single" w:sz="8" w:space="0" w:color="auto"/>
            </w:tcBorders>
            <w:shd w:val="clear" w:color="auto" w:fill="auto"/>
            <w:noWrap/>
            <w:vAlign w:val="center"/>
            <w:hideMark/>
          </w:tcPr>
          <w:p w:rsidR="00E44ED5" w:rsidRPr="00BA6839" w:rsidRDefault="00E44ED5" w:rsidP="00A67DB9">
            <w:pPr>
              <w:spacing w:after="0" w:line="240" w:lineRule="auto"/>
              <w:jc w:val="both"/>
              <w:rPr>
                <w:rFonts w:eastAsia="Times New Roman" w:cs="Calibri"/>
                <w:color w:val="FF0000"/>
                <w:lang w:eastAsia="hu-HU"/>
              </w:rPr>
            </w:pPr>
            <w:r w:rsidRPr="00BA6839">
              <w:rPr>
                <w:rFonts w:eastAsia="Times New Roman" w:cs="Calibri"/>
                <w:color w:val="FF0000"/>
                <w:lang w:eastAsia="hu-HU"/>
              </w:rPr>
              <w:t>Üzleti terv felülvizsgálat</w:t>
            </w:r>
          </w:p>
        </w:tc>
        <w:tc>
          <w:tcPr>
            <w:tcW w:w="1559" w:type="dxa"/>
            <w:tcBorders>
              <w:top w:val="nil"/>
              <w:left w:val="nil"/>
              <w:bottom w:val="single" w:sz="8" w:space="0" w:color="auto"/>
              <w:right w:val="single" w:sz="8" w:space="0" w:color="auto"/>
            </w:tcBorders>
            <w:shd w:val="clear" w:color="auto" w:fill="auto"/>
            <w:noWrap/>
            <w:vAlign w:val="center"/>
            <w:hideMark/>
          </w:tcPr>
          <w:p w:rsidR="00E44ED5" w:rsidRPr="00BA6839" w:rsidRDefault="00E44ED5" w:rsidP="00A67DB9">
            <w:pPr>
              <w:spacing w:after="0" w:line="240" w:lineRule="auto"/>
              <w:jc w:val="both"/>
              <w:rPr>
                <w:rFonts w:eastAsia="Times New Roman" w:cs="Calibri"/>
                <w:color w:val="FF0000"/>
                <w:lang w:eastAsia="hu-HU"/>
              </w:rPr>
            </w:pPr>
            <w:r w:rsidRPr="00BA6839">
              <w:rPr>
                <w:rFonts w:eastAsia="Times New Roman" w:cs="Calibri"/>
                <w:color w:val="FF0000"/>
                <w:lang w:eastAsia="hu-HU"/>
              </w:rPr>
              <w:t>460 000</w:t>
            </w:r>
          </w:p>
        </w:tc>
        <w:tc>
          <w:tcPr>
            <w:tcW w:w="1417" w:type="dxa"/>
            <w:tcBorders>
              <w:top w:val="nil"/>
              <w:left w:val="nil"/>
              <w:bottom w:val="single" w:sz="8" w:space="0" w:color="auto"/>
              <w:right w:val="single" w:sz="8" w:space="0" w:color="auto"/>
            </w:tcBorders>
            <w:vAlign w:val="center"/>
          </w:tcPr>
          <w:p w:rsidR="00E44ED5" w:rsidRPr="00BA6839" w:rsidRDefault="00E44ED5" w:rsidP="00A67DB9">
            <w:pPr>
              <w:spacing w:after="0" w:line="240" w:lineRule="auto"/>
              <w:jc w:val="both"/>
              <w:rPr>
                <w:rFonts w:eastAsia="Times New Roman" w:cs="Calibri"/>
                <w:color w:val="FF0000"/>
                <w:lang w:eastAsia="hu-HU"/>
              </w:rPr>
            </w:pPr>
            <w:r w:rsidRPr="00BA6839">
              <w:rPr>
                <w:rFonts w:eastAsia="Times New Roman" w:cs="Calibri"/>
                <w:color w:val="FF0000"/>
                <w:lang w:eastAsia="hu-HU"/>
              </w:rPr>
              <w:t>460 000</w:t>
            </w:r>
          </w:p>
        </w:tc>
      </w:tr>
      <w:tr w:rsidR="001E4AC0" w:rsidRPr="00F717A4" w:rsidTr="00F5679C">
        <w:trPr>
          <w:trHeight w:val="315"/>
        </w:trPr>
        <w:tc>
          <w:tcPr>
            <w:tcW w:w="6678" w:type="dxa"/>
            <w:tcBorders>
              <w:top w:val="nil"/>
              <w:left w:val="single" w:sz="8" w:space="0" w:color="auto"/>
              <w:bottom w:val="single" w:sz="8" w:space="0" w:color="auto"/>
              <w:right w:val="single" w:sz="8" w:space="0" w:color="auto"/>
            </w:tcBorders>
            <w:shd w:val="clear" w:color="auto" w:fill="auto"/>
            <w:noWrap/>
            <w:vAlign w:val="center"/>
            <w:hideMark/>
          </w:tcPr>
          <w:p w:rsidR="001E4AC0" w:rsidRPr="00F717A4" w:rsidRDefault="001E4AC0" w:rsidP="00A67DB9">
            <w:pPr>
              <w:spacing w:after="0" w:line="240" w:lineRule="auto"/>
              <w:jc w:val="both"/>
              <w:rPr>
                <w:rFonts w:eastAsia="Times New Roman" w:cs="Calibri"/>
                <w:color w:val="000000"/>
                <w:lang w:eastAsia="hu-HU"/>
              </w:rPr>
            </w:pPr>
            <w:r w:rsidRPr="00F717A4">
              <w:rPr>
                <w:rFonts w:eastAsia="Times New Roman" w:cs="Calibri"/>
                <w:color w:val="000000"/>
                <w:lang w:eastAsia="hu-HU"/>
              </w:rPr>
              <w:t>Anyagköltség (nyomtatvány, tisztítószer, iroda karbantartás) összesen</w:t>
            </w:r>
          </w:p>
        </w:tc>
        <w:tc>
          <w:tcPr>
            <w:tcW w:w="1559" w:type="dxa"/>
            <w:tcBorders>
              <w:top w:val="nil"/>
              <w:left w:val="nil"/>
              <w:bottom w:val="single" w:sz="8" w:space="0" w:color="auto"/>
              <w:right w:val="single" w:sz="8" w:space="0" w:color="auto"/>
            </w:tcBorders>
            <w:shd w:val="clear" w:color="auto" w:fill="auto"/>
            <w:noWrap/>
            <w:vAlign w:val="center"/>
            <w:hideMark/>
          </w:tcPr>
          <w:p w:rsidR="001E4AC0" w:rsidRPr="00F717A4" w:rsidRDefault="001E4AC0" w:rsidP="00A67DB9">
            <w:pPr>
              <w:spacing w:after="0" w:line="240" w:lineRule="auto"/>
              <w:jc w:val="both"/>
              <w:rPr>
                <w:rFonts w:eastAsia="Times New Roman" w:cs="Calibri"/>
                <w:color w:val="000000"/>
                <w:lang w:eastAsia="hu-HU"/>
              </w:rPr>
            </w:pPr>
            <w:r w:rsidRPr="00F717A4">
              <w:rPr>
                <w:rFonts w:eastAsia="Times New Roman" w:cs="Calibri"/>
                <w:color w:val="000000"/>
                <w:lang w:eastAsia="hu-HU"/>
              </w:rPr>
              <w:t>200 000</w:t>
            </w:r>
          </w:p>
        </w:tc>
        <w:tc>
          <w:tcPr>
            <w:tcW w:w="1417" w:type="dxa"/>
            <w:tcBorders>
              <w:top w:val="nil"/>
              <w:left w:val="nil"/>
              <w:bottom w:val="single" w:sz="8" w:space="0" w:color="auto"/>
              <w:right w:val="single" w:sz="8" w:space="0" w:color="auto"/>
            </w:tcBorders>
            <w:vAlign w:val="center"/>
          </w:tcPr>
          <w:p w:rsidR="001E4AC0" w:rsidRPr="00F717A4" w:rsidRDefault="001E4AC0" w:rsidP="00A67DB9">
            <w:pPr>
              <w:spacing w:after="0" w:line="240" w:lineRule="auto"/>
              <w:jc w:val="both"/>
              <w:rPr>
                <w:rFonts w:eastAsia="Times New Roman" w:cs="Calibri"/>
                <w:color w:val="000000"/>
                <w:lang w:eastAsia="hu-HU"/>
              </w:rPr>
            </w:pPr>
            <w:r w:rsidRPr="00F717A4">
              <w:rPr>
                <w:rFonts w:eastAsia="Times New Roman" w:cs="Calibri"/>
                <w:color w:val="000000"/>
                <w:lang w:eastAsia="hu-HU"/>
              </w:rPr>
              <w:t>200 000</w:t>
            </w:r>
          </w:p>
        </w:tc>
      </w:tr>
      <w:tr w:rsidR="001E4AC0" w:rsidRPr="00F717A4" w:rsidTr="00F5679C">
        <w:trPr>
          <w:trHeight w:val="315"/>
        </w:trPr>
        <w:tc>
          <w:tcPr>
            <w:tcW w:w="6678" w:type="dxa"/>
            <w:tcBorders>
              <w:top w:val="nil"/>
              <w:left w:val="single" w:sz="8" w:space="0" w:color="auto"/>
              <w:bottom w:val="single" w:sz="8" w:space="0" w:color="auto"/>
              <w:right w:val="single" w:sz="8" w:space="0" w:color="auto"/>
            </w:tcBorders>
            <w:shd w:val="clear" w:color="000000" w:fill="95B3D7"/>
            <w:noWrap/>
            <w:vAlign w:val="center"/>
            <w:hideMark/>
          </w:tcPr>
          <w:p w:rsidR="001E4AC0" w:rsidRPr="00207396" w:rsidRDefault="001E4AC0" w:rsidP="00A67DB9">
            <w:pPr>
              <w:spacing w:after="0" w:line="240" w:lineRule="auto"/>
              <w:jc w:val="both"/>
              <w:rPr>
                <w:rFonts w:eastAsia="Times New Roman" w:cs="Calibri"/>
                <w:b/>
                <w:bCs/>
                <w:color w:val="FF0000"/>
                <w:lang w:eastAsia="hu-HU"/>
              </w:rPr>
            </w:pPr>
            <w:r w:rsidRPr="00207396">
              <w:rPr>
                <w:rFonts w:eastAsia="Times New Roman" w:cs="Calibri"/>
                <w:b/>
                <w:bCs/>
                <w:color w:val="FF0000"/>
                <w:lang w:eastAsia="hu-HU"/>
              </w:rPr>
              <w:t>Működési és karbantartási költségek összesen</w:t>
            </w:r>
          </w:p>
        </w:tc>
        <w:tc>
          <w:tcPr>
            <w:tcW w:w="1559" w:type="dxa"/>
            <w:tcBorders>
              <w:top w:val="nil"/>
              <w:left w:val="nil"/>
              <w:bottom w:val="single" w:sz="8" w:space="0" w:color="auto"/>
              <w:right w:val="single" w:sz="8" w:space="0" w:color="auto"/>
            </w:tcBorders>
            <w:shd w:val="clear" w:color="000000" w:fill="95B3D7"/>
            <w:noWrap/>
            <w:vAlign w:val="center"/>
            <w:hideMark/>
          </w:tcPr>
          <w:p w:rsidR="001E4AC0" w:rsidRPr="00207396" w:rsidRDefault="00BA6839" w:rsidP="00952E6B">
            <w:pPr>
              <w:spacing w:after="0" w:line="240" w:lineRule="auto"/>
              <w:jc w:val="both"/>
              <w:rPr>
                <w:rFonts w:eastAsia="Times New Roman" w:cs="Calibri"/>
                <w:b/>
                <w:bCs/>
                <w:color w:val="FF0000"/>
                <w:lang w:eastAsia="hu-HU"/>
              </w:rPr>
            </w:pPr>
            <w:r>
              <w:rPr>
                <w:rFonts w:eastAsia="Times New Roman" w:cs="Calibri"/>
                <w:b/>
                <w:bCs/>
                <w:color w:val="FF0000"/>
                <w:lang w:eastAsia="hu-HU"/>
              </w:rPr>
              <w:t>3</w:t>
            </w:r>
            <w:r w:rsidR="00952E6B">
              <w:rPr>
                <w:rFonts w:eastAsia="Times New Roman" w:cs="Calibri"/>
                <w:b/>
                <w:bCs/>
                <w:color w:val="FF0000"/>
                <w:lang w:eastAsia="hu-HU"/>
              </w:rPr>
              <w:t>1</w:t>
            </w:r>
            <w:r w:rsidR="001E4AC0" w:rsidRPr="00207396">
              <w:rPr>
                <w:rFonts w:eastAsia="Times New Roman" w:cs="Calibri"/>
                <w:b/>
                <w:bCs/>
                <w:color w:val="FF0000"/>
                <w:lang w:eastAsia="hu-HU"/>
              </w:rPr>
              <w:t xml:space="preserve"> </w:t>
            </w:r>
            <w:r w:rsidR="00952E6B">
              <w:rPr>
                <w:rFonts w:eastAsia="Times New Roman" w:cs="Calibri"/>
                <w:b/>
                <w:bCs/>
                <w:color w:val="FF0000"/>
                <w:lang w:eastAsia="hu-HU"/>
              </w:rPr>
              <w:t>50</w:t>
            </w:r>
            <w:r w:rsidR="001E4AC0" w:rsidRPr="00207396">
              <w:rPr>
                <w:rFonts w:eastAsia="Times New Roman" w:cs="Calibri"/>
                <w:b/>
                <w:bCs/>
                <w:color w:val="FF0000"/>
                <w:lang w:eastAsia="hu-HU"/>
              </w:rPr>
              <w:t>0 000</w:t>
            </w:r>
          </w:p>
        </w:tc>
        <w:tc>
          <w:tcPr>
            <w:tcW w:w="1417" w:type="dxa"/>
            <w:tcBorders>
              <w:top w:val="nil"/>
              <w:left w:val="nil"/>
              <w:bottom w:val="single" w:sz="8" w:space="0" w:color="auto"/>
              <w:right w:val="single" w:sz="8" w:space="0" w:color="auto"/>
            </w:tcBorders>
            <w:shd w:val="clear" w:color="000000" w:fill="95B3D7"/>
            <w:vAlign w:val="center"/>
          </w:tcPr>
          <w:p w:rsidR="001E4AC0" w:rsidRPr="00207396" w:rsidRDefault="00952E6B" w:rsidP="00952E6B">
            <w:pPr>
              <w:spacing w:after="0" w:line="240" w:lineRule="auto"/>
              <w:jc w:val="both"/>
              <w:rPr>
                <w:rFonts w:eastAsia="Times New Roman" w:cs="Calibri"/>
                <w:b/>
                <w:bCs/>
                <w:color w:val="FF0000"/>
                <w:lang w:eastAsia="hu-HU"/>
              </w:rPr>
            </w:pPr>
            <w:r>
              <w:rPr>
                <w:rFonts w:eastAsia="Times New Roman" w:cs="Calibri"/>
                <w:b/>
                <w:bCs/>
                <w:color w:val="FF0000"/>
                <w:lang w:eastAsia="hu-HU"/>
              </w:rPr>
              <w:t>31</w:t>
            </w:r>
            <w:r w:rsidR="001E4AC0" w:rsidRPr="00207396">
              <w:rPr>
                <w:rFonts w:eastAsia="Times New Roman" w:cs="Calibri"/>
                <w:b/>
                <w:bCs/>
                <w:color w:val="FF0000"/>
                <w:lang w:eastAsia="hu-HU"/>
              </w:rPr>
              <w:t xml:space="preserve"> </w:t>
            </w:r>
            <w:r>
              <w:rPr>
                <w:rFonts w:eastAsia="Times New Roman" w:cs="Calibri"/>
                <w:b/>
                <w:bCs/>
                <w:color w:val="FF0000"/>
                <w:lang w:eastAsia="hu-HU"/>
              </w:rPr>
              <w:t>50</w:t>
            </w:r>
            <w:r w:rsidR="001E4AC0" w:rsidRPr="00207396">
              <w:rPr>
                <w:rFonts w:eastAsia="Times New Roman" w:cs="Calibri"/>
                <w:b/>
                <w:bCs/>
                <w:color w:val="FF0000"/>
                <w:lang w:eastAsia="hu-HU"/>
              </w:rPr>
              <w:t>0 000</w:t>
            </w:r>
          </w:p>
        </w:tc>
      </w:tr>
      <w:tr w:rsidR="001E4AC0" w:rsidRPr="00F717A4" w:rsidTr="00F5679C">
        <w:trPr>
          <w:trHeight w:val="315"/>
        </w:trPr>
        <w:tc>
          <w:tcPr>
            <w:tcW w:w="6678" w:type="dxa"/>
            <w:tcBorders>
              <w:top w:val="nil"/>
              <w:left w:val="single" w:sz="8" w:space="0" w:color="auto"/>
              <w:bottom w:val="single" w:sz="8" w:space="0" w:color="auto"/>
              <w:right w:val="single" w:sz="8" w:space="0" w:color="auto"/>
            </w:tcBorders>
            <w:shd w:val="clear" w:color="000000" w:fill="95B3D7"/>
            <w:noWrap/>
            <w:vAlign w:val="center"/>
            <w:hideMark/>
          </w:tcPr>
          <w:p w:rsidR="001E4AC0" w:rsidRPr="00207396" w:rsidRDefault="001E4AC0" w:rsidP="00A67DB9">
            <w:pPr>
              <w:spacing w:after="0" w:line="240" w:lineRule="auto"/>
              <w:jc w:val="both"/>
              <w:rPr>
                <w:rFonts w:eastAsia="Times New Roman" w:cs="Calibri"/>
                <w:b/>
                <w:bCs/>
                <w:color w:val="FF0000"/>
                <w:lang w:eastAsia="hu-HU"/>
              </w:rPr>
            </w:pPr>
            <w:r w:rsidRPr="00207396">
              <w:rPr>
                <w:rFonts w:eastAsia="Times New Roman" w:cs="Calibri"/>
                <w:b/>
                <w:bCs/>
                <w:color w:val="FF0000"/>
                <w:lang w:eastAsia="hu-HU"/>
              </w:rPr>
              <w:t>Marketing költségek mindösszesen</w:t>
            </w:r>
          </w:p>
        </w:tc>
        <w:tc>
          <w:tcPr>
            <w:tcW w:w="1559" w:type="dxa"/>
            <w:tcBorders>
              <w:top w:val="nil"/>
              <w:left w:val="nil"/>
              <w:bottom w:val="single" w:sz="8" w:space="0" w:color="auto"/>
              <w:right w:val="single" w:sz="8" w:space="0" w:color="auto"/>
            </w:tcBorders>
            <w:shd w:val="clear" w:color="000000" w:fill="95B3D7"/>
            <w:noWrap/>
            <w:vAlign w:val="bottom"/>
            <w:hideMark/>
          </w:tcPr>
          <w:p w:rsidR="001E4AC0" w:rsidRPr="00207396" w:rsidRDefault="00F96CE3" w:rsidP="00952E6B">
            <w:pPr>
              <w:spacing w:after="0" w:line="240" w:lineRule="auto"/>
              <w:jc w:val="both"/>
              <w:rPr>
                <w:rFonts w:eastAsia="Times New Roman" w:cs="Calibri"/>
                <w:b/>
                <w:bCs/>
                <w:color w:val="FF0000"/>
                <w:sz w:val="20"/>
                <w:szCs w:val="20"/>
                <w:lang w:eastAsia="hu-HU"/>
              </w:rPr>
            </w:pPr>
            <w:r>
              <w:rPr>
                <w:rFonts w:eastAsia="Times New Roman" w:cs="Calibri"/>
                <w:b/>
                <w:bCs/>
                <w:color w:val="FF0000"/>
                <w:sz w:val="20"/>
                <w:szCs w:val="20"/>
                <w:lang w:eastAsia="hu-HU"/>
              </w:rPr>
              <w:t>10</w:t>
            </w:r>
            <w:r w:rsidR="00952E6B">
              <w:rPr>
                <w:rFonts w:eastAsia="Times New Roman" w:cs="Calibri"/>
                <w:b/>
                <w:bCs/>
                <w:color w:val="FF0000"/>
                <w:sz w:val="20"/>
                <w:szCs w:val="20"/>
                <w:lang w:eastAsia="hu-HU"/>
              </w:rPr>
              <w:t>0</w:t>
            </w:r>
            <w:r w:rsidR="001E4AC0" w:rsidRPr="00207396">
              <w:rPr>
                <w:rFonts w:eastAsia="Times New Roman" w:cs="Calibri"/>
                <w:b/>
                <w:bCs/>
                <w:color w:val="FF0000"/>
                <w:sz w:val="20"/>
                <w:szCs w:val="20"/>
                <w:lang w:eastAsia="hu-HU"/>
              </w:rPr>
              <w:t xml:space="preserve"> </w:t>
            </w:r>
            <w:r w:rsidR="00952E6B">
              <w:rPr>
                <w:rFonts w:eastAsia="Times New Roman" w:cs="Calibri"/>
                <w:b/>
                <w:bCs/>
                <w:color w:val="FF0000"/>
                <w:sz w:val="20"/>
                <w:szCs w:val="20"/>
                <w:lang w:eastAsia="hu-HU"/>
              </w:rPr>
              <w:t>5</w:t>
            </w:r>
            <w:r w:rsidR="00BA6839">
              <w:rPr>
                <w:rFonts w:eastAsia="Times New Roman" w:cs="Calibri"/>
                <w:b/>
                <w:bCs/>
                <w:color w:val="FF0000"/>
                <w:sz w:val="20"/>
                <w:szCs w:val="20"/>
                <w:lang w:eastAsia="hu-HU"/>
              </w:rPr>
              <w:t>0</w:t>
            </w:r>
            <w:r w:rsidR="001E4AC0" w:rsidRPr="00207396">
              <w:rPr>
                <w:rFonts w:eastAsia="Times New Roman" w:cs="Calibri"/>
                <w:b/>
                <w:bCs/>
                <w:color w:val="FF0000"/>
                <w:sz w:val="20"/>
                <w:szCs w:val="20"/>
                <w:lang w:eastAsia="hu-HU"/>
              </w:rPr>
              <w:t>0 000</w:t>
            </w:r>
          </w:p>
        </w:tc>
        <w:tc>
          <w:tcPr>
            <w:tcW w:w="1417" w:type="dxa"/>
            <w:tcBorders>
              <w:top w:val="nil"/>
              <w:left w:val="nil"/>
              <w:bottom w:val="single" w:sz="8" w:space="0" w:color="auto"/>
              <w:right w:val="single" w:sz="8" w:space="0" w:color="auto"/>
            </w:tcBorders>
            <w:shd w:val="clear" w:color="000000" w:fill="95B3D7"/>
            <w:vAlign w:val="bottom"/>
          </w:tcPr>
          <w:p w:rsidR="001E4AC0" w:rsidRPr="00207396" w:rsidRDefault="00E44ED5" w:rsidP="00952E6B">
            <w:pPr>
              <w:spacing w:after="0" w:line="240" w:lineRule="auto"/>
              <w:jc w:val="both"/>
              <w:rPr>
                <w:rFonts w:eastAsia="Times New Roman" w:cs="Calibri"/>
                <w:b/>
                <w:color w:val="FF0000"/>
                <w:sz w:val="20"/>
                <w:szCs w:val="20"/>
                <w:lang w:eastAsia="hu-HU"/>
              </w:rPr>
            </w:pPr>
            <w:r>
              <w:rPr>
                <w:rFonts w:eastAsia="Times New Roman" w:cs="Calibri"/>
                <w:b/>
                <w:color w:val="FF0000"/>
                <w:sz w:val="20"/>
                <w:szCs w:val="20"/>
                <w:lang w:eastAsia="hu-HU"/>
              </w:rPr>
              <w:t>8</w:t>
            </w:r>
            <w:r w:rsidR="00952E6B">
              <w:rPr>
                <w:rFonts w:eastAsia="Times New Roman" w:cs="Calibri"/>
                <w:b/>
                <w:color w:val="FF0000"/>
                <w:sz w:val="20"/>
                <w:szCs w:val="20"/>
                <w:lang w:eastAsia="hu-HU"/>
              </w:rPr>
              <w:t>1</w:t>
            </w:r>
            <w:r w:rsidR="001E4AC0" w:rsidRPr="00207396">
              <w:rPr>
                <w:rFonts w:eastAsia="Times New Roman" w:cs="Calibri"/>
                <w:b/>
                <w:color w:val="FF0000"/>
                <w:sz w:val="20"/>
                <w:szCs w:val="20"/>
                <w:lang w:eastAsia="hu-HU"/>
              </w:rPr>
              <w:t> </w:t>
            </w:r>
            <w:r w:rsidR="00952E6B">
              <w:rPr>
                <w:rFonts w:eastAsia="Times New Roman" w:cs="Calibri"/>
                <w:b/>
                <w:color w:val="FF0000"/>
                <w:sz w:val="20"/>
                <w:szCs w:val="20"/>
                <w:lang w:eastAsia="hu-HU"/>
              </w:rPr>
              <w:t>5</w:t>
            </w:r>
            <w:r w:rsidR="001E4AC0" w:rsidRPr="00207396">
              <w:rPr>
                <w:rFonts w:eastAsia="Times New Roman" w:cs="Calibri"/>
                <w:b/>
                <w:color w:val="FF0000"/>
                <w:sz w:val="20"/>
                <w:szCs w:val="20"/>
                <w:lang w:eastAsia="hu-HU"/>
              </w:rPr>
              <w:t>00 000</w:t>
            </w:r>
          </w:p>
        </w:tc>
      </w:tr>
      <w:tr w:rsidR="001E4AC0" w:rsidRPr="00F717A4" w:rsidTr="00F5679C">
        <w:trPr>
          <w:trHeight w:val="315"/>
        </w:trPr>
        <w:tc>
          <w:tcPr>
            <w:tcW w:w="6678" w:type="dxa"/>
            <w:tcBorders>
              <w:top w:val="nil"/>
              <w:left w:val="single" w:sz="8" w:space="0" w:color="auto"/>
              <w:bottom w:val="single" w:sz="8" w:space="0" w:color="auto"/>
              <w:right w:val="single" w:sz="8" w:space="0" w:color="auto"/>
            </w:tcBorders>
            <w:shd w:val="clear" w:color="000000" w:fill="538DD5"/>
            <w:noWrap/>
            <w:vAlign w:val="center"/>
            <w:hideMark/>
          </w:tcPr>
          <w:p w:rsidR="001E4AC0" w:rsidRPr="00207396" w:rsidRDefault="001E4AC0" w:rsidP="00A67DB9">
            <w:pPr>
              <w:spacing w:after="0" w:line="240" w:lineRule="auto"/>
              <w:jc w:val="both"/>
              <w:rPr>
                <w:rFonts w:eastAsia="Times New Roman" w:cs="Calibri"/>
                <w:b/>
                <w:bCs/>
                <w:color w:val="FF0000"/>
                <w:lang w:eastAsia="hu-HU"/>
              </w:rPr>
            </w:pPr>
            <w:r w:rsidRPr="00207396">
              <w:rPr>
                <w:rFonts w:eastAsia="Times New Roman" w:cs="Calibri"/>
                <w:b/>
                <w:bCs/>
                <w:color w:val="FF0000"/>
                <w:lang w:eastAsia="hu-HU"/>
              </w:rPr>
              <w:t>Mindösszesen marketing és működési költségek</w:t>
            </w:r>
          </w:p>
        </w:tc>
        <w:tc>
          <w:tcPr>
            <w:tcW w:w="1559" w:type="dxa"/>
            <w:tcBorders>
              <w:top w:val="nil"/>
              <w:left w:val="nil"/>
              <w:bottom w:val="single" w:sz="8" w:space="0" w:color="auto"/>
              <w:right w:val="single" w:sz="8" w:space="0" w:color="auto"/>
            </w:tcBorders>
            <w:shd w:val="clear" w:color="000000" w:fill="538DD5"/>
            <w:noWrap/>
            <w:vAlign w:val="center"/>
            <w:hideMark/>
          </w:tcPr>
          <w:p w:rsidR="001E4AC0" w:rsidRPr="00207396" w:rsidRDefault="001E4AC0" w:rsidP="00952E6B">
            <w:pPr>
              <w:spacing w:after="0" w:line="240" w:lineRule="auto"/>
              <w:jc w:val="both"/>
              <w:rPr>
                <w:rFonts w:eastAsia="Times New Roman" w:cs="Calibri"/>
                <w:b/>
                <w:bCs/>
                <w:color w:val="FF0000"/>
                <w:lang w:eastAsia="hu-HU"/>
              </w:rPr>
            </w:pPr>
            <w:r w:rsidRPr="00207396">
              <w:rPr>
                <w:rFonts w:eastAsia="Times New Roman" w:cs="Calibri"/>
                <w:b/>
                <w:bCs/>
                <w:color w:val="FF0000"/>
                <w:lang w:eastAsia="hu-HU"/>
              </w:rPr>
              <w:t>1</w:t>
            </w:r>
            <w:r w:rsidR="00E44ED5">
              <w:rPr>
                <w:rFonts w:eastAsia="Times New Roman" w:cs="Calibri"/>
                <w:b/>
                <w:bCs/>
                <w:color w:val="FF0000"/>
                <w:lang w:eastAsia="hu-HU"/>
              </w:rPr>
              <w:t>32</w:t>
            </w:r>
            <w:r w:rsidRPr="00207396">
              <w:rPr>
                <w:rFonts w:eastAsia="Times New Roman" w:cs="Calibri"/>
                <w:b/>
                <w:bCs/>
                <w:color w:val="FF0000"/>
                <w:lang w:eastAsia="hu-HU"/>
              </w:rPr>
              <w:t xml:space="preserve"> </w:t>
            </w:r>
            <w:r w:rsidR="00952E6B">
              <w:rPr>
                <w:rFonts w:eastAsia="Times New Roman" w:cs="Calibri"/>
                <w:b/>
                <w:bCs/>
                <w:color w:val="FF0000"/>
                <w:lang w:eastAsia="hu-HU"/>
              </w:rPr>
              <w:t>00</w:t>
            </w:r>
            <w:r w:rsidR="00BA6839">
              <w:rPr>
                <w:rFonts w:eastAsia="Times New Roman" w:cs="Calibri"/>
                <w:b/>
                <w:bCs/>
                <w:color w:val="FF0000"/>
                <w:lang w:eastAsia="hu-HU"/>
              </w:rPr>
              <w:t>0</w:t>
            </w:r>
            <w:r w:rsidRPr="00207396">
              <w:rPr>
                <w:rFonts w:eastAsia="Times New Roman" w:cs="Calibri"/>
                <w:b/>
                <w:bCs/>
                <w:color w:val="FF0000"/>
                <w:lang w:eastAsia="hu-HU"/>
              </w:rPr>
              <w:t xml:space="preserve"> 000</w:t>
            </w:r>
          </w:p>
        </w:tc>
        <w:tc>
          <w:tcPr>
            <w:tcW w:w="1417" w:type="dxa"/>
            <w:tcBorders>
              <w:top w:val="nil"/>
              <w:left w:val="nil"/>
              <w:bottom w:val="single" w:sz="8" w:space="0" w:color="auto"/>
              <w:right w:val="single" w:sz="8" w:space="0" w:color="auto"/>
            </w:tcBorders>
            <w:shd w:val="clear" w:color="000000" w:fill="538DD5"/>
          </w:tcPr>
          <w:p w:rsidR="001E4AC0" w:rsidRPr="00207396" w:rsidRDefault="001E4AC0" w:rsidP="00952E6B">
            <w:pPr>
              <w:spacing w:after="0" w:line="240" w:lineRule="auto"/>
              <w:jc w:val="both"/>
              <w:rPr>
                <w:rFonts w:eastAsia="Times New Roman" w:cs="Calibri"/>
                <w:b/>
                <w:bCs/>
                <w:color w:val="FF0000"/>
                <w:lang w:eastAsia="hu-HU"/>
              </w:rPr>
            </w:pPr>
            <w:r w:rsidRPr="00207396">
              <w:rPr>
                <w:rFonts w:eastAsia="Times New Roman" w:cs="Calibri"/>
                <w:b/>
                <w:bCs/>
                <w:color w:val="FF0000"/>
                <w:lang w:eastAsia="hu-HU"/>
              </w:rPr>
              <w:t>1</w:t>
            </w:r>
            <w:r w:rsidR="00E44ED5">
              <w:rPr>
                <w:rFonts w:eastAsia="Times New Roman" w:cs="Calibri"/>
                <w:b/>
                <w:bCs/>
                <w:color w:val="FF0000"/>
                <w:lang w:eastAsia="hu-HU"/>
              </w:rPr>
              <w:t>13</w:t>
            </w:r>
            <w:r w:rsidRPr="00207396">
              <w:rPr>
                <w:rFonts w:eastAsia="Times New Roman" w:cs="Calibri"/>
                <w:b/>
                <w:bCs/>
                <w:color w:val="FF0000"/>
                <w:lang w:eastAsia="hu-HU"/>
              </w:rPr>
              <w:t> </w:t>
            </w:r>
            <w:r w:rsidR="00952E6B">
              <w:rPr>
                <w:rFonts w:eastAsia="Times New Roman" w:cs="Calibri"/>
                <w:b/>
                <w:bCs/>
                <w:color w:val="FF0000"/>
                <w:lang w:eastAsia="hu-HU"/>
              </w:rPr>
              <w:t>00</w:t>
            </w:r>
            <w:r w:rsidR="00BA6839">
              <w:rPr>
                <w:rFonts w:eastAsia="Times New Roman" w:cs="Calibri"/>
                <w:b/>
                <w:bCs/>
                <w:color w:val="FF0000"/>
                <w:lang w:eastAsia="hu-HU"/>
              </w:rPr>
              <w:t>0</w:t>
            </w:r>
            <w:r w:rsidRPr="00207396">
              <w:rPr>
                <w:rFonts w:eastAsia="Times New Roman" w:cs="Calibri"/>
                <w:b/>
                <w:bCs/>
                <w:color w:val="FF0000"/>
                <w:lang w:eastAsia="hu-HU"/>
              </w:rPr>
              <w:t xml:space="preserve"> 000</w:t>
            </w:r>
          </w:p>
        </w:tc>
      </w:tr>
    </w:tbl>
    <w:p w:rsidR="001E4AC0" w:rsidRDefault="001E4AC0" w:rsidP="00A67DB9">
      <w:pPr>
        <w:spacing w:after="0" w:line="240" w:lineRule="auto"/>
        <w:jc w:val="both"/>
        <w:rPr>
          <w:sz w:val="24"/>
          <w:szCs w:val="24"/>
        </w:rPr>
      </w:pPr>
    </w:p>
    <w:p w:rsidR="00450C5E" w:rsidRDefault="00450C5E" w:rsidP="001E4AC0">
      <w:pPr>
        <w:spacing w:after="0" w:line="240" w:lineRule="auto"/>
        <w:jc w:val="both"/>
        <w:rPr>
          <w:sz w:val="24"/>
          <w:szCs w:val="24"/>
        </w:rPr>
      </w:pPr>
    </w:p>
    <w:p w:rsidR="00A67DB9" w:rsidRDefault="00A67DB9" w:rsidP="001E4AC0">
      <w:pPr>
        <w:spacing w:after="0" w:line="240" w:lineRule="auto"/>
        <w:jc w:val="both"/>
        <w:rPr>
          <w:sz w:val="24"/>
          <w:szCs w:val="24"/>
        </w:rPr>
      </w:pPr>
    </w:p>
    <w:p w:rsidR="001E4AC0" w:rsidRPr="000F2F0F" w:rsidRDefault="001E4AC0" w:rsidP="00A67DB9">
      <w:pPr>
        <w:jc w:val="both"/>
      </w:pPr>
      <w:r w:rsidRPr="000F2F0F">
        <w:t>Az alábbi táblázat tar</w:t>
      </w:r>
      <w:r>
        <w:t>talmazza a Társaság 2020</w:t>
      </w:r>
      <w:r w:rsidRPr="000F2F0F">
        <w:t>. évi tervezett bevételein</w:t>
      </w:r>
      <w:r w:rsidR="00706A7B">
        <w:t xml:space="preserve">ek </w:t>
      </w:r>
      <w:r w:rsidR="00706A7B" w:rsidRPr="00A67DB9">
        <w:t>részletezését</w:t>
      </w:r>
      <w:r w:rsidR="00A67DB9" w:rsidRPr="00A67DB9">
        <w:t xml:space="preserve"> </w:t>
      </w:r>
      <w:r w:rsidR="00706A7B" w:rsidRPr="00A67DB9">
        <w:t>a</w:t>
      </w:r>
      <w:r w:rsidR="00706A7B">
        <w:t xml:space="preserve"> korábban jelzett két változatban.</w:t>
      </w:r>
    </w:p>
    <w:p w:rsidR="00706A7B" w:rsidRPr="000F2F0F" w:rsidRDefault="00706A7B" w:rsidP="001E4AC0">
      <w:pPr>
        <w:spacing w:after="0" w:line="240" w:lineRule="auto"/>
        <w:jc w:val="both"/>
        <w:rPr>
          <w:sz w:val="24"/>
          <w:szCs w:val="24"/>
        </w:rPr>
      </w:pPr>
    </w:p>
    <w:tbl>
      <w:tblPr>
        <w:tblW w:w="9800" w:type="dxa"/>
        <w:tblInd w:w="55" w:type="dxa"/>
        <w:tblLayout w:type="fixed"/>
        <w:tblCellMar>
          <w:left w:w="70" w:type="dxa"/>
          <w:right w:w="70" w:type="dxa"/>
        </w:tblCellMar>
        <w:tblLook w:val="04A0" w:firstRow="1" w:lastRow="0" w:firstColumn="1" w:lastColumn="0" w:noHBand="0" w:noVBand="1"/>
      </w:tblPr>
      <w:tblGrid>
        <w:gridCol w:w="6668"/>
        <w:gridCol w:w="1707"/>
        <w:gridCol w:w="1265"/>
        <w:gridCol w:w="160"/>
      </w:tblGrid>
      <w:tr w:rsidR="001E4AC0" w:rsidRPr="00927A82" w:rsidTr="00F5679C">
        <w:trPr>
          <w:trHeight w:val="315"/>
        </w:trPr>
        <w:tc>
          <w:tcPr>
            <w:tcW w:w="6678" w:type="dxa"/>
            <w:tcBorders>
              <w:top w:val="single" w:sz="8" w:space="0" w:color="auto"/>
              <w:left w:val="single" w:sz="8" w:space="0" w:color="auto"/>
              <w:bottom w:val="single" w:sz="8" w:space="0" w:color="auto"/>
              <w:right w:val="single" w:sz="8" w:space="0" w:color="auto"/>
            </w:tcBorders>
            <w:shd w:val="clear" w:color="000000" w:fill="92D050"/>
            <w:noWrap/>
            <w:vAlign w:val="center"/>
            <w:hideMark/>
          </w:tcPr>
          <w:p w:rsidR="001E4AC0" w:rsidRPr="00927A82" w:rsidRDefault="001E4AC0" w:rsidP="004C1D16">
            <w:pPr>
              <w:spacing w:after="0" w:line="240" w:lineRule="auto"/>
              <w:jc w:val="both"/>
              <w:rPr>
                <w:rFonts w:eastAsia="Times New Roman" w:cs="Arial"/>
                <w:b/>
                <w:bCs/>
                <w:lang w:eastAsia="hu-HU"/>
              </w:rPr>
            </w:pPr>
            <w:r w:rsidRPr="002024AF">
              <w:rPr>
                <w:rFonts w:eastAsia="Times New Roman" w:cs="Calibri"/>
                <w:b/>
                <w:bCs/>
                <w:lang w:eastAsia="hu-HU"/>
              </w:rPr>
              <w:t xml:space="preserve">Hévízi Turisztikai Nonprofit Kft. </w:t>
            </w:r>
            <w:r>
              <w:rPr>
                <w:rFonts w:eastAsia="Times New Roman" w:cs="Arial"/>
                <w:b/>
                <w:bCs/>
                <w:lang w:eastAsia="hu-HU"/>
              </w:rPr>
              <w:t>tervezett bevételei</w:t>
            </w:r>
          </w:p>
        </w:tc>
        <w:tc>
          <w:tcPr>
            <w:tcW w:w="1709" w:type="dxa"/>
            <w:tcBorders>
              <w:top w:val="single" w:sz="8" w:space="0" w:color="auto"/>
              <w:left w:val="nil"/>
              <w:bottom w:val="single" w:sz="8" w:space="0" w:color="auto"/>
              <w:right w:val="single" w:sz="8" w:space="0" w:color="auto"/>
            </w:tcBorders>
            <w:shd w:val="clear" w:color="000000" w:fill="92D050"/>
            <w:noWrap/>
            <w:vAlign w:val="center"/>
            <w:hideMark/>
          </w:tcPr>
          <w:p w:rsidR="001E4AC0" w:rsidRDefault="001E4AC0" w:rsidP="004C1D16">
            <w:pPr>
              <w:spacing w:after="0" w:line="240" w:lineRule="auto"/>
              <w:ind w:left="507"/>
              <w:jc w:val="both"/>
              <w:rPr>
                <w:rFonts w:eastAsia="Times New Roman" w:cs="Arial"/>
                <w:b/>
                <w:bCs/>
                <w:lang w:eastAsia="hu-HU"/>
              </w:rPr>
            </w:pPr>
            <w:r>
              <w:rPr>
                <w:rFonts w:eastAsia="Times New Roman" w:cs="Arial"/>
                <w:b/>
                <w:bCs/>
                <w:lang w:eastAsia="hu-HU"/>
              </w:rPr>
              <w:t>1.opció</w:t>
            </w:r>
          </w:p>
          <w:p w:rsidR="001E4AC0" w:rsidRDefault="001E4AC0" w:rsidP="004C1D16">
            <w:pPr>
              <w:spacing w:after="0" w:line="240" w:lineRule="auto"/>
              <w:ind w:left="507" w:hanging="567"/>
              <w:jc w:val="both"/>
              <w:rPr>
                <w:rFonts w:eastAsia="Times New Roman" w:cs="Arial"/>
                <w:b/>
                <w:bCs/>
                <w:lang w:eastAsia="hu-HU"/>
              </w:rPr>
            </w:pPr>
            <w:r w:rsidRPr="00927A82">
              <w:rPr>
                <w:rFonts w:eastAsia="Times New Roman" w:cs="Arial"/>
                <w:b/>
                <w:bCs/>
                <w:lang w:eastAsia="hu-HU"/>
              </w:rPr>
              <w:t>Bruttó</w:t>
            </w:r>
            <w:r>
              <w:rPr>
                <w:rFonts w:eastAsia="Times New Roman" w:cs="Arial"/>
                <w:b/>
                <w:bCs/>
                <w:lang w:eastAsia="hu-HU"/>
              </w:rPr>
              <w:t xml:space="preserve"> </w:t>
            </w:r>
          </w:p>
          <w:p w:rsidR="001E4AC0" w:rsidRPr="00927A82" w:rsidRDefault="001E4AC0" w:rsidP="004C1D16">
            <w:pPr>
              <w:spacing w:after="0" w:line="240" w:lineRule="auto"/>
              <w:ind w:left="507" w:hanging="567"/>
              <w:jc w:val="both"/>
              <w:rPr>
                <w:rFonts w:eastAsia="Times New Roman" w:cs="Arial"/>
                <w:b/>
                <w:bCs/>
                <w:lang w:eastAsia="hu-HU"/>
              </w:rPr>
            </w:pPr>
            <w:r w:rsidRPr="00927A82">
              <w:rPr>
                <w:rFonts w:eastAsia="Times New Roman" w:cs="Arial"/>
                <w:b/>
                <w:bCs/>
                <w:lang w:eastAsia="hu-HU"/>
              </w:rPr>
              <w:t xml:space="preserve">összeg </w:t>
            </w:r>
            <w:r>
              <w:rPr>
                <w:rFonts w:eastAsia="Times New Roman" w:cs="Arial"/>
                <w:b/>
                <w:bCs/>
                <w:lang w:eastAsia="hu-HU"/>
              </w:rPr>
              <w:t>Ft</w:t>
            </w:r>
          </w:p>
        </w:tc>
        <w:tc>
          <w:tcPr>
            <w:tcW w:w="1267" w:type="dxa"/>
            <w:tcBorders>
              <w:top w:val="single" w:sz="8" w:space="0" w:color="auto"/>
              <w:left w:val="nil"/>
              <w:bottom w:val="single" w:sz="8" w:space="0" w:color="auto"/>
              <w:right w:val="nil"/>
            </w:tcBorders>
            <w:shd w:val="clear" w:color="000000" w:fill="92D050"/>
            <w:vAlign w:val="center"/>
          </w:tcPr>
          <w:p w:rsidR="001E4AC0" w:rsidRDefault="001E4AC0" w:rsidP="004C1D16">
            <w:pPr>
              <w:spacing w:after="0" w:line="240" w:lineRule="auto"/>
              <w:jc w:val="both"/>
              <w:rPr>
                <w:rFonts w:eastAsia="Times New Roman" w:cs="Arial"/>
                <w:b/>
                <w:bCs/>
                <w:lang w:eastAsia="hu-HU"/>
              </w:rPr>
            </w:pPr>
            <w:r>
              <w:rPr>
                <w:rFonts w:eastAsia="Times New Roman" w:cs="Arial"/>
                <w:b/>
                <w:bCs/>
                <w:lang w:eastAsia="hu-HU"/>
              </w:rPr>
              <w:t>2.opció</w:t>
            </w:r>
          </w:p>
          <w:p w:rsidR="001E4AC0" w:rsidRPr="00927A82" w:rsidRDefault="001E4AC0" w:rsidP="004C1D16">
            <w:pPr>
              <w:spacing w:after="0" w:line="240" w:lineRule="auto"/>
              <w:ind w:left="-66" w:firstLine="129"/>
              <w:jc w:val="both"/>
              <w:rPr>
                <w:rFonts w:eastAsia="Times New Roman" w:cs="Arial"/>
                <w:b/>
                <w:bCs/>
                <w:lang w:eastAsia="hu-HU"/>
              </w:rPr>
            </w:pPr>
            <w:r w:rsidRPr="00927A82">
              <w:rPr>
                <w:rFonts w:eastAsia="Times New Roman" w:cs="Arial"/>
                <w:b/>
                <w:bCs/>
                <w:lang w:eastAsia="hu-HU"/>
              </w:rPr>
              <w:t>Bruttó</w:t>
            </w:r>
            <w:r>
              <w:rPr>
                <w:rFonts w:eastAsia="Times New Roman" w:cs="Arial"/>
                <w:b/>
                <w:bCs/>
                <w:lang w:eastAsia="hu-HU"/>
              </w:rPr>
              <w:t xml:space="preserve"> </w:t>
            </w:r>
            <w:r w:rsidRPr="00927A82">
              <w:rPr>
                <w:rFonts w:eastAsia="Times New Roman" w:cs="Arial"/>
                <w:b/>
                <w:bCs/>
                <w:lang w:eastAsia="hu-HU"/>
              </w:rPr>
              <w:t xml:space="preserve">összeg </w:t>
            </w:r>
            <w:r>
              <w:rPr>
                <w:rFonts w:eastAsia="Times New Roman" w:cs="Arial"/>
                <w:b/>
                <w:bCs/>
                <w:lang w:eastAsia="hu-HU"/>
              </w:rPr>
              <w:t xml:space="preserve"> Ft</w:t>
            </w:r>
          </w:p>
        </w:tc>
        <w:tc>
          <w:tcPr>
            <w:tcW w:w="146" w:type="dxa"/>
            <w:tcBorders>
              <w:top w:val="single" w:sz="8" w:space="0" w:color="auto"/>
              <w:left w:val="nil"/>
              <w:bottom w:val="single" w:sz="8" w:space="0" w:color="auto"/>
              <w:right w:val="single" w:sz="8" w:space="0" w:color="auto"/>
            </w:tcBorders>
            <w:shd w:val="clear" w:color="000000" w:fill="92D050"/>
          </w:tcPr>
          <w:p w:rsidR="001E4AC0" w:rsidRPr="00927A82" w:rsidRDefault="001E4AC0" w:rsidP="004C1D16">
            <w:pPr>
              <w:spacing w:after="0" w:line="240" w:lineRule="auto"/>
              <w:ind w:left="63"/>
              <w:jc w:val="both"/>
              <w:rPr>
                <w:rFonts w:eastAsia="Times New Roman" w:cs="Arial"/>
                <w:b/>
                <w:bCs/>
                <w:lang w:eastAsia="hu-HU"/>
              </w:rPr>
            </w:pPr>
          </w:p>
        </w:tc>
      </w:tr>
      <w:tr w:rsidR="001E4AC0" w:rsidRPr="008D2CAE" w:rsidTr="00F5679C">
        <w:trPr>
          <w:trHeight w:val="315"/>
        </w:trPr>
        <w:tc>
          <w:tcPr>
            <w:tcW w:w="6678" w:type="dxa"/>
            <w:tcBorders>
              <w:top w:val="nil"/>
              <w:left w:val="single" w:sz="8" w:space="0" w:color="auto"/>
              <w:bottom w:val="single" w:sz="8" w:space="0" w:color="auto"/>
              <w:right w:val="single" w:sz="8" w:space="0" w:color="auto"/>
            </w:tcBorders>
            <w:shd w:val="clear" w:color="auto" w:fill="auto"/>
            <w:noWrap/>
            <w:vAlign w:val="center"/>
          </w:tcPr>
          <w:p w:rsidR="001E4AC0" w:rsidRPr="008D2CAE" w:rsidRDefault="001E4AC0" w:rsidP="004C1D16">
            <w:pPr>
              <w:spacing w:after="0" w:line="240" w:lineRule="auto"/>
              <w:jc w:val="both"/>
              <w:rPr>
                <w:rFonts w:eastAsia="Times New Roman" w:cs="Arial"/>
                <w:bCs/>
                <w:lang w:eastAsia="hu-HU"/>
              </w:rPr>
            </w:pPr>
            <w:r>
              <w:rPr>
                <w:rFonts w:eastAsia="Times New Roman" w:cs="Arial"/>
                <w:bCs/>
                <w:lang w:eastAsia="hu-HU"/>
              </w:rPr>
              <w:t>Tartalék 2019. évr</w:t>
            </w:r>
            <w:r w:rsidRPr="008D2CAE">
              <w:rPr>
                <w:rFonts w:eastAsia="Times New Roman" w:cs="Arial"/>
                <w:bCs/>
                <w:lang w:eastAsia="hu-HU"/>
              </w:rPr>
              <w:t>ől</w:t>
            </w:r>
          </w:p>
        </w:tc>
        <w:tc>
          <w:tcPr>
            <w:tcW w:w="1709" w:type="dxa"/>
            <w:tcBorders>
              <w:top w:val="nil"/>
              <w:left w:val="nil"/>
              <w:bottom w:val="single" w:sz="8" w:space="0" w:color="auto"/>
              <w:right w:val="single" w:sz="8" w:space="0" w:color="auto"/>
            </w:tcBorders>
            <w:shd w:val="clear" w:color="auto" w:fill="auto"/>
            <w:noWrap/>
            <w:vAlign w:val="center"/>
          </w:tcPr>
          <w:p w:rsidR="001E4AC0" w:rsidRPr="008D2CAE" w:rsidRDefault="001E4AC0" w:rsidP="004C1D16">
            <w:pPr>
              <w:spacing w:after="0" w:line="240" w:lineRule="auto"/>
              <w:jc w:val="both"/>
              <w:rPr>
                <w:rFonts w:eastAsia="Times New Roman" w:cs="Arial"/>
                <w:lang w:eastAsia="hu-HU"/>
              </w:rPr>
            </w:pPr>
            <w:r>
              <w:rPr>
                <w:rFonts w:eastAsia="Times New Roman" w:cs="Arial"/>
                <w:lang w:eastAsia="hu-HU"/>
              </w:rPr>
              <w:t>20</w:t>
            </w:r>
            <w:r w:rsidRPr="008D2CAE">
              <w:rPr>
                <w:rFonts w:eastAsia="Times New Roman" w:cs="Arial"/>
                <w:lang w:eastAsia="hu-HU"/>
              </w:rPr>
              <w:t xml:space="preserve"> 000 000</w:t>
            </w:r>
          </w:p>
        </w:tc>
        <w:tc>
          <w:tcPr>
            <w:tcW w:w="1267" w:type="dxa"/>
            <w:tcBorders>
              <w:top w:val="nil"/>
              <w:left w:val="nil"/>
              <w:bottom w:val="single" w:sz="8" w:space="0" w:color="auto"/>
              <w:right w:val="nil"/>
            </w:tcBorders>
            <w:vAlign w:val="center"/>
          </w:tcPr>
          <w:p w:rsidR="001E4AC0" w:rsidRPr="008D2CAE" w:rsidRDefault="001E4AC0" w:rsidP="004C1D16">
            <w:pPr>
              <w:spacing w:after="0" w:line="240" w:lineRule="auto"/>
              <w:jc w:val="both"/>
              <w:rPr>
                <w:rFonts w:eastAsia="Times New Roman" w:cs="Arial"/>
                <w:lang w:eastAsia="hu-HU"/>
              </w:rPr>
            </w:pPr>
            <w:r>
              <w:rPr>
                <w:rFonts w:eastAsia="Times New Roman" w:cs="Arial"/>
                <w:lang w:eastAsia="hu-HU"/>
              </w:rPr>
              <w:t>20</w:t>
            </w:r>
            <w:r w:rsidRPr="008D2CAE">
              <w:rPr>
                <w:rFonts w:eastAsia="Times New Roman" w:cs="Arial"/>
                <w:lang w:eastAsia="hu-HU"/>
              </w:rPr>
              <w:t xml:space="preserve"> 000 000</w:t>
            </w:r>
          </w:p>
        </w:tc>
        <w:tc>
          <w:tcPr>
            <w:tcW w:w="146" w:type="dxa"/>
            <w:tcBorders>
              <w:top w:val="nil"/>
              <w:left w:val="nil"/>
              <w:bottom w:val="single" w:sz="8" w:space="0" w:color="auto"/>
              <w:right w:val="single" w:sz="8" w:space="0" w:color="auto"/>
            </w:tcBorders>
          </w:tcPr>
          <w:p w:rsidR="001E4AC0" w:rsidRDefault="001E4AC0" w:rsidP="004C1D16">
            <w:pPr>
              <w:spacing w:after="0" w:line="240" w:lineRule="auto"/>
              <w:jc w:val="both"/>
              <w:rPr>
                <w:rFonts w:eastAsia="Times New Roman" w:cs="Arial"/>
                <w:lang w:eastAsia="hu-HU"/>
              </w:rPr>
            </w:pPr>
          </w:p>
        </w:tc>
      </w:tr>
      <w:tr w:rsidR="001E4AC0" w:rsidRPr="008D2CAE" w:rsidTr="00F5679C">
        <w:trPr>
          <w:trHeight w:val="315"/>
        </w:trPr>
        <w:tc>
          <w:tcPr>
            <w:tcW w:w="6678" w:type="dxa"/>
            <w:tcBorders>
              <w:top w:val="nil"/>
              <w:left w:val="single" w:sz="8" w:space="0" w:color="auto"/>
              <w:bottom w:val="single" w:sz="8" w:space="0" w:color="auto"/>
              <w:right w:val="single" w:sz="8" w:space="0" w:color="auto"/>
            </w:tcBorders>
            <w:shd w:val="clear" w:color="auto" w:fill="auto"/>
            <w:noWrap/>
            <w:vAlign w:val="center"/>
          </w:tcPr>
          <w:p w:rsidR="001E4AC0" w:rsidRPr="00207396" w:rsidRDefault="001E4AC0" w:rsidP="004C1D16">
            <w:pPr>
              <w:spacing w:after="0" w:line="240" w:lineRule="auto"/>
              <w:jc w:val="both"/>
              <w:rPr>
                <w:rFonts w:eastAsia="Times New Roman" w:cs="Arial"/>
                <w:bCs/>
                <w:color w:val="FF0000"/>
                <w:lang w:eastAsia="hu-HU"/>
              </w:rPr>
            </w:pPr>
            <w:r w:rsidRPr="00207396">
              <w:rPr>
                <w:rFonts w:eastAsia="Times New Roman" w:cs="Arial"/>
                <w:bCs/>
                <w:color w:val="FF0000"/>
                <w:lang w:eastAsia="hu-HU"/>
              </w:rPr>
              <w:t>Önkormányzati támogatás</w:t>
            </w:r>
          </w:p>
        </w:tc>
        <w:tc>
          <w:tcPr>
            <w:tcW w:w="1709" w:type="dxa"/>
            <w:tcBorders>
              <w:top w:val="nil"/>
              <w:left w:val="nil"/>
              <w:bottom w:val="single" w:sz="8" w:space="0" w:color="auto"/>
              <w:right w:val="single" w:sz="8" w:space="0" w:color="auto"/>
            </w:tcBorders>
            <w:shd w:val="clear" w:color="auto" w:fill="auto"/>
            <w:noWrap/>
            <w:vAlign w:val="center"/>
          </w:tcPr>
          <w:p w:rsidR="001E4AC0" w:rsidRPr="00207396" w:rsidRDefault="001E4AC0" w:rsidP="004C1D16">
            <w:pPr>
              <w:spacing w:after="0" w:line="240" w:lineRule="auto"/>
              <w:jc w:val="both"/>
              <w:rPr>
                <w:rFonts w:eastAsia="Times New Roman" w:cs="Arial"/>
                <w:lang w:eastAsia="hu-HU"/>
              </w:rPr>
            </w:pPr>
            <w:r w:rsidRPr="00207396">
              <w:rPr>
                <w:rFonts w:eastAsia="Times New Roman" w:cs="Arial"/>
                <w:lang w:eastAsia="hu-HU"/>
              </w:rPr>
              <w:t>70 000 000</w:t>
            </w:r>
          </w:p>
        </w:tc>
        <w:tc>
          <w:tcPr>
            <w:tcW w:w="1267" w:type="dxa"/>
            <w:tcBorders>
              <w:top w:val="nil"/>
              <w:left w:val="nil"/>
              <w:bottom w:val="single" w:sz="8" w:space="0" w:color="auto"/>
              <w:right w:val="nil"/>
            </w:tcBorders>
            <w:vAlign w:val="center"/>
          </w:tcPr>
          <w:p w:rsidR="001E4AC0" w:rsidRPr="00207396" w:rsidRDefault="001E4AC0" w:rsidP="004C1D16">
            <w:pPr>
              <w:spacing w:after="0" w:line="240" w:lineRule="auto"/>
              <w:jc w:val="both"/>
              <w:rPr>
                <w:rFonts w:eastAsia="Times New Roman" w:cs="Arial"/>
                <w:color w:val="FF0000"/>
                <w:lang w:eastAsia="hu-HU"/>
              </w:rPr>
            </w:pPr>
            <w:r w:rsidRPr="00207396">
              <w:rPr>
                <w:rFonts w:eastAsia="Times New Roman" w:cs="Arial"/>
                <w:color w:val="FF0000"/>
                <w:lang w:eastAsia="hu-HU"/>
              </w:rPr>
              <w:t>56 000 000</w:t>
            </w:r>
          </w:p>
        </w:tc>
        <w:tc>
          <w:tcPr>
            <w:tcW w:w="146" w:type="dxa"/>
            <w:tcBorders>
              <w:top w:val="nil"/>
              <w:left w:val="nil"/>
              <w:bottom w:val="single" w:sz="8" w:space="0" w:color="auto"/>
              <w:right w:val="single" w:sz="8" w:space="0" w:color="auto"/>
            </w:tcBorders>
          </w:tcPr>
          <w:p w:rsidR="001E4AC0" w:rsidRDefault="001E4AC0" w:rsidP="004C1D16">
            <w:pPr>
              <w:spacing w:after="0" w:line="240" w:lineRule="auto"/>
              <w:jc w:val="both"/>
              <w:rPr>
                <w:rFonts w:eastAsia="Times New Roman" w:cs="Arial"/>
                <w:lang w:eastAsia="hu-HU"/>
              </w:rPr>
            </w:pPr>
          </w:p>
        </w:tc>
      </w:tr>
      <w:tr w:rsidR="001E4AC0" w:rsidRPr="008D2CAE" w:rsidTr="00F5679C">
        <w:trPr>
          <w:trHeight w:val="315"/>
        </w:trPr>
        <w:tc>
          <w:tcPr>
            <w:tcW w:w="6678" w:type="dxa"/>
            <w:tcBorders>
              <w:top w:val="nil"/>
              <w:left w:val="single" w:sz="8" w:space="0" w:color="auto"/>
              <w:bottom w:val="single" w:sz="8" w:space="0" w:color="auto"/>
              <w:right w:val="single" w:sz="8" w:space="0" w:color="auto"/>
            </w:tcBorders>
            <w:shd w:val="clear" w:color="auto" w:fill="auto"/>
            <w:noWrap/>
            <w:vAlign w:val="center"/>
          </w:tcPr>
          <w:p w:rsidR="001E4AC0" w:rsidRPr="00207396" w:rsidRDefault="001E4AC0" w:rsidP="004C1D16">
            <w:pPr>
              <w:spacing w:after="0" w:line="240" w:lineRule="auto"/>
              <w:jc w:val="both"/>
              <w:rPr>
                <w:rFonts w:eastAsia="Times New Roman" w:cs="Arial"/>
                <w:bCs/>
                <w:color w:val="FF0000"/>
                <w:lang w:eastAsia="hu-HU"/>
              </w:rPr>
            </w:pPr>
            <w:r w:rsidRPr="00207396">
              <w:rPr>
                <w:rFonts w:eastAsia="Times New Roman" w:cs="Arial"/>
                <w:bCs/>
                <w:color w:val="FF0000"/>
                <w:lang w:eastAsia="hu-HU"/>
              </w:rPr>
              <w:t>Szolgáltatók imázs kampány hozzájárulás</w:t>
            </w:r>
          </w:p>
        </w:tc>
        <w:tc>
          <w:tcPr>
            <w:tcW w:w="1709" w:type="dxa"/>
            <w:tcBorders>
              <w:top w:val="nil"/>
              <w:left w:val="nil"/>
              <w:bottom w:val="single" w:sz="8" w:space="0" w:color="auto"/>
              <w:right w:val="single" w:sz="8" w:space="0" w:color="auto"/>
            </w:tcBorders>
            <w:shd w:val="clear" w:color="auto" w:fill="auto"/>
            <w:noWrap/>
            <w:vAlign w:val="center"/>
          </w:tcPr>
          <w:p w:rsidR="001E4AC0" w:rsidRPr="00207396" w:rsidRDefault="001E4AC0" w:rsidP="004C1D16">
            <w:pPr>
              <w:spacing w:after="0" w:line="240" w:lineRule="auto"/>
              <w:jc w:val="both"/>
              <w:rPr>
                <w:rFonts w:eastAsia="Times New Roman" w:cs="Arial"/>
                <w:color w:val="FF0000"/>
                <w:lang w:eastAsia="hu-HU"/>
              </w:rPr>
            </w:pPr>
            <w:r w:rsidRPr="00207396">
              <w:rPr>
                <w:rFonts w:eastAsia="Times New Roman" w:cs="Arial"/>
                <w:color w:val="FF0000"/>
                <w:lang w:eastAsia="hu-HU"/>
              </w:rPr>
              <w:t xml:space="preserve">15 000 000 </w:t>
            </w:r>
          </w:p>
        </w:tc>
        <w:tc>
          <w:tcPr>
            <w:tcW w:w="1267" w:type="dxa"/>
            <w:tcBorders>
              <w:top w:val="nil"/>
              <w:left w:val="nil"/>
              <w:bottom w:val="single" w:sz="8" w:space="0" w:color="auto"/>
              <w:right w:val="nil"/>
            </w:tcBorders>
            <w:vAlign w:val="center"/>
          </w:tcPr>
          <w:p w:rsidR="001E4AC0" w:rsidRPr="00207396" w:rsidRDefault="001E4AC0" w:rsidP="004C1D16">
            <w:pPr>
              <w:spacing w:after="0" w:line="240" w:lineRule="auto"/>
              <w:jc w:val="both"/>
              <w:rPr>
                <w:rFonts w:eastAsia="Times New Roman" w:cs="Arial"/>
                <w:color w:val="FF0000"/>
                <w:lang w:eastAsia="hu-HU"/>
              </w:rPr>
            </w:pPr>
            <w:r w:rsidRPr="00207396">
              <w:rPr>
                <w:rFonts w:eastAsia="Times New Roman" w:cs="Arial"/>
                <w:color w:val="FF0000"/>
                <w:lang w:eastAsia="hu-HU"/>
              </w:rPr>
              <w:t>10 000 000</w:t>
            </w:r>
          </w:p>
        </w:tc>
        <w:tc>
          <w:tcPr>
            <w:tcW w:w="146" w:type="dxa"/>
            <w:tcBorders>
              <w:top w:val="nil"/>
              <w:left w:val="nil"/>
              <w:bottom w:val="single" w:sz="8" w:space="0" w:color="auto"/>
              <w:right w:val="single" w:sz="8" w:space="0" w:color="auto"/>
            </w:tcBorders>
          </w:tcPr>
          <w:p w:rsidR="001E4AC0" w:rsidRDefault="001E4AC0" w:rsidP="004C1D16">
            <w:pPr>
              <w:spacing w:after="0" w:line="240" w:lineRule="auto"/>
              <w:jc w:val="both"/>
              <w:rPr>
                <w:rFonts w:eastAsia="Times New Roman" w:cs="Arial"/>
                <w:lang w:eastAsia="hu-HU"/>
              </w:rPr>
            </w:pPr>
          </w:p>
        </w:tc>
      </w:tr>
      <w:tr w:rsidR="001E4AC0" w:rsidRPr="008D2CAE" w:rsidTr="00F5679C">
        <w:trPr>
          <w:trHeight w:val="315"/>
        </w:trPr>
        <w:tc>
          <w:tcPr>
            <w:tcW w:w="6678" w:type="dxa"/>
            <w:tcBorders>
              <w:top w:val="nil"/>
              <w:left w:val="single" w:sz="8" w:space="0" w:color="auto"/>
              <w:bottom w:val="single" w:sz="8" w:space="0" w:color="auto"/>
              <w:right w:val="single" w:sz="8" w:space="0" w:color="auto"/>
            </w:tcBorders>
            <w:shd w:val="clear" w:color="auto" w:fill="auto"/>
            <w:noWrap/>
            <w:vAlign w:val="center"/>
          </w:tcPr>
          <w:p w:rsidR="001E4AC0" w:rsidRPr="00207396" w:rsidRDefault="001E4AC0" w:rsidP="004C1D16">
            <w:pPr>
              <w:spacing w:after="0" w:line="240" w:lineRule="auto"/>
              <w:jc w:val="both"/>
              <w:rPr>
                <w:rFonts w:eastAsia="Times New Roman" w:cs="Arial"/>
                <w:bCs/>
                <w:color w:val="FF0000"/>
                <w:lang w:eastAsia="hu-HU"/>
              </w:rPr>
            </w:pPr>
            <w:r w:rsidRPr="00207396">
              <w:rPr>
                <w:rFonts w:eastAsia="Times New Roman" w:cs="Arial"/>
                <w:bCs/>
                <w:color w:val="FF0000"/>
                <w:lang w:eastAsia="hu-HU"/>
              </w:rPr>
              <w:t>Vállalkozói bevétel</w:t>
            </w:r>
          </w:p>
        </w:tc>
        <w:tc>
          <w:tcPr>
            <w:tcW w:w="1709" w:type="dxa"/>
            <w:tcBorders>
              <w:top w:val="nil"/>
              <w:left w:val="nil"/>
              <w:bottom w:val="single" w:sz="8" w:space="0" w:color="auto"/>
              <w:right w:val="single" w:sz="8" w:space="0" w:color="auto"/>
            </w:tcBorders>
            <w:shd w:val="clear" w:color="auto" w:fill="auto"/>
            <w:noWrap/>
            <w:vAlign w:val="center"/>
          </w:tcPr>
          <w:p w:rsidR="001E4AC0" w:rsidRPr="00207396" w:rsidRDefault="001E4AC0" w:rsidP="00E44ED5">
            <w:pPr>
              <w:spacing w:after="0" w:line="240" w:lineRule="auto"/>
              <w:jc w:val="both"/>
              <w:rPr>
                <w:rFonts w:eastAsia="Times New Roman" w:cs="Arial"/>
                <w:color w:val="FF0000"/>
                <w:lang w:eastAsia="hu-HU"/>
              </w:rPr>
            </w:pPr>
            <w:r w:rsidRPr="00207396">
              <w:rPr>
                <w:rFonts w:eastAsia="Times New Roman" w:cs="Arial"/>
                <w:color w:val="FF0000"/>
                <w:lang w:eastAsia="hu-HU"/>
              </w:rPr>
              <w:t>1</w:t>
            </w:r>
            <w:r w:rsidR="00E44ED5">
              <w:rPr>
                <w:rFonts w:eastAsia="Times New Roman" w:cs="Arial"/>
                <w:color w:val="FF0000"/>
                <w:lang w:eastAsia="hu-HU"/>
              </w:rPr>
              <w:t>8</w:t>
            </w:r>
            <w:r w:rsidRPr="00207396">
              <w:rPr>
                <w:rFonts w:eastAsia="Times New Roman" w:cs="Arial"/>
                <w:color w:val="FF0000"/>
                <w:lang w:eastAsia="hu-HU"/>
              </w:rPr>
              <w:t> 000 000</w:t>
            </w:r>
          </w:p>
        </w:tc>
        <w:tc>
          <w:tcPr>
            <w:tcW w:w="1267" w:type="dxa"/>
            <w:tcBorders>
              <w:top w:val="nil"/>
              <w:left w:val="nil"/>
              <w:bottom w:val="single" w:sz="8" w:space="0" w:color="auto"/>
              <w:right w:val="nil"/>
            </w:tcBorders>
            <w:vAlign w:val="center"/>
          </w:tcPr>
          <w:p w:rsidR="001E4AC0" w:rsidRPr="00207396" w:rsidRDefault="001E4AC0" w:rsidP="00E44ED5">
            <w:pPr>
              <w:spacing w:after="0" w:line="240" w:lineRule="auto"/>
              <w:jc w:val="both"/>
              <w:rPr>
                <w:rFonts w:eastAsia="Times New Roman" w:cs="Arial"/>
                <w:color w:val="FF0000"/>
                <w:lang w:eastAsia="hu-HU"/>
              </w:rPr>
            </w:pPr>
            <w:r w:rsidRPr="00207396">
              <w:rPr>
                <w:rFonts w:eastAsia="Times New Roman" w:cs="Arial"/>
                <w:color w:val="FF0000"/>
                <w:lang w:eastAsia="hu-HU"/>
              </w:rPr>
              <w:t>1</w:t>
            </w:r>
            <w:r w:rsidR="00E44ED5">
              <w:rPr>
                <w:rFonts w:eastAsia="Times New Roman" w:cs="Arial"/>
                <w:color w:val="FF0000"/>
                <w:lang w:eastAsia="hu-HU"/>
              </w:rPr>
              <w:t>8</w:t>
            </w:r>
            <w:r w:rsidRPr="00207396">
              <w:rPr>
                <w:rFonts w:eastAsia="Times New Roman" w:cs="Arial"/>
                <w:color w:val="FF0000"/>
                <w:lang w:eastAsia="hu-HU"/>
              </w:rPr>
              <w:t xml:space="preserve"> 000 000</w:t>
            </w:r>
          </w:p>
        </w:tc>
        <w:tc>
          <w:tcPr>
            <w:tcW w:w="146" w:type="dxa"/>
            <w:tcBorders>
              <w:top w:val="nil"/>
              <w:left w:val="nil"/>
              <w:bottom w:val="single" w:sz="8" w:space="0" w:color="auto"/>
              <w:right w:val="single" w:sz="8" w:space="0" w:color="auto"/>
            </w:tcBorders>
          </w:tcPr>
          <w:p w:rsidR="001E4AC0" w:rsidRDefault="001E4AC0" w:rsidP="004C1D16">
            <w:pPr>
              <w:spacing w:after="0" w:line="240" w:lineRule="auto"/>
              <w:jc w:val="both"/>
              <w:rPr>
                <w:rFonts w:eastAsia="Times New Roman" w:cs="Arial"/>
                <w:lang w:eastAsia="hu-HU"/>
              </w:rPr>
            </w:pPr>
          </w:p>
        </w:tc>
      </w:tr>
      <w:tr w:rsidR="001E4AC0" w:rsidRPr="008D2CAE" w:rsidTr="00F5679C">
        <w:trPr>
          <w:trHeight w:val="315"/>
        </w:trPr>
        <w:tc>
          <w:tcPr>
            <w:tcW w:w="6678" w:type="dxa"/>
            <w:tcBorders>
              <w:top w:val="nil"/>
              <w:left w:val="single" w:sz="8" w:space="0" w:color="auto"/>
              <w:bottom w:val="single" w:sz="8" w:space="0" w:color="auto"/>
              <w:right w:val="single" w:sz="8" w:space="0" w:color="auto"/>
            </w:tcBorders>
            <w:shd w:val="clear" w:color="auto" w:fill="auto"/>
            <w:noWrap/>
            <w:vAlign w:val="center"/>
          </w:tcPr>
          <w:p w:rsidR="001E4AC0" w:rsidRPr="00207396" w:rsidRDefault="001E4AC0" w:rsidP="004C1D16">
            <w:pPr>
              <w:spacing w:after="0" w:line="240" w:lineRule="auto"/>
              <w:jc w:val="both"/>
              <w:rPr>
                <w:rFonts w:eastAsia="Times New Roman" w:cs="Arial"/>
                <w:bCs/>
                <w:color w:val="FF0000"/>
                <w:lang w:eastAsia="hu-HU"/>
              </w:rPr>
            </w:pPr>
            <w:r w:rsidRPr="00207396">
              <w:rPr>
                <w:rFonts w:eastAsia="Times New Roman" w:cs="Arial"/>
                <w:bCs/>
                <w:color w:val="FF0000"/>
                <w:lang w:eastAsia="hu-HU"/>
              </w:rPr>
              <w:t>Egyesületi átadott pénzeszköz</w:t>
            </w:r>
          </w:p>
        </w:tc>
        <w:tc>
          <w:tcPr>
            <w:tcW w:w="1709" w:type="dxa"/>
            <w:tcBorders>
              <w:top w:val="nil"/>
              <w:left w:val="nil"/>
              <w:bottom w:val="single" w:sz="8" w:space="0" w:color="auto"/>
              <w:right w:val="single" w:sz="8" w:space="0" w:color="auto"/>
            </w:tcBorders>
            <w:shd w:val="clear" w:color="auto" w:fill="auto"/>
            <w:noWrap/>
            <w:vAlign w:val="center"/>
          </w:tcPr>
          <w:p w:rsidR="001E4AC0" w:rsidRPr="00207396" w:rsidRDefault="001E4AC0" w:rsidP="004C1D16">
            <w:pPr>
              <w:spacing w:after="0" w:line="240" w:lineRule="auto"/>
              <w:jc w:val="both"/>
              <w:rPr>
                <w:rFonts w:eastAsia="Times New Roman" w:cs="Arial"/>
                <w:color w:val="FF0000"/>
                <w:lang w:eastAsia="hu-HU"/>
              </w:rPr>
            </w:pPr>
            <w:r w:rsidRPr="00207396">
              <w:rPr>
                <w:rFonts w:eastAsia="Times New Roman" w:cs="Arial"/>
                <w:color w:val="FF0000"/>
                <w:lang w:eastAsia="hu-HU"/>
              </w:rPr>
              <w:t>9 000 000</w:t>
            </w:r>
          </w:p>
        </w:tc>
        <w:tc>
          <w:tcPr>
            <w:tcW w:w="1267" w:type="dxa"/>
            <w:tcBorders>
              <w:top w:val="nil"/>
              <w:left w:val="nil"/>
              <w:bottom w:val="single" w:sz="8" w:space="0" w:color="auto"/>
              <w:right w:val="nil"/>
            </w:tcBorders>
            <w:vAlign w:val="center"/>
          </w:tcPr>
          <w:p w:rsidR="001E4AC0" w:rsidRPr="00207396" w:rsidRDefault="001E4AC0" w:rsidP="004C1D16">
            <w:pPr>
              <w:spacing w:after="0" w:line="240" w:lineRule="auto"/>
              <w:jc w:val="both"/>
              <w:rPr>
                <w:rFonts w:eastAsia="Times New Roman" w:cs="Arial"/>
                <w:color w:val="FF0000"/>
                <w:lang w:eastAsia="hu-HU"/>
              </w:rPr>
            </w:pPr>
            <w:r w:rsidRPr="00207396">
              <w:rPr>
                <w:rFonts w:eastAsia="Times New Roman" w:cs="Arial"/>
                <w:color w:val="FF0000"/>
                <w:lang w:eastAsia="hu-HU"/>
              </w:rPr>
              <w:t>9 000 000</w:t>
            </w:r>
          </w:p>
        </w:tc>
        <w:tc>
          <w:tcPr>
            <w:tcW w:w="146" w:type="dxa"/>
            <w:tcBorders>
              <w:top w:val="nil"/>
              <w:left w:val="nil"/>
              <w:bottom w:val="single" w:sz="8" w:space="0" w:color="auto"/>
              <w:right w:val="single" w:sz="8" w:space="0" w:color="auto"/>
            </w:tcBorders>
          </w:tcPr>
          <w:p w:rsidR="001E4AC0" w:rsidRDefault="001E4AC0" w:rsidP="004C1D16">
            <w:pPr>
              <w:spacing w:after="0" w:line="240" w:lineRule="auto"/>
              <w:jc w:val="both"/>
              <w:rPr>
                <w:rFonts w:eastAsia="Times New Roman" w:cs="Arial"/>
                <w:lang w:eastAsia="hu-HU"/>
              </w:rPr>
            </w:pPr>
          </w:p>
        </w:tc>
      </w:tr>
      <w:tr w:rsidR="001E4AC0" w:rsidRPr="00927A82" w:rsidTr="00F5679C">
        <w:trPr>
          <w:trHeight w:val="315"/>
        </w:trPr>
        <w:tc>
          <w:tcPr>
            <w:tcW w:w="6678" w:type="dxa"/>
            <w:tcBorders>
              <w:top w:val="single" w:sz="8" w:space="0" w:color="auto"/>
              <w:left w:val="single" w:sz="8" w:space="0" w:color="auto"/>
              <w:bottom w:val="single" w:sz="8" w:space="0" w:color="auto"/>
              <w:right w:val="single" w:sz="8" w:space="0" w:color="auto"/>
            </w:tcBorders>
            <w:shd w:val="clear" w:color="000000" w:fill="92D050"/>
            <w:noWrap/>
            <w:vAlign w:val="center"/>
            <w:hideMark/>
          </w:tcPr>
          <w:p w:rsidR="001E4AC0" w:rsidRPr="00D8600D" w:rsidRDefault="001E4AC0" w:rsidP="004C1D16">
            <w:pPr>
              <w:spacing w:after="0" w:line="240" w:lineRule="auto"/>
              <w:jc w:val="both"/>
              <w:rPr>
                <w:rFonts w:eastAsia="Times New Roman" w:cs="Arial"/>
                <w:b/>
                <w:bCs/>
                <w:color w:val="FF0000"/>
                <w:lang w:eastAsia="hu-HU"/>
              </w:rPr>
            </w:pPr>
            <w:r w:rsidRPr="00D8600D">
              <w:rPr>
                <w:rFonts w:eastAsia="Times New Roman" w:cs="Arial"/>
                <w:b/>
                <w:bCs/>
                <w:color w:val="FF0000"/>
                <w:lang w:eastAsia="hu-HU"/>
              </w:rPr>
              <w:t>Mindösszesen</w:t>
            </w:r>
          </w:p>
        </w:tc>
        <w:tc>
          <w:tcPr>
            <w:tcW w:w="1709" w:type="dxa"/>
            <w:tcBorders>
              <w:top w:val="single" w:sz="8" w:space="0" w:color="auto"/>
              <w:left w:val="nil"/>
              <w:bottom w:val="single" w:sz="8" w:space="0" w:color="auto"/>
              <w:right w:val="single" w:sz="8" w:space="0" w:color="auto"/>
            </w:tcBorders>
            <w:shd w:val="clear" w:color="000000" w:fill="92D050"/>
            <w:noWrap/>
            <w:vAlign w:val="center"/>
            <w:hideMark/>
          </w:tcPr>
          <w:p w:rsidR="001E4AC0" w:rsidRPr="00D8600D" w:rsidRDefault="001E4AC0" w:rsidP="00E44ED5">
            <w:pPr>
              <w:spacing w:after="0" w:line="240" w:lineRule="auto"/>
              <w:jc w:val="both"/>
              <w:rPr>
                <w:rFonts w:eastAsia="Times New Roman" w:cs="Arial"/>
                <w:b/>
                <w:bCs/>
                <w:color w:val="FF0000"/>
                <w:lang w:eastAsia="hu-HU"/>
              </w:rPr>
            </w:pPr>
            <w:r w:rsidRPr="00D8600D">
              <w:rPr>
                <w:rFonts w:eastAsia="Times New Roman" w:cs="Arial"/>
                <w:b/>
                <w:bCs/>
                <w:color w:val="FF0000"/>
                <w:lang w:eastAsia="hu-HU"/>
              </w:rPr>
              <w:t>1</w:t>
            </w:r>
            <w:r w:rsidR="00E44ED5" w:rsidRPr="00D8600D">
              <w:rPr>
                <w:rFonts w:eastAsia="Times New Roman" w:cs="Arial"/>
                <w:b/>
                <w:bCs/>
                <w:color w:val="FF0000"/>
                <w:lang w:eastAsia="hu-HU"/>
              </w:rPr>
              <w:t>32</w:t>
            </w:r>
            <w:r w:rsidRPr="00D8600D">
              <w:rPr>
                <w:rFonts w:eastAsia="Times New Roman" w:cs="Arial"/>
                <w:b/>
                <w:bCs/>
                <w:color w:val="FF0000"/>
                <w:lang w:eastAsia="hu-HU"/>
              </w:rPr>
              <w:t> 000 000</w:t>
            </w:r>
          </w:p>
        </w:tc>
        <w:tc>
          <w:tcPr>
            <w:tcW w:w="1267" w:type="dxa"/>
            <w:tcBorders>
              <w:top w:val="single" w:sz="8" w:space="0" w:color="auto"/>
              <w:left w:val="nil"/>
              <w:bottom w:val="single" w:sz="8" w:space="0" w:color="auto"/>
              <w:right w:val="nil"/>
            </w:tcBorders>
            <w:shd w:val="clear" w:color="000000" w:fill="92D050"/>
            <w:vAlign w:val="center"/>
          </w:tcPr>
          <w:p w:rsidR="001E4AC0" w:rsidRPr="00D8600D" w:rsidRDefault="001E4AC0" w:rsidP="00E44ED5">
            <w:pPr>
              <w:spacing w:after="0" w:line="240" w:lineRule="auto"/>
              <w:jc w:val="both"/>
              <w:rPr>
                <w:rFonts w:eastAsia="Times New Roman" w:cs="Arial"/>
                <w:b/>
                <w:bCs/>
                <w:color w:val="FF0000"/>
                <w:lang w:eastAsia="hu-HU"/>
              </w:rPr>
            </w:pPr>
            <w:r w:rsidRPr="00D8600D">
              <w:rPr>
                <w:rFonts w:eastAsia="Times New Roman" w:cs="Arial"/>
                <w:b/>
                <w:bCs/>
                <w:color w:val="FF0000"/>
                <w:lang w:eastAsia="hu-HU"/>
              </w:rPr>
              <w:t>1</w:t>
            </w:r>
            <w:r w:rsidR="00E44ED5" w:rsidRPr="00D8600D">
              <w:rPr>
                <w:rFonts w:eastAsia="Times New Roman" w:cs="Arial"/>
                <w:b/>
                <w:bCs/>
                <w:color w:val="FF0000"/>
                <w:lang w:eastAsia="hu-HU"/>
              </w:rPr>
              <w:t>13</w:t>
            </w:r>
            <w:r w:rsidRPr="00D8600D">
              <w:rPr>
                <w:rFonts w:eastAsia="Times New Roman" w:cs="Arial"/>
                <w:b/>
                <w:bCs/>
                <w:color w:val="FF0000"/>
                <w:lang w:eastAsia="hu-HU"/>
              </w:rPr>
              <w:t> 000 000</w:t>
            </w:r>
          </w:p>
        </w:tc>
        <w:tc>
          <w:tcPr>
            <w:tcW w:w="146" w:type="dxa"/>
            <w:tcBorders>
              <w:top w:val="single" w:sz="8" w:space="0" w:color="auto"/>
              <w:left w:val="nil"/>
              <w:bottom w:val="single" w:sz="8" w:space="0" w:color="auto"/>
              <w:right w:val="single" w:sz="8" w:space="0" w:color="auto"/>
            </w:tcBorders>
            <w:shd w:val="clear" w:color="000000" w:fill="92D050"/>
          </w:tcPr>
          <w:p w:rsidR="001E4AC0" w:rsidRDefault="001E4AC0" w:rsidP="004C1D16">
            <w:pPr>
              <w:spacing w:after="0" w:line="240" w:lineRule="auto"/>
              <w:jc w:val="both"/>
              <w:rPr>
                <w:rFonts w:eastAsia="Times New Roman" w:cs="Arial"/>
                <w:b/>
                <w:bCs/>
                <w:lang w:eastAsia="hu-HU"/>
              </w:rPr>
            </w:pPr>
          </w:p>
        </w:tc>
      </w:tr>
    </w:tbl>
    <w:p w:rsidR="001E4AC0" w:rsidRDefault="001E4AC0" w:rsidP="004C1D16">
      <w:pPr>
        <w:spacing w:after="0" w:line="240" w:lineRule="auto"/>
        <w:jc w:val="both"/>
        <w:rPr>
          <w:sz w:val="24"/>
          <w:szCs w:val="24"/>
        </w:rPr>
      </w:pPr>
    </w:p>
    <w:p w:rsidR="00A67DB9" w:rsidRDefault="00A67DB9" w:rsidP="004C1D16">
      <w:pPr>
        <w:jc w:val="both"/>
        <w:rPr>
          <w:sz w:val="24"/>
          <w:szCs w:val="24"/>
        </w:rPr>
      </w:pPr>
      <w:r>
        <w:rPr>
          <w:sz w:val="24"/>
          <w:szCs w:val="24"/>
        </w:rPr>
        <w:br w:type="page"/>
      </w:r>
    </w:p>
    <w:p w:rsidR="00A67DB9" w:rsidRPr="000F2F0F" w:rsidRDefault="00A67DB9" w:rsidP="001E4AC0">
      <w:pPr>
        <w:spacing w:after="0" w:line="240" w:lineRule="auto"/>
        <w:jc w:val="both"/>
        <w:rPr>
          <w:sz w:val="24"/>
          <w:szCs w:val="24"/>
        </w:rPr>
      </w:pPr>
    </w:p>
    <w:p w:rsidR="001E4AC0" w:rsidRPr="00A67DB9" w:rsidRDefault="001E4AC0" w:rsidP="004C1D16">
      <w:pPr>
        <w:jc w:val="both"/>
        <w:rPr>
          <w:color w:val="FF0000"/>
        </w:rPr>
      </w:pPr>
      <w:r w:rsidRPr="000F2F0F">
        <w:t>Az alábbi tábl</w:t>
      </w:r>
      <w:r w:rsidR="00706A7B">
        <w:t>ázok</w:t>
      </w:r>
      <w:r>
        <w:t xml:space="preserve"> tartalmazz</w:t>
      </w:r>
      <w:r w:rsidR="00706A7B">
        <w:t>ák</w:t>
      </w:r>
      <w:r>
        <w:t xml:space="preserve"> a Társaság 2020</w:t>
      </w:r>
      <w:r w:rsidRPr="000F2F0F">
        <w:t>. évi bevételeinek és k</w:t>
      </w:r>
      <w:r>
        <w:t>iadásainak tervezett ütemezését</w:t>
      </w:r>
      <w:r w:rsidR="00706A7B">
        <w:t xml:space="preserve"> </w:t>
      </w:r>
      <w:r w:rsidR="00706A7B" w:rsidRPr="00A67DB9">
        <w:rPr>
          <w:color w:val="FF0000"/>
        </w:rPr>
        <w:t>2 változatban.</w:t>
      </w:r>
    </w:p>
    <w:tbl>
      <w:tblPr>
        <w:tblW w:w="9371" w:type="dxa"/>
        <w:tblInd w:w="55" w:type="dxa"/>
        <w:tblCellMar>
          <w:left w:w="70" w:type="dxa"/>
          <w:right w:w="70" w:type="dxa"/>
        </w:tblCellMar>
        <w:tblLook w:val="0000" w:firstRow="0" w:lastRow="0" w:firstColumn="0" w:lastColumn="0" w:noHBand="0" w:noVBand="0"/>
      </w:tblPr>
      <w:tblGrid>
        <w:gridCol w:w="3276"/>
        <w:gridCol w:w="2976"/>
        <w:gridCol w:w="3119"/>
      </w:tblGrid>
      <w:tr w:rsidR="001E4AC0" w:rsidRPr="00494FCB" w:rsidTr="00F5679C">
        <w:trPr>
          <w:trHeight w:val="585"/>
        </w:trPr>
        <w:tc>
          <w:tcPr>
            <w:tcW w:w="3276" w:type="dxa"/>
            <w:tcBorders>
              <w:top w:val="single" w:sz="8" w:space="0" w:color="auto"/>
              <w:left w:val="single" w:sz="8" w:space="0" w:color="auto"/>
              <w:bottom w:val="single" w:sz="8" w:space="0" w:color="auto"/>
              <w:right w:val="single" w:sz="8" w:space="0" w:color="auto"/>
            </w:tcBorders>
            <w:shd w:val="clear" w:color="000000" w:fill="92D050"/>
            <w:noWrap/>
            <w:vAlign w:val="center"/>
          </w:tcPr>
          <w:p w:rsidR="001E4AC0" w:rsidRDefault="001E4AC0" w:rsidP="004C1D16">
            <w:pPr>
              <w:numPr>
                <w:ilvl w:val="0"/>
                <w:numId w:val="13"/>
              </w:numPr>
              <w:spacing w:after="0" w:line="240" w:lineRule="auto"/>
              <w:jc w:val="both"/>
              <w:rPr>
                <w:rFonts w:eastAsia="Times New Roman" w:cs="Arial"/>
                <w:b/>
                <w:bCs/>
                <w:lang w:eastAsia="hu-HU"/>
              </w:rPr>
            </w:pPr>
            <w:r>
              <w:rPr>
                <w:rFonts w:eastAsia="Times New Roman" w:cs="Arial"/>
                <w:b/>
                <w:bCs/>
                <w:lang w:eastAsia="hu-HU"/>
              </w:rPr>
              <w:t>opció</w:t>
            </w:r>
          </w:p>
          <w:p w:rsidR="001E4AC0" w:rsidRPr="00494FCB" w:rsidRDefault="001E4AC0" w:rsidP="004C1D16">
            <w:pPr>
              <w:spacing w:after="0" w:line="240" w:lineRule="auto"/>
              <w:ind w:left="720"/>
              <w:jc w:val="both"/>
              <w:rPr>
                <w:rFonts w:eastAsia="Times New Roman" w:cs="Arial"/>
                <w:b/>
                <w:bCs/>
                <w:lang w:eastAsia="hu-HU"/>
              </w:rPr>
            </w:pPr>
          </w:p>
        </w:tc>
        <w:tc>
          <w:tcPr>
            <w:tcW w:w="2976" w:type="dxa"/>
            <w:tcBorders>
              <w:top w:val="single" w:sz="8" w:space="0" w:color="auto"/>
              <w:left w:val="single" w:sz="8" w:space="0" w:color="auto"/>
              <w:bottom w:val="single" w:sz="8" w:space="0" w:color="auto"/>
              <w:right w:val="single" w:sz="8" w:space="0" w:color="auto"/>
            </w:tcBorders>
            <w:shd w:val="clear" w:color="000000" w:fill="92D050"/>
            <w:vAlign w:val="bottom"/>
          </w:tcPr>
          <w:p w:rsidR="001E4AC0" w:rsidRPr="00494FCB" w:rsidRDefault="001E4AC0" w:rsidP="004C1D16">
            <w:pPr>
              <w:spacing w:after="0" w:line="240" w:lineRule="auto"/>
              <w:jc w:val="both"/>
              <w:rPr>
                <w:rFonts w:eastAsia="Times New Roman" w:cs="Arial"/>
                <w:b/>
                <w:bCs/>
                <w:lang w:eastAsia="hu-HU"/>
              </w:rPr>
            </w:pPr>
            <w:r w:rsidRPr="00494FCB">
              <w:rPr>
                <w:rFonts w:eastAsia="Times New Roman" w:cs="Arial"/>
                <w:b/>
                <w:bCs/>
                <w:lang w:eastAsia="hu-HU"/>
              </w:rPr>
              <w:t>Kiadások</w:t>
            </w:r>
          </w:p>
          <w:p w:rsidR="001E4AC0" w:rsidRPr="00494FCB" w:rsidRDefault="001E4AC0" w:rsidP="004C1D16">
            <w:pPr>
              <w:spacing w:after="0" w:line="240" w:lineRule="auto"/>
              <w:jc w:val="both"/>
              <w:rPr>
                <w:rFonts w:eastAsia="Times New Roman" w:cs="Arial"/>
                <w:b/>
                <w:bCs/>
                <w:lang w:eastAsia="hu-HU"/>
              </w:rPr>
            </w:pPr>
            <w:r w:rsidRPr="00494FCB">
              <w:rPr>
                <w:rFonts w:eastAsia="Times New Roman" w:cs="Arial"/>
                <w:b/>
                <w:bCs/>
                <w:lang w:eastAsia="hu-HU"/>
              </w:rPr>
              <w:t>bruttó összeg forintban</w:t>
            </w:r>
          </w:p>
        </w:tc>
        <w:tc>
          <w:tcPr>
            <w:tcW w:w="3119" w:type="dxa"/>
            <w:tcBorders>
              <w:top w:val="single" w:sz="8" w:space="0" w:color="auto"/>
              <w:left w:val="single" w:sz="8" w:space="0" w:color="auto"/>
              <w:bottom w:val="single" w:sz="8" w:space="0" w:color="auto"/>
              <w:right w:val="single" w:sz="8" w:space="0" w:color="auto"/>
            </w:tcBorders>
            <w:shd w:val="clear" w:color="000000" w:fill="92D050"/>
            <w:vAlign w:val="bottom"/>
          </w:tcPr>
          <w:p w:rsidR="001E4AC0" w:rsidRPr="00494FCB" w:rsidRDefault="001E4AC0" w:rsidP="004C1D16">
            <w:pPr>
              <w:spacing w:after="0" w:line="240" w:lineRule="auto"/>
              <w:jc w:val="both"/>
              <w:rPr>
                <w:rFonts w:eastAsia="Times New Roman" w:cs="Arial"/>
                <w:b/>
                <w:bCs/>
                <w:lang w:eastAsia="hu-HU"/>
              </w:rPr>
            </w:pPr>
            <w:r w:rsidRPr="00494FCB">
              <w:rPr>
                <w:rFonts w:eastAsia="Times New Roman" w:cs="Arial"/>
                <w:b/>
                <w:bCs/>
                <w:lang w:eastAsia="hu-HU"/>
              </w:rPr>
              <w:t xml:space="preserve">Bevételek </w:t>
            </w:r>
          </w:p>
          <w:p w:rsidR="001E4AC0" w:rsidRPr="00494FCB" w:rsidRDefault="001E4AC0" w:rsidP="004C1D16">
            <w:pPr>
              <w:spacing w:after="0" w:line="240" w:lineRule="auto"/>
              <w:jc w:val="both"/>
              <w:rPr>
                <w:rFonts w:eastAsia="Times New Roman" w:cs="Arial"/>
                <w:b/>
                <w:bCs/>
                <w:lang w:eastAsia="hu-HU"/>
              </w:rPr>
            </w:pPr>
            <w:r w:rsidRPr="00494FCB">
              <w:rPr>
                <w:rFonts w:eastAsia="Times New Roman" w:cs="Arial"/>
                <w:b/>
                <w:bCs/>
                <w:lang w:eastAsia="hu-HU"/>
              </w:rPr>
              <w:t>bruttó összeg forintban</w:t>
            </w:r>
          </w:p>
        </w:tc>
      </w:tr>
      <w:tr w:rsidR="001E4AC0" w:rsidRPr="00494FCB" w:rsidTr="00F5679C">
        <w:trPr>
          <w:trHeight w:val="70"/>
        </w:trPr>
        <w:tc>
          <w:tcPr>
            <w:tcW w:w="3276" w:type="dxa"/>
            <w:tcBorders>
              <w:top w:val="single" w:sz="8" w:space="0" w:color="auto"/>
              <w:left w:val="single" w:sz="4" w:space="0" w:color="auto"/>
              <w:bottom w:val="single" w:sz="4" w:space="0" w:color="auto"/>
              <w:right w:val="single" w:sz="4" w:space="0" w:color="auto"/>
            </w:tcBorders>
            <w:shd w:val="clear" w:color="auto" w:fill="auto"/>
            <w:noWrap/>
            <w:vAlign w:val="bottom"/>
          </w:tcPr>
          <w:p w:rsidR="001E4AC0" w:rsidRPr="00207396" w:rsidRDefault="001E4AC0" w:rsidP="004C1D16">
            <w:pPr>
              <w:spacing w:after="0" w:line="240" w:lineRule="auto"/>
              <w:jc w:val="both"/>
              <w:rPr>
                <w:rFonts w:eastAsia="Times New Roman" w:cs="Arial"/>
                <w:color w:val="FF0000"/>
                <w:lang w:eastAsia="hu-HU"/>
              </w:rPr>
            </w:pPr>
            <w:r w:rsidRPr="00207396">
              <w:rPr>
                <w:rFonts w:eastAsia="Times New Roman" w:cs="Arial"/>
                <w:color w:val="FF0000"/>
                <w:lang w:eastAsia="hu-HU"/>
              </w:rPr>
              <w:t>2020. 1. negyedév</w:t>
            </w:r>
          </w:p>
        </w:tc>
        <w:tc>
          <w:tcPr>
            <w:tcW w:w="2976" w:type="dxa"/>
            <w:tcBorders>
              <w:top w:val="single" w:sz="8" w:space="0" w:color="auto"/>
              <w:left w:val="nil"/>
              <w:bottom w:val="single" w:sz="4" w:space="0" w:color="auto"/>
              <w:right w:val="single" w:sz="4" w:space="0" w:color="auto"/>
            </w:tcBorders>
            <w:shd w:val="clear" w:color="auto" w:fill="auto"/>
            <w:noWrap/>
            <w:vAlign w:val="bottom"/>
          </w:tcPr>
          <w:p w:rsidR="001E4AC0" w:rsidRPr="00207396" w:rsidRDefault="001E4AC0" w:rsidP="004C1D16">
            <w:pPr>
              <w:spacing w:after="0" w:line="240" w:lineRule="auto"/>
              <w:jc w:val="both"/>
              <w:rPr>
                <w:rFonts w:eastAsia="Times New Roman" w:cs="Arial"/>
                <w:color w:val="FF0000"/>
                <w:lang w:eastAsia="hu-HU"/>
              </w:rPr>
            </w:pPr>
            <w:r w:rsidRPr="00207396">
              <w:rPr>
                <w:rFonts w:eastAsia="Times New Roman" w:cs="Arial"/>
                <w:color w:val="FF0000"/>
                <w:lang w:eastAsia="hu-HU"/>
              </w:rPr>
              <w:t>21 000 000</w:t>
            </w:r>
          </w:p>
        </w:tc>
        <w:tc>
          <w:tcPr>
            <w:tcW w:w="3119" w:type="dxa"/>
            <w:tcBorders>
              <w:top w:val="single" w:sz="8" w:space="0" w:color="auto"/>
              <w:left w:val="nil"/>
              <w:bottom w:val="single" w:sz="4" w:space="0" w:color="auto"/>
              <w:right w:val="single" w:sz="4" w:space="0" w:color="auto"/>
            </w:tcBorders>
            <w:shd w:val="clear" w:color="auto" w:fill="auto"/>
            <w:noWrap/>
            <w:vAlign w:val="bottom"/>
          </w:tcPr>
          <w:p w:rsidR="001E4AC0" w:rsidRPr="00207396" w:rsidRDefault="001E4AC0" w:rsidP="004C1D16">
            <w:pPr>
              <w:spacing w:after="0" w:line="240" w:lineRule="auto"/>
              <w:jc w:val="both"/>
              <w:rPr>
                <w:rFonts w:eastAsia="Times New Roman" w:cs="Arial"/>
                <w:color w:val="FF0000"/>
                <w:lang w:eastAsia="hu-HU"/>
              </w:rPr>
            </w:pPr>
            <w:r w:rsidRPr="00207396">
              <w:rPr>
                <w:rFonts w:eastAsia="Times New Roman" w:cs="Arial"/>
                <w:color w:val="FF0000"/>
                <w:lang w:eastAsia="hu-HU"/>
              </w:rPr>
              <w:t>21 000 000</w:t>
            </w:r>
          </w:p>
        </w:tc>
      </w:tr>
      <w:tr w:rsidR="001E4AC0" w:rsidRPr="00494FCB" w:rsidTr="00F5679C">
        <w:trPr>
          <w:trHeight w:val="285"/>
        </w:trPr>
        <w:tc>
          <w:tcPr>
            <w:tcW w:w="3276" w:type="dxa"/>
            <w:tcBorders>
              <w:top w:val="nil"/>
              <w:left w:val="single" w:sz="4" w:space="0" w:color="auto"/>
              <w:bottom w:val="single" w:sz="4" w:space="0" w:color="auto"/>
              <w:right w:val="single" w:sz="4" w:space="0" w:color="auto"/>
            </w:tcBorders>
            <w:shd w:val="clear" w:color="auto" w:fill="auto"/>
            <w:noWrap/>
            <w:vAlign w:val="bottom"/>
          </w:tcPr>
          <w:p w:rsidR="001E4AC0" w:rsidRPr="00207396" w:rsidRDefault="001E4AC0" w:rsidP="004C1D16">
            <w:pPr>
              <w:spacing w:after="0" w:line="240" w:lineRule="auto"/>
              <w:jc w:val="both"/>
              <w:rPr>
                <w:rFonts w:eastAsia="Times New Roman" w:cs="Arial"/>
                <w:color w:val="FF0000"/>
                <w:lang w:eastAsia="hu-HU"/>
              </w:rPr>
            </w:pPr>
            <w:r w:rsidRPr="00207396">
              <w:rPr>
                <w:rFonts w:eastAsia="Times New Roman" w:cs="Arial"/>
                <w:color w:val="FF0000"/>
                <w:lang w:eastAsia="hu-HU"/>
              </w:rPr>
              <w:t>2020. 2. negyedév</w:t>
            </w:r>
          </w:p>
        </w:tc>
        <w:tc>
          <w:tcPr>
            <w:tcW w:w="2976" w:type="dxa"/>
            <w:tcBorders>
              <w:top w:val="nil"/>
              <w:left w:val="nil"/>
              <w:bottom w:val="single" w:sz="4" w:space="0" w:color="auto"/>
              <w:right w:val="single" w:sz="4" w:space="0" w:color="auto"/>
            </w:tcBorders>
            <w:shd w:val="clear" w:color="auto" w:fill="auto"/>
            <w:noWrap/>
            <w:vAlign w:val="bottom"/>
          </w:tcPr>
          <w:p w:rsidR="001E4AC0" w:rsidRPr="00207396" w:rsidRDefault="001E4AC0" w:rsidP="00E44ED5">
            <w:pPr>
              <w:spacing w:after="0" w:line="240" w:lineRule="auto"/>
              <w:jc w:val="both"/>
              <w:rPr>
                <w:rFonts w:eastAsia="Times New Roman" w:cs="Arial"/>
                <w:color w:val="FF0000"/>
                <w:lang w:eastAsia="hu-HU"/>
              </w:rPr>
            </w:pPr>
            <w:r w:rsidRPr="00207396">
              <w:rPr>
                <w:rFonts w:eastAsia="Times New Roman" w:cs="Arial"/>
                <w:color w:val="FF0000"/>
                <w:lang w:eastAsia="hu-HU"/>
              </w:rPr>
              <w:t>1</w:t>
            </w:r>
            <w:r w:rsidR="00E44ED5">
              <w:rPr>
                <w:rFonts w:eastAsia="Times New Roman" w:cs="Arial"/>
                <w:color w:val="FF0000"/>
                <w:lang w:eastAsia="hu-HU"/>
              </w:rPr>
              <w:t>7</w:t>
            </w:r>
            <w:r w:rsidRPr="00207396">
              <w:rPr>
                <w:rFonts w:eastAsia="Times New Roman" w:cs="Arial"/>
                <w:color w:val="FF0000"/>
                <w:lang w:eastAsia="hu-HU"/>
              </w:rPr>
              <w:t> 000 000</w:t>
            </w:r>
          </w:p>
        </w:tc>
        <w:tc>
          <w:tcPr>
            <w:tcW w:w="3119" w:type="dxa"/>
            <w:tcBorders>
              <w:top w:val="nil"/>
              <w:left w:val="nil"/>
              <w:bottom w:val="single" w:sz="4" w:space="0" w:color="auto"/>
              <w:right w:val="single" w:sz="4" w:space="0" w:color="auto"/>
            </w:tcBorders>
            <w:shd w:val="clear" w:color="auto" w:fill="auto"/>
            <w:noWrap/>
            <w:vAlign w:val="bottom"/>
          </w:tcPr>
          <w:p w:rsidR="001E4AC0" w:rsidRPr="00207396" w:rsidRDefault="00E44ED5" w:rsidP="004C1D16">
            <w:pPr>
              <w:spacing w:after="0" w:line="240" w:lineRule="auto"/>
              <w:jc w:val="both"/>
              <w:rPr>
                <w:rFonts w:eastAsia="Times New Roman" w:cs="Arial"/>
                <w:color w:val="FF0000"/>
                <w:lang w:eastAsia="hu-HU"/>
              </w:rPr>
            </w:pPr>
            <w:r>
              <w:rPr>
                <w:rFonts w:eastAsia="Times New Roman" w:cs="Arial"/>
                <w:color w:val="FF0000"/>
                <w:lang w:eastAsia="hu-HU"/>
              </w:rPr>
              <w:t>61</w:t>
            </w:r>
            <w:r w:rsidR="001E4AC0" w:rsidRPr="00207396">
              <w:rPr>
                <w:rFonts w:eastAsia="Times New Roman" w:cs="Arial"/>
                <w:color w:val="FF0000"/>
                <w:lang w:eastAsia="hu-HU"/>
              </w:rPr>
              <w:t> 000 000</w:t>
            </w:r>
          </w:p>
        </w:tc>
      </w:tr>
      <w:tr w:rsidR="001E4AC0" w:rsidRPr="00494FCB" w:rsidTr="00F5679C">
        <w:trPr>
          <w:trHeight w:val="285"/>
        </w:trPr>
        <w:tc>
          <w:tcPr>
            <w:tcW w:w="3276" w:type="dxa"/>
            <w:tcBorders>
              <w:top w:val="nil"/>
              <w:left w:val="single" w:sz="4" w:space="0" w:color="auto"/>
              <w:bottom w:val="single" w:sz="4" w:space="0" w:color="auto"/>
              <w:right w:val="single" w:sz="4" w:space="0" w:color="auto"/>
            </w:tcBorders>
            <w:shd w:val="clear" w:color="auto" w:fill="auto"/>
            <w:noWrap/>
            <w:vAlign w:val="bottom"/>
          </w:tcPr>
          <w:p w:rsidR="001E4AC0" w:rsidRPr="00207396" w:rsidRDefault="001E4AC0" w:rsidP="004C1D16">
            <w:pPr>
              <w:spacing w:after="0" w:line="240" w:lineRule="auto"/>
              <w:jc w:val="both"/>
              <w:rPr>
                <w:rFonts w:eastAsia="Times New Roman" w:cs="Arial"/>
                <w:color w:val="FF0000"/>
                <w:lang w:eastAsia="hu-HU"/>
              </w:rPr>
            </w:pPr>
            <w:r w:rsidRPr="00207396">
              <w:rPr>
                <w:rFonts w:eastAsia="Times New Roman" w:cs="Arial"/>
                <w:color w:val="FF0000"/>
                <w:lang w:eastAsia="hu-HU"/>
              </w:rPr>
              <w:t>2020. 3. negyedév</w:t>
            </w:r>
          </w:p>
        </w:tc>
        <w:tc>
          <w:tcPr>
            <w:tcW w:w="2976" w:type="dxa"/>
            <w:tcBorders>
              <w:top w:val="nil"/>
              <w:left w:val="nil"/>
              <w:bottom w:val="single" w:sz="4" w:space="0" w:color="auto"/>
              <w:right w:val="single" w:sz="4" w:space="0" w:color="auto"/>
            </w:tcBorders>
            <w:shd w:val="clear" w:color="auto" w:fill="auto"/>
            <w:noWrap/>
            <w:vAlign w:val="bottom"/>
          </w:tcPr>
          <w:p w:rsidR="001E4AC0" w:rsidRPr="00207396" w:rsidRDefault="001E4AC0" w:rsidP="00E44ED5">
            <w:pPr>
              <w:spacing w:after="0" w:line="240" w:lineRule="auto"/>
              <w:jc w:val="both"/>
              <w:rPr>
                <w:rFonts w:eastAsia="Times New Roman" w:cs="Arial"/>
                <w:color w:val="FF0000"/>
                <w:lang w:eastAsia="hu-HU"/>
              </w:rPr>
            </w:pPr>
            <w:r w:rsidRPr="00207396">
              <w:rPr>
                <w:rFonts w:eastAsia="Times New Roman" w:cs="Arial"/>
                <w:color w:val="FF0000"/>
                <w:lang w:eastAsia="hu-HU"/>
              </w:rPr>
              <w:t>4</w:t>
            </w:r>
            <w:r w:rsidR="00E44ED5">
              <w:rPr>
                <w:rFonts w:eastAsia="Times New Roman" w:cs="Arial"/>
                <w:color w:val="FF0000"/>
                <w:lang w:eastAsia="hu-HU"/>
              </w:rPr>
              <w:t>4</w:t>
            </w:r>
            <w:r w:rsidRPr="00207396">
              <w:rPr>
                <w:rFonts w:eastAsia="Times New Roman" w:cs="Arial"/>
                <w:color w:val="FF0000"/>
                <w:lang w:eastAsia="hu-HU"/>
              </w:rPr>
              <w:t> 000 000</w:t>
            </w:r>
          </w:p>
        </w:tc>
        <w:tc>
          <w:tcPr>
            <w:tcW w:w="3119" w:type="dxa"/>
            <w:tcBorders>
              <w:top w:val="nil"/>
              <w:left w:val="nil"/>
              <w:bottom w:val="single" w:sz="4" w:space="0" w:color="auto"/>
              <w:right w:val="single" w:sz="4" w:space="0" w:color="auto"/>
            </w:tcBorders>
            <w:shd w:val="clear" w:color="auto" w:fill="auto"/>
            <w:noWrap/>
            <w:vAlign w:val="bottom"/>
          </w:tcPr>
          <w:p w:rsidR="001E4AC0" w:rsidRPr="00207396" w:rsidRDefault="001E4AC0" w:rsidP="004C1D16">
            <w:pPr>
              <w:spacing w:after="0" w:line="240" w:lineRule="auto"/>
              <w:jc w:val="both"/>
              <w:rPr>
                <w:rFonts w:eastAsia="Times New Roman" w:cs="Arial"/>
                <w:color w:val="FF0000"/>
                <w:lang w:eastAsia="hu-HU"/>
              </w:rPr>
            </w:pPr>
            <w:r w:rsidRPr="00207396">
              <w:rPr>
                <w:rFonts w:eastAsia="Times New Roman" w:cs="Arial"/>
                <w:color w:val="FF0000"/>
                <w:lang w:eastAsia="hu-HU"/>
              </w:rPr>
              <w:t>30 000 000</w:t>
            </w:r>
          </w:p>
        </w:tc>
      </w:tr>
      <w:tr w:rsidR="001E4AC0" w:rsidRPr="00494FCB" w:rsidTr="00F5679C">
        <w:trPr>
          <w:trHeight w:val="285"/>
        </w:trPr>
        <w:tc>
          <w:tcPr>
            <w:tcW w:w="3276" w:type="dxa"/>
            <w:tcBorders>
              <w:top w:val="nil"/>
              <w:left w:val="single" w:sz="4" w:space="0" w:color="auto"/>
              <w:bottom w:val="single" w:sz="8" w:space="0" w:color="auto"/>
              <w:right w:val="single" w:sz="4" w:space="0" w:color="auto"/>
            </w:tcBorders>
            <w:shd w:val="clear" w:color="auto" w:fill="auto"/>
            <w:noWrap/>
            <w:vAlign w:val="bottom"/>
          </w:tcPr>
          <w:p w:rsidR="001E4AC0" w:rsidRPr="00207396" w:rsidRDefault="001E4AC0" w:rsidP="004C1D16">
            <w:pPr>
              <w:spacing w:after="0" w:line="240" w:lineRule="auto"/>
              <w:jc w:val="both"/>
              <w:rPr>
                <w:rFonts w:eastAsia="Times New Roman" w:cs="Arial"/>
                <w:color w:val="FF0000"/>
                <w:lang w:eastAsia="hu-HU"/>
              </w:rPr>
            </w:pPr>
            <w:r w:rsidRPr="00207396">
              <w:rPr>
                <w:rFonts w:eastAsia="Times New Roman" w:cs="Arial"/>
                <w:color w:val="FF0000"/>
                <w:lang w:eastAsia="hu-HU"/>
              </w:rPr>
              <w:t>2020. 4. negyedév</w:t>
            </w:r>
          </w:p>
        </w:tc>
        <w:tc>
          <w:tcPr>
            <w:tcW w:w="2976" w:type="dxa"/>
            <w:tcBorders>
              <w:top w:val="nil"/>
              <w:left w:val="nil"/>
              <w:bottom w:val="single" w:sz="8" w:space="0" w:color="auto"/>
              <w:right w:val="single" w:sz="4" w:space="0" w:color="auto"/>
            </w:tcBorders>
            <w:shd w:val="clear" w:color="auto" w:fill="auto"/>
            <w:noWrap/>
            <w:vAlign w:val="bottom"/>
          </w:tcPr>
          <w:p w:rsidR="001E4AC0" w:rsidRPr="00207396" w:rsidRDefault="001E4AC0" w:rsidP="004C1D16">
            <w:pPr>
              <w:spacing w:after="0" w:line="240" w:lineRule="auto"/>
              <w:jc w:val="both"/>
              <w:rPr>
                <w:rFonts w:eastAsia="Times New Roman" w:cs="Arial"/>
                <w:color w:val="FF0000"/>
                <w:lang w:eastAsia="hu-HU"/>
              </w:rPr>
            </w:pPr>
            <w:r w:rsidRPr="00207396">
              <w:rPr>
                <w:rFonts w:eastAsia="Times New Roman" w:cs="Arial"/>
                <w:color w:val="FF0000"/>
                <w:lang w:eastAsia="hu-HU"/>
              </w:rPr>
              <w:t>50 000 000</w:t>
            </w:r>
          </w:p>
        </w:tc>
        <w:tc>
          <w:tcPr>
            <w:tcW w:w="3119" w:type="dxa"/>
            <w:tcBorders>
              <w:top w:val="nil"/>
              <w:left w:val="nil"/>
              <w:bottom w:val="single" w:sz="8" w:space="0" w:color="auto"/>
              <w:right w:val="single" w:sz="4" w:space="0" w:color="auto"/>
            </w:tcBorders>
            <w:shd w:val="clear" w:color="auto" w:fill="auto"/>
            <w:noWrap/>
            <w:vAlign w:val="bottom"/>
          </w:tcPr>
          <w:p w:rsidR="001E4AC0" w:rsidRPr="00207396" w:rsidRDefault="001E4AC0" w:rsidP="004C1D16">
            <w:pPr>
              <w:spacing w:after="0" w:line="240" w:lineRule="auto"/>
              <w:jc w:val="both"/>
              <w:rPr>
                <w:rFonts w:eastAsia="Times New Roman" w:cs="Arial"/>
                <w:color w:val="FF0000"/>
                <w:lang w:eastAsia="hu-HU"/>
              </w:rPr>
            </w:pPr>
            <w:r w:rsidRPr="00207396">
              <w:rPr>
                <w:rFonts w:eastAsia="Times New Roman" w:cs="Arial"/>
                <w:color w:val="FF0000"/>
                <w:lang w:eastAsia="hu-HU"/>
              </w:rPr>
              <w:t>20 000 000</w:t>
            </w:r>
          </w:p>
        </w:tc>
      </w:tr>
      <w:tr w:rsidR="001E4AC0" w:rsidRPr="00494FCB" w:rsidTr="00F5679C">
        <w:trPr>
          <w:trHeight w:val="285"/>
        </w:trPr>
        <w:tc>
          <w:tcPr>
            <w:tcW w:w="3276" w:type="dxa"/>
            <w:tcBorders>
              <w:top w:val="single" w:sz="8" w:space="0" w:color="auto"/>
              <w:left w:val="single" w:sz="8" w:space="0" w:color="auto"/>
              <w:bottom w:val="single" w:sz="8" w:space="0" w:color="auto"/>
              <w:right w:val="single" w:sz="8" w:space="0" w:color="auto"/>
            </w:tcBorders>
            <w:shd w:val="clear" w:color="000000" w:fill="92D050"/>
            <w:noWrap/>
            <w:vAlign w:val="bottom"/>
          </w:tcPr>
          <w:p w:rsidR="001E4AC0" w:rsidRPr="00207396" w:rsidRDefault="001E4AC0" w:rsidP="004C1D16">
            <w:pPr>
              <w:spacing w:after="0" w:line="240" w:lineRule="auto"/>
              <w:jc w:val="both"/>
              <w:rPr>
                <w:rFonts w:eastAsia="Times New Roman" w:cs="Arial"/>
                <w:color w:val="FF0000"/>
                <w:lang w:eastAsia="hu-HU"/>
              </w:rPr>
            </w:pPr>
            <w:r w:rsidRPr="00207396">
              <w:rPr>
                <w:rFonts w:eastAsia="Times New Roman" w:cs="Arial"/>
                <w:color w:val="FF0000"/>
                <w:lang w:eastAsia="hu-HU"/>
              </w:rPr>
              <w:t>Összesen</w:t>
            </w:r>
          </w:p>
        </w:tc>
        <w:tc>
          <w:tcPr>
            <w:tcW w:w="2976" w:type="dxa"/>
            <w:tcBorders>
              <w:top w:val="single" w:sz="8" w:space="0" w:color="auto"/>
              <w:left w:val="single" w:sz="8" w:space="0" w:color="auto"/>
              <w:bottom w:val="single" w:sz="8" w:space="0" w:color="auto"/>
              <w:right w:val="single" w:sz="8" w:space="0" w:color="auto"/>
            </w:tcBorders>
            <w:shd w:val="clear" w:color="000000" w:fill="92D050"/>
            <w:noWrap/>
            <w:vAlign w:val="bottom"/>
          </w:tcPr>
          <w:p w:rsidR="001E4AC0" w:rsidRPr="00E44ED5" w:rsidRDefault="001E4AC0" w:rsidP="00E44ED5">
            <w:pPr>
              <w:pStyle w:val="Listaszerbekezds"/>
              <w:numPr>
                <w:ilvl w:val="0"/>
                <w:numId w:val="15"/>
              </w:numPr>
              <w:spacing w:after="0" w:line="240" w:lineRule="auto"/>
              <w:ind w:left="355"/>
              <w:rPr>
                <w:rFonts w:eastAsia="Times New Roman" w:cs="Arial"/>
                <w:color w:val="FF0000"/>
                <w:lang w:eastAsia="hu-HU"/>
              </w:rPr>
            </w:pPr>
            <w:r w:rsidRPr="00E44ED5">
              <w:rPr>
                <w:rFonts w:eastAsia="Times New Roman" w:cs="Arial"/>
                <w:color w:val="FF0000"/>
                <w:lang w:eastAsia="hu-HU"/>
              </w:rPr>
              <w:t>000 000</w:t>
            </w:r>
          </w:p>
        </w:tc>
        <w:tc>
          <w:tcPr>
            <w:tcW w:w="3119" w:type="dxa"/>
            <w:tcBorders>
              <w:top w:val="single" w:sz="8" w:space="0" w:color="auto"/>
              <w:left w:val="single" w:sz="8" w:space="0" w:color="auto"/>
              <w:bottom w:val="single" w:sz="8" w:space="0" w:color="auto"/>
              <w:right w:val="single" w:sz="8" w:space="0" w:color="auto"/>
            </w:tcBorders>
            <w:shd w:val="clear" w:color="000000" w:fill="92D050"/>
            <w:noWrap/>
            <w:vAlign w:val="bottom"/>
          </w:tcPr>
          <w:p w:rsidR="001E4AC0" w:rsidRPr="00207396" w:rsidRDefault="001E4AC0" w:rsidP="00E44ED5">
            <w:pPr>
              <w:spacing w:after="0" w:line="240" w:lineRule="auto"/>
              <w:rPr>
                <w:rFonts w:eastAsia="Times New Roman" w:cs="Arial"/>
                <w:color w:val="FF0000"/>
                <w:lang w:eastAsia="hu-HU"/>
              </w:rPr>
            </w:pPr>
            <w:r w:rsidRPr="00207396">
              <w:rPr>
                <w:rFonts w:eastAsia="Times New Roman" w:cs="Arial"/>
                <w:color w:val="FF0000"/>
                <w:lang w:eastAsia="hu-HU"/>
              </w:rPr>
              <w:t>1</w:t>
            </w:r>
            <w:r w:rsidR="00E44ED5">
              <w:rPr>
                <w:rFonts w:eastAsia="Times New Roman" w:cs="Arial"/>
                <w:color w:val="FF0000"/>
                <w:lang w:eastAsia="hu-HU"/>
              </w:rPr>
              <w:t>32</w:t>
            </w:r>
            <w:r w:rsidRPr="00207396">
              <w:rPr>
                <w:rFonts w:eastAsia="Times New Roman" w:cs="Arial"/>
                <w:color w:val="FF0000"/>
                <w:lang w:eastAsia="hu-HU"/>
              </w:rPr>
              <w:t xml:space="preserve"> 000 000</w:t>
            </w:r>
          </w:p>
        </w:tc>
      </w:tr>
    </w:tbl>
    <w:p w:rsidR="001E4AC0" w:rsidRPr="000F2F0F" w:rsidRDefault="001E4AC0" w:rsidP="001E4AC0">
      <w:pPr>
        <w:spacing w:after="0" w:line="240" w:lineRule="auto"/>
        <w:jc w:val="both"/>
      </w:pPr>
    </w:p>
    <w:tbl>
      <w:tblPr>
        <w:tblW w:w="9371" w:type="dxa"/>
        <w:tblInd w:w="55" w:type="dxa"/>
        <w:tblCellMar>
          <w:left w:w="70" w:type="dxa"/>
          <w:right w:w="70" w:type="dxa"/>
        </w:tblCellMar>
        <w:tblLook w:val="0000" w:firstRow="0" w:lastRow="0" w:firstColumn="0" w:lastColumn="0" w:noHBand="0" w:noVBand="0"/>
      </w:tblPr>
      <w:tblGrid>
        <w:gridCol w:w="3276"/>
        <w:gridCol w:w="2976"/>
        <w:gridCol w:w="3119"/>
      </w:tblGrid>
      <w:tr w:rsidR="001E4AC0" w:rsidRPr="00494FCB" w:rsidTr="00F5679C">
        <w:trPr>
          <w:trHeight w:val="585"/>
        </w:trPr>
        <w:tc>
          <w:tcPr>
            <w:tcW w:w="3276" w:type="dxa"/>
            <w:tcBorders>
              <w:top w:val="single" w:sz="8" w:space="0" w:color="auto"/>
              <w:left w:val="single" w:sz="8" w:space="0" w:color="auto"/>
              <w:bottom w:val="single" w:sz="8" w:space="0" w:color="auto"/>
              <w:right w:val="single" w:sz="8" w:space="0" w:color="auto"/>
            </w:tcBorders>
            <w:shd w:val="clear" w:color="000000" w:fill="92D050"/>
            <w:noWrap/>
            <w:vAlign w:val="center"/>
          </w:tcPr>
          <w:p w:rsidR="001E4AC0" w:rsidRDefault="001E4AC0" w:rsidP="004C1D16">
            <w:pPr>
              <w:numPr>
                <w:ilvl w:val="0"/>
                <w:numId w:val="13"/>
              </w:numPr>
              <w:spacing w:after="0" w:line="240" w:lineRule="auto"/>
              <w:jc w:val="both"/>
              <w:rPr>
                <w:rFonts w:eastAsia="Times New Roman" w:cs="Arial"/>
                <w:b/>
                <w:bCs/>
                <w:lang w:eastAsia="hu-HU"/>
              </w:rPr>
            </w:pPr>
            <w:r>
              <w:rPr>
                <w:rFonts w:eastAsia="Times New Roman" w:cs="Arial"/>
                <w:b/>
                <w:bCs/>
                <w:lang w:eastAsia="hu-HU"/>
              </w:rPr>
              <w:t>opció</w:t>
            </w:r>
          </w:p>
          <w:p w:rsidR="001E4AC0" w:rsidRPr="00494FCB" w:rsidRDefault="001E4AC0" w:rsidP="004C1D16">
            <w:pPr>
              <w:spacing w:after="0" w:line="240" w:lineRule="auto"/>
              <w:ind w:left="720"/>
              <w:jc w:val="both"/>
              <w:rPr>
                <w:rFonts w:eastAsia="Times New Roman" w:cs="Arial"/>
                <w:b/>
                <w:bCs/>
                <w:lang w:eastAsia="hu-HU"/>
              </w:rPr>
            </w:pPr>
          </w:p>
        </w:tc>
        <w:tc>
          <w:tcPr>
            <w:tcW w:w="2976" w:type="dxa"/>
            <w:tcBorders>
              <w:top w:val="single" w:sz="8" w:space="0" w:color="auto"/>
              <w:left w:val="single" w:sz="8" w:space="0" w:color="auto"/>
              <w:bottom w:val="single" w:sz="8" w:space="0" w:color="auto"/>
              <w:right w:val="single" w:sz="8" w:space="0" w:color="auto"/>
            </w:tcBorders>
            <w:shd w:val="clear" w:color="000000" w:fill="92D050"/>
            <w:vAlign w:val="bottom"/>
          </w:tcPr>
          <w:p w:rsidR="001E4AC0" w:rsidRPr="00494FCB" w:rsidRDefault="001E4AC0" w:rsidP="004C1D16">
            <w:pPr>
              <w:spacing w:after="0" w:line="240" w:lineRule="auto"/>
              <w:jc w:val="both"/>
              <w:rPr>
                <w:rFonts w:eastAsia="Times New Roman" w:cs="Arial"/>
                <w:b/>
                <w:bCs/>
                <w:lang w:eastAsia="hu-HU"/>
              </w:rPr>
            </w:pPr>
            <w:r w:rsidRPr="00494FCB">
              <w:rPr>
                <w:rFonts w:eastAsia="Times New Roman" w:cs="Arial"/>
                <w:b/>
                <w:bCs/>
                <w:lang w:eastAsia="hu-HU"/>
              </w:rPr>
              <w:t>Kiadások</w:t>
            </w:r>
          </w:p>
          <w:p w:rsidR="001E4AC0" w:rsidRPr="00494FCB" w:rsidRDefault="001E4AC0" w:rsidP="004C1D16">
            <w:pPr>
              <w:spacing w:after="0" w:line="240" w:lineRule="auto"/>
              <w:jc w:val="both"/>
              <w:rPr>
                <w:rFonts w:eastAsia="Times New Roman" w:cs="Arial"/>
                <w:b/>
                <w:bCs/>
                <w:lang w:eastAsia="hu-HU"/>
              </w:rPr>
            </w:pPr>
            <w:r w:rsidRPr="00494FCB">
              <w:rPr>
                <w:rFonts w:eastAsia="Times New Roman" w:cs="Arial"/>
                <w:b/>
                <w:bCs/>
                <w:lang w:eastAsia="hu-HU"/>
              </w:rPr>
              <w:t>bruttó összeg forintban</w:t>
            </w:r>
          </w:p>
        </w:tc>
        <w:tc>
          <w:tcPr>
            <w:tcW w:w="3119" w:type="dxa"/>
            <w:tcBorders>
              <w:top w:val="single" w:sz="8" w:space="0" w:color="auto"/>
              <w:left w:val="single" w:sz="8" w:space="0" w:color="auto"/>
              <w:bottom w:val="single" w:sz="8" w:space="0" w:color="auto"/>
              <w:right w:val="single" w:sz="8" w:space="0" w:color="auto"/>
            </w:tcBorders>
            <w:shd w:val="clear" w:color="000000" w:fill="92D050"/>
            <w:vAlign w:val="bottom"/>
          </w:tcPr>
          <w:p w:rsidR="001E4AC0" w:rsidRPr="00494FCB" w:rsidRDefault="001E4AC0" w:rsidP="004C1D16">
            <w:pPr>
              <w:spacing w:after="0" w:line="240" w:lineRule="auto"/>
              <w:jc w:val="both"/>
              <w:rPr>
                <w:rFonts w:eastAsia="Times New Roman" w:cs="Arial"/>
                <w:b/>
                <w:bCs/>
                <w:lang w:eastAsia="hu-HU"/>
              </w:rPr>
            </w:pPr>
            <w:r w:rsidRPr="00494FCB">
              <w:rPr>
                <w:rFonts w:eastAsia="Times New Roman" w:cs="Arial"/>
                <w:b/>
                <w:bCs/>
                <w:lang w:eastAsia="hu-HU"/>
              </w:rPr>
              <w:t xml:space="preserve">Bevételek </w:t>
            </w:r>
          </w:p>
          <w:p w:rsidR="001E4AC0" w:rsidRPr="00494FCB" w:rsidRDefault="001E4AC0" w:rsidP="004C1D16">
            <w:pPr>
              <w:spacing w:after="0" w:line="240" w:lineRule="auto"/>
              <w:jc w:val="both"/>
              <w:rPr>
                <w:rFonts w:eastAsia="Times New Roman" w:cs="Arial"/>
                <w:b/>
                <w:bCs/>
                <w:lang w:eastAsia="hu-HU"/>
              </w:rPr>
            </w:pPr>
            <w:r w:rsidRPr="00494FCB">
              <w:rPr>
                <w:rFonts w:eastAsia="Times New Roman" w:cs="Arial"/>
                <w:b/>
                <w:bCs/>
                <w:lang w:eastAsia="hu-HU"/>
              </w:rPr>
              <w:t>bruttó összeg forintban</w:t>
            </w:r>
          </w:p>
        </w:tc>
      </w:tr>
      <w:tr w:rsidR="001E4AC0" w:rsidRPr="00494FCB" w:rsidTr="00F5679C">
        <w:trPr>
          <w:trHeight w:val="70"/>
        </w:trPr>
        <w:tc>
          <w:tcPr>
            <w:tcW w:w="3276" w:type="dxa"/>
            <w:tcBorders>
              <w:top w:val="single" w:sz="8" w:space="0" w:color="auto"/>
              <w:left w:val="single" w:sz="4" w:space="0" w:color="auto"/>
              <w:bottom w:val="single" w:sz="4" w:space="0" w:color="auto"/>
              <w:right w:val="single" w:sz="4" w:space="0" w:color="auto"/>
            </w:tcBorders>
            <w:shd w:val="clear" w:color="auto" w:fill="auto"/>
            <w:noWrap/>
            <w:vAlign w:val="bottom"/>
          </w:tcPr>
          <w:p w:rsidR="001E4AC0" w:rsidRPr="00207396" w:rsidRDefault="001E4AC0" w:rsidP="004C1D16">
            <w:pPr>
              <w:spacing w:after="0" w:line="240" w:lineRule="auto"/>
              <w:jc w:val="both"/>
              <w:rPr>
                <w:rFonts w:eastAsia="Times New Roman" w:cs="Arial"/>
                <w:color w:val="FF0000"/>
                <w:lang w:eastAsia="hu-HU"/>
              </w:rPr>
            </w:pPr>
            <w:r w:rsidRPr="00207396">
              <w:rPr>
                <w:rFonts w:eastAsia="Times New Roman" w:cs="Arial"/>
                <w:color w:val="FF0000"/>
                <w:lang w:eastAsia="hu-HU"/>
              </w:rPr>
              <w:t>2020. 1. negyedév</w:t>
            </w:r>
          </w:p>
        </w:tc>
        <w:tc>
          <w:tcPr>
            <w:tcW w:w="2976" w:type="dxa"/>
            <w:tcBorders>
              <w:top w:val="single" w:sz="8" w:space="0" w:color="auto"/>
              <w:left w:val="nil"/>
              <w:bottom w:val="single" w:sz="4" w:space="0" w:color="auto"/>
              <w:right w:val="single" w:sz="4" w:space="0" w:color="auto"/>
            </w:tcBorders>
            <w:shd w:val="clear" w:color="auto" w:fill="auto"/>
            <w:noWrap/>
            <w:vAlign w:val="bottom"/>
          </w:tcPr>
          <w:p w:rsidR="001E4AC0" w:rsidRPr="00207396" w:rsidRDefault="001E4AC0" w:rsidP="004C1D16">
            <w:pPr>
              <w:spacing w:after="0" w:line="240" w:lineRule="auto"/>
              <w:jc w:val="both"/>
              <w:rPr>
                <w:rFonts w:eastAsia="Times New Roman" w:cs="Arial"/>
                <w:color w:val="FF0000"/>
                <w:lang w:eastAsia="hu-HU"/>
              </w:rPr>
            </w:pPr>
            <w:r w:rsidRPr="00207396">
              <w:rPr>
                <w:rFonts w:eastAsia="Times New Roman" w:cs="Arial"/>
                <w:color w:val="FF0000"/>
                <w:lang w:eastAsia="hu-HU"/>
              </w:rPr>
              <w:t>21 000 000</w:t>
            </w:r>
          </w:p>
        </w:tc>
        <w:tc>
          <w:tcPr>
            <w:tcW w:w="3119" w:type="dxa"/>
            <w:tcBorders>
              <w:top w:val="single" w:sz="8" w:space="0" w:color="auto"/>
              <w:left w:val="nil"/>
              <w:bottom w:val="single" w:sz="4" w:space="0" w:color="auto"/>
              <w:right w:val="single" w:sz="4" w:space="0" w:color="auto"/>
            </w:tcBorders>
            <w:shd w:val="clear" w:color="auto" w:fill="auto"/>
            <w:noWrap/>
            <w:vAlign w:val="bottom"/>
          </w:tcPr>
          <w:p w:rsidR="001E4AC0" w:rsidRPr="00207396" w:rsidRDefault="001E4AC0" w:rsidP="004C1D16">
            <w:pPr>
              <w:spacing w:after="0" w:line="240" w:lineRule="auto"/>
              <w:jc w:val="both"/>
              <w:rPr>
                <w:rFonts w:eastAsia="Times New Roman" w:cs="Arial"/>
                <w:color w:val="FF0000"/>
                <w:lang w:eastAsia="hu-HU"/>
              </w:rPr>
            </w:pPr>
            <w:r w:rsidRPr="00207396">
              <w:rPr>
                <w:rFonts w:eastAsia="Times New Roman" w:cs="Arial"/>
                <w:color w:val="FF0000"/>
                <w:lang w:eastAsia="hu-HU"/>
              </w:rPr>
              <w:t>21 000 000</w:t>
            </w:r>
          </w:p>
        </w:tc>
      </w:tr>
      <w:tr w:rsidR="001E4AC0" w:rsidRPr="00494FCB" w:rsidTr="00F5679C">
        <w:trPr>
          <w:trHeight w:val="285"/>
        </w:trPr>
        <w:tc>
          <w:tcPr>
            <w:tcW w:w="3276" w:type="dxa"/>
            <w:tcBorders>
              <w:top w:val="nil"/>
              <w:left w:val="single" w:sz="4" w:space="0" w:color="auto"/>
              <w:bottom w:val="single" w:sz="4" w:space="0" w:color="auto"/>
              <w:right w:val="single" w:sz="4" w:space="0" w:color="auto"/>
            </w:tcBorders>
            <w:shd w:val="clear" w:color="auto" w:fill="auto"/>
            <w:noWrap/>
            <w:vAlign w:val="bottom"/>
          </w:tcPr>
          <w:p w:rsidR="001E4AC0" w:rsidRPr="00207396" w:rsidRDefault="001E4AC0" w:rsidP="004C1D16">
            <w:pPr>
              <w:spacing w:after="0" w:line="240" w:lineRule="auto"/>
              <w:jc w:val="both"/>
              <w:rPr>
                <w:rFonts w:eastAsia="Times New Roman" w:cs="Arial"/>
                <w:color w:val="FF0000"/>
                <w:lang w:eastAsia="hu-HU"/>
              </w:rPr>
            </w:pPr>
            <w:r w:rsidRPr="00207396">
              <w:rPr>
                <w:rFonts w:eastAsia="Times New Roman" w:cs="Arial"/>
                <w:color w:val="FF0000"/>
                <w:lang w:eastAsia="hu-HU"/>
              </w:rPr>
              <w:t>2020. 2. negyedév</w:t>
            </w:r>
          </w:p>
        </w:tc>
        <w:tc>
          <w:tcPr>
            <w:tcW w:w="2976" w:type="dxa"/>
            <w:tcBorders>
              <w:top w:val="nil"/>
              <w:left w:val="nil"/>
              <w:bottom w:val="single" w:sz="4" w:space="0" w:color="auto"/>
              <w:right w:val="single" w:sz="4" w:space="0" w:color="auto"/>
            </w:tcBorders>
            <w:shd w:val="clear" w:color="auto" w:fill="auto"/>
            <w:noWrap/>
            <w:vAlign w:val="bottom"/>
          </w:tcPr>
          <w:p w:rsidR="001E4AC0" w:rsidRPr="00207396" w:rsidRDefault="00E44ED5" w:rsidP="004C1D16">
            <w:pPr>
              <w:spacing w:after="0" w:line="240" w:lineRule="auto"/>
              <w:jc w:val="both"/>
              <w:rPr>
                <w:rFonts w:eastAsia="Times New Roman" w:cs="Arial"/>
                <w:color w:val="FF0000"/>
                <w:lang w:eastAsia="hu-HU"/>
              </w:rPr>
            </w:pPr>
            <w:r>
              <w:rPr>
                <w:rFonts w:eastAsia="Times New Roman" w:cs="Arial"/>
                <w:color w:val="FF0000"/>
                <w:lang w:eastAsia="hu-HU"/>
              </w:rPr>
              <w:t>17</w:t>
            </w:r>
            <w:r w:rsidR="001E4AC0" w:rsidRPr="00207396">
              <w:rPr>
                <w:rFonts w:eastAsia="Times New Roman" w:cs="Arial"/>
                <w:color w:val="FF0000"/>
                <w:lang w:eastAsia="hu-HU"/>
              </w:rPr>
              <w:t> 000 000</w:t>
            </w:r>
          </w:p>
        </w:tc>
        <w:tc>
          <w:tcPr>
            <w:tcW w:w="3119" w:type="dxa"/>
            <w:tcBorders>
              <w:top w:val="nil"/>
              <w:left w:val="nil"/>
              <w:bottom w:val="single" w:sz="4" w:space="0" w:color="auto"/>
              <w:right w:val="single" w:sz="4" w:space="0" w:color="auto"/>
            </w:tcBorders>
            <w:shd w:val="clear" w:color="auto" w:fill="auto"/>
            <w:noWrap/>
            <w:vAlign w:val="bottom"/>
          </w:tcPr>
          <w:p w:rsidR="001E4AC0" w:rsidRPr="00207396" w:rsidRDefault="00E44ED5" w:rsidP="004C1D16">
            <w:pPr>
              <w:spacing w:after="0" w:line="240" w:lineRule="auto"/>
              <w:jc w:val="both"/>
              <w:rPr>
                <w:rFonts w:eastAsia="Times New Roman" w:cs="Arial"/>
                <w:color w:val="FF0000"/>
                <w:lang w:eastAsia="hu-HU"/>
              </w:rPr>
            </w:pPr>
            <w:r>
              <w:rPr>
                <w:rFonts w:eastAsia="Times New Roman" w:cs="Arial"/>
                <w:color w:val="FF0000"/>
                <w:lang w:eastAsia="hu-HU"/>
              </w:rPr>
              <w:t>61</w:t>
            </w:r>
            <w:r w:rsidR="001E4AC0" w:rsidRPr="00207396">
              <w:rPr>
                <w:rFonts w:eastAsia="Times New Roman" w:cs="Arial"/>
                <w:color w:val="FF0000"/>
                <w:lang w:eastAsia="hu-HU"/>
              </w:rPr>
              <w:t> 000 000</w:t>
            </w:r>
          </w:p>
        </w:tc>
      </w:tr>
      <w:tr w:rsidR="001E4AC0" w:rsidRPr="00494FCB" w:rsidTr="00F5679C">
        <w:trPr>
          <w:trHeight w:val="285"/>
        </w:trPr>
        <w:tc>
          <w:tcPr>
            <w:tcW w:w="3276" w:type="dxa"/>
            <w:tcBorders>
              <w:top w:val="nil"/>
              <w:left w:val="single" w:sz="4" w:space="0" w:color="auto"/>
              <w:bottom w:val="single" w:sz="4" w:space="0" w:color="auto"/>
              <w:right w:val="single" w:sz="4" w:space="0" w:color="auto"/>
            </w:tcBorders>
            <w:shd w:val="clear" w:color="auto" w:fill="auto"/>
            <w:noWrap/>
            <w:vAlign w:val="bottom"/>
          </w:tcPr>
          <w:p w:rsidR="001E4AC0" w:rsidRPr="00207396" w:rsidRDefault="001E4AC0" w:rsidP="004C1D16">
            <w:pPr>
              <w:spacing w:after="0" w:line="240" w:lineRule="auto"/>
              <w:jc w:val="both"/>
              <w:rPr>
                <w:rFonts w:eastAsia="Times New Roman" w:cs="Arial"/>
                <w:color w:val="FF0000"/>
                <w:lang w:eastAsia="hu-HU"/>
              </w:rPr>
            </w:pPr>
            <w:r w:rsidRPr="00207396">
              <w:rPr>
                <w:rFonts w:eastAsia="Times New Roman" w:cs="Arial"/>
                <w:color w:val="FF0000"/>
                <w:lang w:eastAsia="hu-HU"/>
              </w:rPr>
              <w:t>2020. 3. negyedév</w:t>
            </w:r>
          </w:p>
        </w:tc>
        <w:tc>
          <w:tcPr>
            <w:tcW w:w="2976" w:type="dxa"/>
            <w:tcBorders>
              <w:top w:val="nil"/>
              <w:left w:val="nil"/>
              <w:bottom w:val="single" w:sz="4" w:space="0" w:color="auto"/>
              <w:right w:val="single" w:sz="4" w:space="0" w:color="auto"/>
            </w:tcBorders>
            <w:shd w:val="clear" w:color="auto" w:fill="auto"/>
            <w:noWrap/>
            <w:vAlign w:val="bottom"/>
          </w:tcPr>
          <w:p w:rsidR="001E4AC0" w:rsidRPr="00207396" w:rsidRDefault="001E4AC0" w:rsidP="004C1D16">
            <w:pPr>
              <w:spacing w:after="0" w:line="240" w:lineRule="auto"/>
              <w:jc w:val="both"/>
              <w:rPr>
                <w:rFonts w:eastAsia="Times New Roman" w:cs="Arial"/>
                <w:color w:val="FF0000"/>
                <w:lang w:eastAsia="hu-HU"/>
              </w:rPr>
            </w:pPr>
            <w:r w:rsidRPr="00207396">
              <w:rPr>
                <w:rFonts w:eastAsia="Times New Roman" w:cs="Arial"/>
                <w:color w:val="FF0000"/>
                <w:lang w:eastAsia="hu-HU"/>
              </w:rPr>
              <w:t>20 000 000</w:t>
            </w:r>
          </w:p>
        </w:tc>
        <w:tc>
          <w:tcPr>
            <w:tcW w:w="3119" w:type="dxa"/>
            <w:tcBorders>
              <w:top w:val="nil"/>
              <w:left w:val="nil"/>
              <w:bottom w:val="single" w:sz="4" w:space="0" w:color="auto"/>
              <w:right w:val="single" w:sz="4" w:space="0" w:color="auto"/>
            </w:tcBorders>
            <w:shd w:val="clear" w:color="auto" w:fill="auto"/>
            <w:noWrap/>
            <w:vAlign w:val="bottom"/>
          </w:tcPr>
          <w:p w:rsidR="001E4AC0" w:rsidRPr="00207396" w:rsidRDefault="001E4AC0" w:rsidP="004C1D16">
            <w:pPr>
              <w:spacing w:after="0" w:line="240" w:lineRule="auto"/>
              <w:jc w:val="both"/>
              <w:rPr>
                <w:rFonts w:eastAsia="Times New Roman" w:cs="Arial"/>
                <w:color w:val="FF0000"/>
                <w:lang w:eastAsia="hu-HU"/>
              </w:rPr>
            </w:pPr>
            <w:r w:rsidRPr="00207396">
              <w:rPr>
                <w:rFonts w:eastAsia="Times New Roman" w:cs="Arial"/>
                <w:color w:val="FF0000"/>
                <w:lang w:eastAsia="hu-HU"/>
              </w:rPr>
              <w:t>16 000 000</w:t>
            </w:r>
          </w:p>
        </w:tc>
      </w:tr>
      <w:tr w:rsidR="001E4AC0" w:rsidRPr="00494FCB" w:rsidTr="00F5679C">
        <w:trPr>
          <w:trHeight w:val="285"/>
        </w:trPr>
        <w:tc>
          <w:tcPr>
            <w:tcW w:w="3276" w:type="dxa"/>
            <w:tcBorders>
              <w:top w:val="nil"/>
              <w:left w:val="single" w:sz="4" w:space="0" w:color="auto"/>
              <w:bottom w:val="single" w:sz="8" w:space="0" w:color="auto"/>
              <w:right w:val="single" w:sz="4" w:space="0" w:color="auto"/>
            </w:tcBorders>
            <w:shd w:val="clear" w:color="auto" w:fill="auto"/>
            <w:noWrap/>
            <w:vAlign w:val="bottom"/>
          </w:tcPr>
          <w:p w:rsidR="001E4AC0" w:rsidRPr="00207396" w:rsidRDefault="001E4AC0" w:rsidP="004C1D16">
            <w:pPr>
              <w:spacing w:after="0" w:line="240" w:lineRule="auto"/>
              <w:jc w:val="both"/>
              <w:rPr>
                <w:rFonts w:eastAsia="Times New Roman" w:cs="Arial"/>
                <w:color w:val="FF0000"/>
                <w:lang w:eastAsia="hu-HU"/>
              </w:rPr>
            </w:pPr>
            <w:r w:rsidRPr="00207396">
              <w:rPr>
                <w:rFonts w:eastAsia="Times New Roman" w:cs="Arial"/>
                <w:color w:val="FF0000"/>
                <w:lang w:eastAsia="hu-HU"/>
              </w:rPr>
              <w:t>2020. 4. negyedév</w:t>
            </w:r>
          </w:p>
        </w:tc>
        <w:tc>
          <w:tcPr>
            <w:tcW w:w="2976" w:type="dxa"/>
            <w:tcBorders>
              <w:top w:val="nil"/>
              <w:left w:val="nil"/>
              <w:bottom w:val="single" w:sz="8" w:space="0" w:color="auto"/>
              <w:right w:val="single" w:sz="4" w:space="0" w:color="auto"/>
            </w:tcBorders>
            <w:shd w:val="clear" w:color="auto" w:fill="auto"/>
            <w:noWrap/>
            <w:vAlign w:val="bottom"/>
          </w:tcPr>
          <w:p w:rsidR="001E4AC0" w:rsidRPr="00207396" w:rsidRDefault="00E44ED5" w:rsidP="00E44ED5">
            <w:pPr>
              <w:spacing w:after="0" w:line="240" w:lineRule="auto"/>
              <w:jc w:val="both"/>
              <w:rPr>
                <w:rFonts w:eastAsia="Times New Roman" w:cs="Arial"/>
                <w:color w:val="FF0000"/>
                <w:lang w:eastAsia="hu-HU"/>
              </w:rPr>
            </w:pPr>
            <w:r>
              <w:rPr>
                <w:rFonts w:eastAsia="Times New Roman" w:cs="Arial"/>
                <w:color w:val="FF0000"/>
                <w:lang w:eastAsia="hu-HU"/>
              </w:rPr>
              <w:t>55</w:t>
            </w:r>
            <w:r w:rsidR="001E4AC0" w:rsidRPr="00207396">
              <w:rPr>
                <w:rFonts w:eastAsia="Times New Roman" w:cs="Arial"/>
                <w:color w:val="FF0000"/>
                <w:lang w:eastAsia="hu-HU"/>
              </w:rPr>
              <w:t> 000 000</w:t>
            </w:r>
          </w:p>
        </w:tc>
        <w:tc>
          <w:tcPr>
            <w:tcW w:w="3119" w:type="dxa"/>
            <w:tcBorders>
              <w:top w:val="nil"/>
              <w:left w:val="nil"/>
              <w:bottom w:val="single" w:sz="8" w:space="0" w:color="auto"/>
              <w:right w:val="single" w:sz="4" w:space="0" w:color="auto"/>
            </w:tcBorders>
            <w:shd w:val="clear" w:color="auto" w:fill="auto"/>
            <w:noWrap/>
            <w:vAlign w:val="bottom"/>
          </w:tcPr>
          <w:p w:rsidR="001E4AC0" w:rsidRPr="00207396" w:rsidRDefault="001E4AC0" w:rsidP="004C1D16">
            <w:pPr>
              <w:spacing w:after="0" w:line="240" w:lineRule="auto"/>
              <w:jc w:val="both"/>
              <w:rPr>
                <w:rFonts w:eastAsia="Times New Roman" w:cs="Arial"/>
                <w:color w:val="FF0000"/>
                <w:lang w:eastAsia="hu-HU"/>
              </w:rPr>
            </w:pPr>
            <w:r w:rsidRPr="00207396">
              <w:rPr>
                <w:rFonts w:eastAsia="Times New Roman" w:cs="Arial"/>
                <w:color w:val="FF0000"/>
                <w:lang w:eastAsia="hu-HU"/>
              </w:rPr>
              <w:t>15 000 000</w:t>
            </w:r>
          </w:p>
        </w:tc>
      </w:tr>
      <w:tr w:rsidR="001E4AC0" w:rsidRPr="00494FCB" w:rsidTr="00F5679C">
        <w:trPr>
          <w:trHeight w:val="285"/>
        </w:trPr>
        <w:tc>
          <w:tcPr>
            <w:tcW w:w="3276" w:type="dxa"/>
            <w:tcBorders>
              <w:top w:val="single" w:sz="8" w:space="0" w:color="auto"/>
              <w:left w:val="single" w:sz="8" w:space="0" w:color="auto"/>
              <w:bottom w:val="single" w:sz="8" w:space="0" w:color="auto"/>
              <w:right w:val="single" w:sz="8" w:space="0" w:color="auto"/>
            </w:tcBorders>
            <w:shd w:val="clear" w:color="000000" w:fill="92D050"/>
            <w:noWrap/>
            <w:vAlign w:val="bottom"/>
          </w:tcPr>
          <w:p w:rsidR="001E4AC0" w:rsidRPr="00207396" w:rsidRDefault="001E4AC0" w:rsidP="004C1D16">
            <w:pPr>
              <w:spacing w:after="0" w:line="240" w:lineRule="auto"/>
              <w:jc w:val="both"/>
              <w:rPr>
                <w:rFonts w:eastAsia="Times New Roman" w:cs="Arial"/>
                <w:b/>
                <w:color w:val="FF0000"/>
                <w:lang w:eastAsia="hu-HU"/>
              </w:rPr>
            </w:pPr>
            <w:r w:rsidRPr="00207396">
              <w:rPr>
                <w:rFonts w:eastAsia="Times New Roman" w:cs="Arial"/>
                <w:b/>
                <w:color w:val="FF0000"/>
                <w:lang w:eastAsia="hu-HU"/>
              </w:rPr>
              <w:t>Összesen</w:t>
            </w:r>
          </w:p>
        </w:tc>
        <w:tc>
          <w:tcPr>
            <w:tcW w:w="2976" w:type="dxa"/>
            <w:tcBorders>
              <w:top w:val="single" w:sz="8" w:space="0" w:color="auto"/>
              <w:left w:val="single" w:sz="8" w:space="0" w:color="auto"/>
              <w:bottom w:val="single" w:sz="8" w:space="0" w:color="auto"/>
              <w:right w:val="single" w:sz="8" w:space="0" w:color="auto"/>
            </w:tcBorders>
            <w:shd w:val="clear" w:color="000000" w:fill="92D050"/>
            <w:noWrap/>
            <w:vAlign w:val="bottom"/>
          </w:tcPr>
          <w:p w:rsidR="001E4AC0" w:rsidRPr="00207396" w:rsidRDefault="001E4AC0" w:rsidP="00E44ED5">
            <w:pPr>
              <w:spacing w:after="0" w:line="240" w:lineRule="auto"/>
              <w:jc w:val="both"/>
              <w:rPr>
                <w:rFonts w:eastAsia="Times New Roman" w:cs="Arial"/>
                <w:b/>
                <w:color w:val="FF0000"/>
                <w:lang w:eastAsia="hu-HU"/>
              </w:rPr>
            </w:pPr>
            <w:r w:rsidRPr="00207396">
              <w:rPr>
                <w:rFonts w:eastAsia="Times New Roman" w:cs="Arial"/>
                <w:b/>
                <w:color w:val="FF0000"/>
                <w:lang w:eastAsia="hu-HU"/>
              </w:rPr>
              <w:t>1</w:t>
            </w:r>
            <w:r w:rsidR="00E44ED5">
              <w:rPr>
                <w:rFonts w:eastAsia="Times New Roman" w:cs="Arial"/>
                <w:b/>
                <w:color w:val="FF0000"/>
                <w:lang w:eastAsia="hu-HU"/>
              </w:rPr>
              <w:t>13</w:t>
            </w:r>
            <w:r w:rsidRPr="00207396">
              <w:rPr>
                <w:rFonts w:eastAsia="Times New Roman" w:cs="Arial"/>
                <w:b/>
                <w:color w:val="FF0000"/>
                <w:lang w:eastAsia="hu-HU"/>
              </w:rPr>
              <w:t xml:space="preserve"> 000 000</w:t>
            </w:r>
          </w:p>
        </w:tc>
        <w:tc>
          <w:tcPr>
            <w:tcW w:w="3119" w:type="dxa"/>
            <w:tcBorders>
              <w:top w:val="single" w:sz="8" w:space="0" w:color="auto"/>
              <w:left w:val="single" w:sz="8" w:space="0" w:color="auto"/>
              <w:bottom w:val="single" w:sz="8" w:space="0" w:color="auto"/>
              <w:right w:val="single" w:sz="8" w:space="0" w:color="auto"/>
            </w:tcBorders>
            <w:shd w:val="clear" w:color="000000" w:fill="92D050"/>
            <w:noWrap/>
            <w:vAlign w:val="bottom"/>
          </w:tcPr>
          <w:p w:rsidR="001E4AC0" w:rsidRPr="00207396" w:rsidRDefault="001E4AC0" w:rsidP="00E44ED5">
            <w:pPr>
              <w:spacing w:after="0" w:line="240" w:lineRule="auto"/>
              <w:jc w:val="both"/>
              <w:rPr>
                <w:rFonts w:eastAsia="Times New Roman" w:cs="Arial"/>
                <w:b/>
                <w:color w:val="FF0000"/>
                <w:lang w:eastAsia="hu-HU"/>
              </w:rPr>
            </w:pPr>
            <w:r w:rsidRPr="00207396">
              <w:rPr>
                <w:rFonts w:eastAsia="Times New Roman" w:cs="Arial"/>
                <w:b/>
                <w:color w:val="FF0000"/>
                <w:lang w:eastAsia="hu-HU"/>
              </w:rPr>
              <w:t>1</w:t>
            </w:r>
            <w:r w:rsidR="00E44ED5">
              <w:rPr>
                <w:rFonts w:eastAsia="Times New Roman" w:cs="Arial"/>
                <w:b/>
                <w:color w:val="FF0000"/>
                <w:lang w:eastAsia="hu-HU"/>
              </w:rPr>
              <w:t>13</w:t>
            </w:r>
            <w:r w:rsidRPr="00207396">
              <w:rPr>
                <w:rFonts w:eastAsia="Times New Roman" w:cs="Arial"/>
                <w:b/>
                <w:color w:val="FF0000"/>
                <w:lang w:eastAsia="hu-HU"/>
              </w:rPr>
              <w:t xml:space="preserve"> 000 000</w:t>
            </w:r>
          </w:p>
        </w:tc>
      </w:tr>
    </w:tbl>
    <w:p w:rsidR="001E4AC0" w:rsidRPr="00697239" w:rsidRDefault="001E4AC0" w:rsidP="00B250EF">
      <w:pPr>
        <w:spacing w:after="0" w:line="240" w:lineRule="auto"/>
        <w:ind w:firstLine="708"/>
        <w:jc w:val="both"/>
        <w:rPr>
          <w:sz w:val="24"/>
          <w:szCs w:val="24"/>
        </w:rPr>
      </w:pPr>
    </w:p>
    <w:p w:rsidR="00B250EF" w:rsidRPr="000F2F0F" w:rsidRDefault="00B250EF" w:rsidP="00B250EF">
      <w:pPr>
        <w:spacing w:after="0" w:line="240" w:lineRule="auto"/>
        <w:jc w:val="both"/>
      </w:pPr>
    </w:p>
    <w:p w:rsidR="008D22EB" w:rsidRDefault="008D22EB"/>
    <w:sectPr w:rsidR="008D22EB" w:rsidSect="002642CA">
      <w:footerReference w:type="default" r:id="rId13"/>
      <w:pgSz w:w="11906" w:h="16838"/>
      <w:pgMar w:top="1417" w:right="993"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54CA" w:rsidRDefault="004754CA">
      <w:pPr>
        <w:spacing w:after="0" w:line="240" w:lineRule="auto"/>
      </w:pPr>
      <w:r>
        <w:separator/>
      </w:r>
    </w:p>
  </w:endnote>
  <w:endnote w:type="continuationSeparator" w:id="0">
    <w:p w:rsidR="004754CA" w:rsidRDefault="00475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A43" w:rsidRDefault="00F81A43">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54CA" w:rsidRDefault="004754CA">
      <w:pPr>
        <w:spacing w:after="0" w:line="240" w:lineRule="auto"/>
      </w:pPr>
      <w:r>
        <w:separator/>
      </w:r>
    </w:p>
  </w:footnote>
  <w:footnote w:type="continuationSeparator" w:id="0">
    <w:p w:rsidR="004754CA" w:rsidRDefault="004754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A43" w:rsidRDefault="00F81A43">
    <w:pPr>
      <w:pStyle w:val="lfej"/>
      <w:jc w:val="right"/>
    </w:pPr>
    <w:r>
      <w:rPr>
        <w:noProof/>
        <w:lang w:eastAsia="hu-HU"/>
      </w:rPr>
      <w:drawing>
        <wp:anchor distT="0" distB="0" distL="114300" distR="114300" simplePos="0" relativeHeight="251659264" behindDoc="1" locked="0" layoutInCell="1" allowOverlap="1">
          <wp:simplePos x="0" y="0"/>
          <wp:positionH relativeFrom="column">
            <wp:posOffset>-899795</wp:posOffset>
          </wp:positionH>
          <wp:positionV relativeFrom="paragraph">
            <wp:posOffset>-363855</wp:posOffset>
          </wp:positionV>
          <wp:extent cx="7499985" cy="10608310"/>
          <wp:effectExtent l="0" t="0" r="5715" b="2540"/>
          <wp:wrapNone/>
          <wp:docPr id="20" name="Kép 20" descr="Levélpapír Professional HU 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vélpapír Professional HU A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9985" cy="10608310"/>
                  </a:xfrm>
                  <a:prstGeom prst="rect">
                    <a:avLst/>
                  </a:prstGeom>
                  <a:noFill/>
                  <a:ln>
                    <a:noFill/>
                  </a:ln>
                </pic:spPr>
              </pic:pic>
            </a:graphicData>
          </a:graphic>
        </wp:anchor>
      </w:drawing>
    </w:r>
    <w:r w:rsidR="004754CA">
      <w:fldChar w:fldCharType="begin"/>
    </w:r>
    <w:r w:rsidR="004754CA">
      <w:instrText>PAGE   \* MERGEFORMAT</w:instrText>
    </w:r>
    <w:r w:rsidR="004754CA">
      <w:fldChar w:fldCharType="separate"/>
    </w:r>
    <w:r w:rsidR="00094EC3">
      <w:rPr>
        <w:noProof/>
      </w:rPr>
      <w:t>22</w:t>
    </w:r>
    <w:r w:rsidR="004754CA">
      <w:rPr>
        <w:noProof/>
      </w:rPr>
      <w:fldChar w:fldCharType="end"/>
    </w:r>
  </w:p>
  <w:p w:rsidR="00F81A43" w:rsidRDefault="00F81A43">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07143"/>
    <w:multiLevelType w:val="hybridMultilevel"/>
    <w:tmpl w:val="9660459A"/>
    <w:lvl w:ilvl="0" w:tplc="64F46AD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E8E184E"/>
    <w:multiLevelType w:val="hybridMultilevel"/>
    <w:tmpl w:val="3EB8AB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29781913"/>
    <w:multiLevelType w:val="hybridMultilevel"/>
    <w:tmpl w:val="60F0684A"/>
    <w:lvl w:ilvl="0" w:tplc="5AB2F102">
      <w:start w:val="108"/>
      <w:numFmt w:val="bullet"/>
      <w:lvlText w:val="-"/>
      <w:lvlJc w:val="left"/>
      <w:pPr>
        <w:ind w:left="720" w:hanging="360"/>
      </w:pPr>
      <w:rPr>
        <w:rFonts w:ascii="Garamond" w:eastAsia="Calibri"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99B67B3"/>
    <w:multiLevelType w:val="hybridMultilevel"/>
    <w:tmpl w:val="E7A8C84C"/>
    <w:lvl w:ilvl="0" w:tplc="68DE9790">
      <w:start w:val="12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B982967"/>
    <w:multiLevelType w:val="hybridMultilevel"/>
    <w:tmpl w:val="2092CB1E"/>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5" w15:restartNumberingAfterBreak="0">
    <w:nsid w:val="2FCF6356"/>
    <w:multiLevelType w:val="hybridMultilevel"/>
    <w:tmpl w:val="538ED1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362849E5"/>
    <w:multiLevelType w:val="hybridMultilevel"/>
    <w:tmpl w:val="213AFEF8"/>
    <w:lvl w:ilvl="0" w:tplc="B566C286">
      <w:start w:val="1"/>
      <w:numFmt w:val="upperRoman"/>
      <w:lvlText w:val="%1."/>
      <w:lvlJc w:val="left"/>
      <w:pPr>
        <w:ind w:left="1080" w:hanging="720"/>
      </w:pPr>
      <w:rPr>
        <w:rFonts w:hint="default"/>
        <w:i w:val="0"/>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BC81590"/>
    <w:multiLevelType w:val="hybridMultilevel"/>
    <w:tmpl w:val="B166213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4A084B50"/>
    <w:multiLevelType w:val="hybridMultilevel"/>
    <w:tmpl w:val="384E682E"/>
    <w:lvl w:ilvl="0" w:tplc="92C8B07C">
      <w:start w:val="4"/>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5A8912D1"/>
    <w:multiLevelType w:val="hybridMultilevel"/>
    <w:tmpl w:val="4192CD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68F557A0"/>
    <w:multiLevelType w:val="hybridMultilevel"/>
    <w:tmpl w:val="DA3EFF76"/>
    <w:lvl w:ilvl="0" w:tplc="62106A64">
      <w:start w:val="1"/>
      <w:numFmt w:val="decimal"/>
      <w:lvlText w:val="%1."/>
      <w:lvlJc w:val="left"/>
      <w:pPr>
        <w:ind w:left="390" w:hanging="360"/>
      </w:pPr>
      <w:rPr>
        <w:rFonts w:hint="default"/>
      </w:rPr>
    </w:lvl>
    <w:lvl w:ilvl="1" w:tplc="040E0019" w:tentative="1">
      <w:start w:val="1"/>
      <w:numFmt w:val="lowerLetter"/>
      <w:lvlText w:val="%2."/>
      <w:lvlJc w:val="left"/>
      <w:pPr>
        <w:ind w:left="1110" w:hanging="360"/>
      </w:pPr>
    </w:lvl>
    <w:lvl w:ilvl="2" w:tplc="040E001B" w:tentative="1">
      <w:start w:val="1"/>
      <w:numFmt w:val="lowerRoman"/>
      <w:lvlText w:val="%3."/>
      <w:lvlJc w:val="right"/>
      <w:pPr>
        <w:ind w:left="1830" w:hanging="180"/>
      </w:pPr>
    </w:lvl>
    <w:lvl w:ilvl="3" w:tplc="040E000F" w:tentative="1">
      <w:start w:val="1"/>
      <w:numFmt w:val="decimal"/>
      <w:lvlText w:val="%4."/>
      <w:lvlJc w:val="left"/>
      <w:pPr>
        <w:ind w:left="2550" w:hanging="360"/>
      </w:pPr>
    </w:lvl>
    <w:lvl w:ilvl="4" w:tplc="040E0019" w:tentative="1">
      <w:start w:val="1"/>
      <w:numFmt w:val="lowerLetter"/>
      <w:lvlText w:val="%5."/>
      <w:lvlJc w:val="left"/>
      <w:pPr>
        <w:ind w:left="3270" w:hanging="360"/>
      </w:pPr>
    </w:lvl>
    <w:lvl w:ilvl="5" w:tplc="040E001B" w:tentative="1">
      <w:start w:val="1"/>
      <w:numFmt w:val="lowerRoman"/>
      <w:lvlText w:val="%6."/>
      <w:lvlJc w:val="right"/>
      <w:pPr>
        <w:ind w:left="3990" w:hanging="180"/>
      </w:pPr>
    </w:lvl>
    <w:lvl w:ilvl="6" w:tplc="040E000F" w:tentative="1">
      <w:start w:val="1"/>
      <w:numFmt w:val="decimal"/>
      <w:lvlText w:val="%7."/>
      <w:lvlJc w:val="left"/>
      <w:pPr>
        <w:ind w:left="4710" w:hanging="360"/>
      </w:pPr>
    </w:lvl>
    <w:lvl w:ilvl="7" w:tplc="040E0019" w:tentative="1">
      <w:start w:val="1"/>
      <w:numFmt w:val="lowerLetter"/>
      <w:lvlText w:val="%8."/>
      <w:lvlJc w:val="left"/>
      <w:pPr>
        <w:ind w:left="5430" w:hanging="360"/>
      </w:pPr>
    </w:lvl>
    <w:lvl w:ilvl="8" w:tplc="040E001B" w:tentative="1">
      <w:start w:val="1"/>
      <w:numFmt w:val="lowerRoman"/>
      <w:lvlText w:val="%9."/>
      <w:lvlJc w:val="right"/>
      <w:pPr>
        <w:ind w:left="6150" w:hanging="180"/>
      </w:pPr>
    </w:lvl>
  </w:abstractNum>
  <w:abstractNum w:abstractNumId="11" w15:restartNumberingAfterBreak="0">
    <w:nsid w:val="69BE7B50"/>
    <w:multiLevelType w:val="hybridMultilevel"/>
    <w:tmpl w:val="B1FA3D6C"/>
    <w:lvl w:ilvl="0" w:tplc="3F88CACC">
      <w:start w:val="1"/>
      <w:numFmt w:val="lowerLetter"/>
      <w:lvlText w:val="%1)"/>
      <w:lvlJc w:val="left"/>
      <w:pPr>
        <w:ind w:left="720" w:hanging="360"/>
      </w:pPr>
      <w:rPr>
        <w:rFonts w:hint="default"/>
        <w:b/>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D5C22F1"/>
    <w:multiLevelType w:val="hybridMultilevel"/>
    <w:tmpl w:val="C00898D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70DF5AE7"/>
    <w:multiLevelType w:val="hybridMultilevel"/>
    <w:tmpl w:val="A6E64AE2"/>
    <w:lvl w:ilvl="0" w:tplc="E19A7D9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76A20591"/>
    <w:multiLevelType w:val="hybridMultilevel"/>
    <w:tmpl w:val="40D6AE32"/>
    <w:lvl w:ilvl="0" w:tplc="661CD1FC">
      <w:start w:val="13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1"/>
  </w:num>
  <w:num w:numId="2">
    <w:abstractNumId w:val="8"/>
  </w:num>
  <w:num w:numId="3">
    <w:abstractNumId w:val="13"/>
  </w:num>
  <w:num w:numId="4">
    <w:abstractNumId w:val="6"/>
  </w:num>
  <w:num w:numId="5">
    <w:abstractNumId w:val="0"/>
  </w:num>
  <w:num w:numId="6">
    <w:abstractNumId w:val="9"/>
  </w:num>
  <w:num w:numId="7">
    <w:abstractNumId w:val="4"/>
  </w:num>
  <w:num w:numId="8">
    <w:abstractNumId w:val="5"/>
  </w:num>
  <w:num w:numId="9">
    <w:abstractNumId w:val="1"/>
  </w:num>
  <w:num w:numId="10">
    <w:abstractNumId w:val="7"/>
  </w:num>
  <w:num w:numId="11">
    <w:abstractNumId w:val="2"/>
  </w:num>
  <w:num w:numId="12">
    <w:abstractNumId w:val="10"/>
  </w:num>
  <w:num w:numId="13">
    <w:abstractNumId w:val="12"/>
  </w:num>
  <w:num w:numId="14">
    <w:abstractNumId w:val="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0EF"/>
    <w:rsid w:val="0000634B"/>
    <w:rsid w:val="000112C1"/>
    <w:rsid w:val="00022EE3"/>
    <w:rsid w:val="00047F31"/>
    <w:rsid w:val="00074827"/>
    <w:rsid w:val="00094EC3"/>
    <w:rsid w:val="000B5C1F"/>
    <w:rsid w:val="000C0650"/>
    <w:rsid w:val="000C48D5"/>
    <w:rsid w:val="00131BBC"/>
    <w:rsid w:val="001356D8"/>
    <w:rsid w:val="00144F56"/>
    <w:rsid w:val="001459F4"/>
    <w:rsid w:val="001869CD"/>
    <w:rsid w:val="001D6D8C"/>
    <w:rsid w:val="001E4AC0"/>
    <w:rsid w:val="001F5AF5"/>
    <w:rsid w:val="00207396"/>
    <w:rsid w:val="00242E53"/>
    <w:rsid w:val="00263515"/>
    <w:rsid w:val="002642CA"/>
    <w:rsid w:val="0027246B"/>
    <w:rsid w:val="002B10B1"/>
    <w:rsid w:val="002B583A"/>
    <w:rsid w:val="002D1D70"/>
    <w:rsid w:val="002E069F"/>
    <w:rsid w:val="002F0457"/>
    <w:rsid w:val="00344954"/>
    <w:rsid w:val="00360304"/>
    <w:rsid w:val="00387EA3"/>
    <w:rsid w:val="00446363"/>
    <w:rsid w:val="00447428"/>
    <w:rsid w:val="00450C5E"/>
    <w:rsid w:val="004754CA"/>
    <w:rsid w:val="00477C93"/>
    <w:rsid w:val="004B6EC4"/>
    <w:rsid w:val="004C1D16"/>
    <w:rsid w:val="004C3921"/>
    <w:rsid w:val="004C5A62"/>
    <w:rsid w:val="004D031E"/>
    <w:rsid w:val="004F32A8"/>
    <w:rsid w:val="004F4391"/>
    <w:rsid w:val="00514B7C"/>
    <w:rsid w:val="00572C5C"/>
    <w:rsid w:val="005D7AAF"/>
    <w:rsid w:val="00657DD7"/>
    <w:rsid w:val="00661654"/>
    <w:rsid w:val="006854BC"/>
    <w:rsid w:val="006C7844"/>
    <w:rsid w:val="006F3346"/>
    <w:rsid w:val="00706A7B"/>
    <w:rsid w:val="00712DFA"/>
    <w:rsid w:val="0072168C"/>
    <w:rsid w:val="00783B04"/>
    <w:rsid w:val="007D31BC"/>
    <w:rsid w:val="00826305"/>
    <w:rsid w:val="008675CF"/>
    <w:rsid w:val="008721A7"/>
    <w:rsid w:val="00896D0E"/>
    <w:rsid w:val="008D2091"/>
    <w:rsid w:val="008D22EB"/>
    <w:rsid w:val="008F3DE9"/>
    <w:rsid w:val="008F60B9"/>
    <w:rsid w:val="008F7FF8"/>
    <w:rsid w:val="00952E6B"/>
    <w:rsid w:val="009A0445"/>
    <w:rsid w:val="009A2BE0"/>
    <w:rsid w:val="009C4BB3"/>
    <w:rsid w:val="009D3371"/>
    <w:rsid w:val="00A1106E"/>
    <w:rsid w:val="00A404EE"/>
    <w:rsid w:val="00A43532"/>
    <w:rsid w:val="00A67DB9"/>
    <w:rsid w:val="00AC1300"/>
    <w:rsid w:val="00B24134"/>
    <w:rsid w:val="00B250EF"/>
    <w:rsid w:val="00B97BF7"/>
    <w:rsid w:val="00BA5F95"/>
    <w:rsid w:val="00BA6839"/>
    <w:rsid w:val="00BB6145"/>
    <w:rsid w:val="00C46E47"/>
    <w:rsid w:val="00CB170B"/>
    <w:rsid w:val="00CF082F"/>
    <w:rsid w:val="00D0254C"/>
    <w:rsid w:val="00D032F9"/>
    <w:rsid w:val="00D21C20"/>
    <w:rsid w:val="00D3755E"/>
    <w:rsid w:val="00D474F4"/>
    <w:rsid w:val="00D54E46"/>
    <w:rsid w:val="00D834FC"/>
    <w:rsid w:val="00D8600D"/>
    <w:rsid w:val="00E05F45"/>
    <w:rsid w:val="00E44ED5"/>
    <w:rsid w:val="00E75866"/>
    <w:rsid w:val="00EE6806"/>
    <w:rsid w:val="00F31BD8"/>
    <w:rsid w:val="00F5679C"/>
    <w:rsid w:val="00F65464"/>
    <w:rsid w:val="00F66909"/>
    <w:rsid w:val="00F732A9"/>
    <w:rsid w:val="00F73CF0"/>
    <w:rsid w:val="00F81A43"/>
    <w:rsid w:val="00F9685C"/>
    <w:rsid w:val="00F96CE3"/>
    <w:rsid w:val="00FB0C4A"/>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1FF6015-6559-4B33-8478-1A3A424EE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250EF"/>
    <w:rPr>
      <w:rFonts w:ascii="Calibri" w:eastAsia="Calibri" w:hAnsi="Calibri" w:cs="Times New Roman"/>
    </w:rPr>
  </w:style>
  <w:style w:type="paragraph" w:styleId="Cmsor1">
    <w:name w:val="heading 1"/>
    <w:basedOn w:val="Norml"/>
    <w:link w:val="Cmsor1Char"/>
    <w:uiPriority w:val="9"/>
    <w:qFormat/>
    <w:rsid w:val="00B250EF"/>
    <w:pPr>
      <w:spacing w:before="100" w:beforeAutospacing="1" w:after="100" w:afterAutospacing="1" w:line="240" w:lineRule="auto"/>
      <w:outlineLvl w:val="0"/>
    </w:pPr>
    <w:rPr>
      <w:rFonts w:ascii="Times New Roman" w:eastAsia="Times New Roman" w:hAnsi="Times New Roman"/>
      <w:b/>
      <w:bCs/>
      <w:kern w:val="36"/>
      <w:sz w:val="48"/>
      <w:szCs w:val="48"/>
      <w:lang w:eastAsia="hu-HU"/>
    </w:rPr>
  </w:style>
  <w:style w:type="paragraph" w:styleId="Cmsor2">
    <w:name w:val="heading 2"/>
    <w:basedOn w:val="Norml"/>
    <w:next w:val="Norml"/>
    <w:link w:val="Cmsor2Char"/>
    <w:uiPriority w:val="9"/>
    <w:unhideWhenUsed/>
    <w:qFormat/>
    <w:rsid w:val="00B250EF"/>
    <w:pPr>
      <w:keepNext/>
      <w:spacing w:before="240" w:after="60"/>
      <w:outlineLvl w:val="1"/>
    </w:pPr>
    <w:rPr>
      <w:rFonts w:ascii="Cambria" w:eastAsia="Times New Roman" w:hAnsi="Cambria"/>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B250EF"/>
    <w:rPr>
      <w:rFonts w:ascii="Times New Roman" w:eastAsia="Times New Roman" w:hAnsi="Times New Roman" w:cs="Times New Roman"/>
      <w:b/>
      <w:bCs/>
      <w:kern w:val="36"/>
      <w:sz w:val="48"/>
      <w:szCs w:val="48"/>
      <w:lang w:eastAsia="hu-HU"/>
    </w:rPr>
  </w:style>
  <w:style w:type="character" w:customStyle="1" w:styleId="Cmsor2Char">
    <w:name w:val="Címsor 2 Char"/>
    <w:basedOn w:val="Bekezdsalapbettpusa"/>
    <w:link w:val="Cmsor2"/>
    <w:uiPriority w:val="9"/>
    <w:rsid w:val="00B250EF"/>
    <w:rPr>
      <w:rFonts w:ascii="Cambria" w:eastAsia="Times New Roman" w:hAnsi="Cambria" w:cs="Times New Roman"/>
      <w:b/>
      <w:bCs/>
      <w:i/>
      <w:iCs/>
      <w:sz w:val="28"/>
      <w:szCs w:val="28"/>
    </w:rPr>
  </w:style>
  <w:style w:type="character" w:styleId="Kiemels">
    <w:name w:val="Emphasis"/>
    <w:uiPriority w:val="20"/>
    <w:qFormat/>
    <w:rsid w:val="00B250EF"/>
    <w:rPr>
      <w:i/>
      <w:iCs/>
    </w:rPr>
  </w:style>
  <w:style w:type="character" w:styleId="Hiperhivatkozs">
    <w:name w:val="Hyperlink"/>
    <w:uiPriority w:val="99"/>
    <w:unhideWhenUsed/>
    <w:rsid w:val="00B250EF"/>
    <w:rPr>
      <w:color w:val="0000FF"/>
      <w:u w:val="single"/>
    </w:rPr>
  </w:style>
  <w:style w:type="paragraph" w:customStyle="1" w:styleId="Default">
    <w:name w:val="Default"/>
    <w:rsid w:val="00B250EF"/>
    <w:pPr>
      <w:autoSpaceDE w:val="0"/>
      <w:autoSpaceDN w:val="0"/>
      <w:adjustRightInd w:val="0"/>
      <w:spacing w:after="0" w:line="240" w:lineRule="auto"/>
    </w:pPr>
    <w:rPr>
      <w:rFonts w:ascii="Garamond" w:eastAsia="Times New Roman" w:hAnsi="Garamond" w:cs="Garamond"/>
      <w:color w:val="000000"/>
      <w:sz w:val="24"/>
      <w:szCs w:val="24"/>
      <w:lang w:eastAsia="hu-HU"/>
    </w:rPr>
  </w:style>
  <w:style w:type="paragraph" w:styleId="llb">
    <w:name w:val="footer"/>
    <w:basedOn w:val="Norml"/>
    <w:link w:val="llbChar"/>
    <w:uiPriority w:val="99"/>
    <w:rsid w:val="00B250EF"/>
    <w:pPr>
      <w:tabs>
        <w:tab w:val="center" w:pos="4536"/>
        <w:tab w:val="right" w:pos="9072"/>
      </w:tabs>
      <w:spacing w:after="0" w:line="240" w:lineRule="auto"/>
    </w:pPr>
    <w:rPr>
      <w:rFonts w:ascii="Times New Roman" w:eastAsia="Times New Roman" w:hAnsi="Times New Roman"/>
      <w:sz w:val="24"/>
      <w:szCs w:val="24"/>
    </w:rPr>
  </w:style>
  <w:style w:type="character" w:customStyle="1" w:styleId="llbChar">
    <w:name w:val="Élőláb Char"/>
    <w:basedOn w:val="Bekezdsalapbettpusa"/>
    <w:link w:val="llb"/>
    <w:uiPriority w:val="99"/>
    <w:rsid w:val="00B250EF"/>
    <w:rPr>
      <w:rFonts w:ascii="Times New Roman" w:eastAsia="Times New Roman" w:hAnsi="Times New Roman" w:cs="Times New Roman"/>
      <w:sz w:val="24"/>
      <w:szCs w:val="24"/>
    </w:rPr>
  </w:style>
  <w:style w:type="paragraph" w:styleId="lfej">
    <w:name w:val="header"/>
    <w:basedOn w:val="Norml"/>
    <w:link w:val="lfejChar"/>
    <w:uiPriority w:val="99"/>
    <w:rsid w:val="00B250EF"/>
    <w:pPr>
      <w:tabs>
        <w:tab w:val="center" w:pos="4536"/>
        <w:tab w:val="right" w:pos="9072"/>
      </w:tabs>
    </w:pPr>
  </w:style>
  <w:style w:type="character" w:customStyle="1" w:styleId="lfejChar">
    <w:name w:val="Élőfej Char"/>
    <w:basedOn w:val="Bekezdsalapbettpusa"/>
    <w:link w:val="lfej"/>
    <w:uiPriority w:val="99"/>
    <w:rsid w:val="00B250EF"/>
    <w:rPr>
      <w:rFonts w:ascii="Calibri" w:eastAsia="Calibri" w:hAnsi="Calibri" w:cs="Times New Roman"/>
    </w:rPr>
  </w:style>
  <w:style w:type="paragraph" w:styleId="Buborkszveg">
    <w:name w:val="Balloon Text"/>
    <w:basedOn w:val="Norml"/>
    <w:link w:val="BuborkszvegChar"/>
    <w:uiPriority w:val="99"/>
    <w:semiHidden/>
    <w:unhideWhenUsed/>
    <w:rsid w:val="00B250EF"/>
    <w:pPr>
      <w:spacing w:after="0" w:line="240" w:lineRule="auto"/>
    </w:pPr>
    <w:rPr>
      <w:rFonts w:ascii="Tahoma" w:hAnsi="Tahoma"/>
      <w:sz w:val="16"/>
      <w:szCs w:val="16"/>
    </w:rPr>
  </w:style>
  <w:style w:type="character" w:customStyle="1" w:styleId="BuborkszvegChar">
    <w:name w:val="Buborékszöveg Char"/>
    <w:basedOn w:val="Bekezdsalapbettpusa"/>
    <w:link w:val="Buborkszveg"/>
    <w:uiPriority w:val="99"/>
    <w:semiHidden/>
    <w:rsid w:val="00B250EF"/>
    <w:rPr>
      <w:rFonts w:ascii="Tahoma" w:eastAsia="Calibri" w:hAnsi="Tahoma" w:cs="Times New Roman"/>
      <w:sz w:val="16"/>
      <w:szCs w:val="16"/>
    </w:rPr>
  </w:style>
  <w:style w:type="character" w:styleId="Mrltotthiperhivatkozs">
    <w:name w:val="FollowedHyperlink"/>
    <w:uiPriority w:val="99"/>
    <w:semiHidden/>
    <w:unhideWhenUsed/>
    <w:rsid w:val="00B250EF"/>
    <w:rPr>
      <w:color w:val="800080"/>
      <w:u w:val="single"/>
    </w:rPr>
  </w:style>
  <w:style w:type="paragraph" w:customStyle="1" w:styleId="font5">
    <w:name w:val="font5"/>
    <w:basedOn w:val="Norml"/>
    <w:rsid w:val="00B250EF"/>
    <w:pPr>
      <w:spacing w:before="100" w:beforeAutospacing="1" w:after="100" w:afterAutospacing="1" w:line="240" w:lineRule="auto"/>
    </w:pPr>
    <w:rPr>
      <w:rFonts w:ascii="Arial" w:eastAsia="Times New Roman" w:hAnsi="Arial" w:cs="Arial"/>
      <w:sz w:val="20"/>
      <w:szCs w:val="20"/>
      <w:lang w:eastAsia="hu-HU"/>
    </w:rPr>
  </w:style>
  <w:style w:type="paragraph" w:customStyle="1" w:styleId="font6">
    <w:name w:val="font6"/>
    <w:basedOn w:val="Norml"/>
    <w:rsid w:val="00B250EF"/>
    <w:pPr>
      <w:spacing w:before="100" w:beforeAutospacing="1" w:after="100" w:afterAutospacing="1" w:line="240" w:lineRule="auto"/>
    </w:pPr>
    <w:rPr>
      <w:rFonts w:ascii="Arial" w:eastAsia="Times New Roman" w:hAnsi="Arial" w:cs="Arial"/>
      <w:color w:val="000080"/>
      <w:sz w:val="20"/>
      <w:szCs w:val="20"/>
      <w:lang w:eastAsia="hu-HU"/>
    </w:rPr>
  </w:style>
  <w:style w:type="paragraph" w:customStyle="1" w:styleId="xl65">
    <w:name w:val="xl65"/>
    <w:basedOn w:val="Norml"/>
    <w:rsid w:val="00B250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hu-HU"/>
    </w:rPr>
  </w:style>
  <w:style w:type="paragraph" w:customStyle="1" w:styleId="xl66">
    <w:name w:val="xl66"/>
    <w:basedOn w:val="Norml"/>
    <w:rsid w:val="00B250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hu-HU"/>
    </w:rPr>
  </w:style>
  <w:style w:type="paragraph" w:customStyle="1" w:styleId="xl67">
    <w:name w:val="xl67"/>
    <w:basedOn w:val="Norml"/>
    <w:rsid w:val="00B250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FF"/>
      <w:sz w:val="24"/>
      <w:szCs w:val="24"/>
      <w:lang w:eastAsia="hu-HU"/>
    </w:rPr>
  </w:style>
  <w:style w:type="paragraph" w:customStyle="1" w:styleId="xl68">
    <w:name w:val="xl68"/>
    <w:basedOn w:val="Norml"/>
    <w:rsid w:val="00B250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hu-HU"/>
    </w:rPr>
  </w:style>
  <w:style w:type="paragraph" w:customStyle="1" w:styleId="xl69">
    <w:name w:val="xl69"/>
    <w:basedOn w:val="Norml"/>
    <w:rsid w:val="00B250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FF"/>
      <w:sz w:val="24"/>
      <w:szCs w:val="24"/>
      <w:lang w:eastAsia="hu-HU"/>
    </w:rPr>
  </w:style>
  <w:style w:type="paragraph" w:customStyle="1" w:styleId="xl70">
    <w:name w:val="xl70"/>
    <w:basedOn w:val="Norml"/>
    <w:rsid w:val="00B250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FF"/>
      <w:sz w:val="24"/>
      <w:szCs w:val="24"/>
      <w:lang w:eastAsia="hu-HU"/>
    </w:rPr>
  </w:style>
  <w:style w:type="paragraph" w:customStyle="1" w:styleId="xl71">
    <w:name w:val="xl71"/>
    <w:basedOn w:val="Norml"/>
    <w:rsid w:val="00B250EF"/>
    <w:pPr>
      <w:spacing w:before="100" w:beforeAutospacing="1" w:after="100" w:afterAutospacing="1" w:line="240" w:lineRule="auto"/>
    </w:pPr>
    <w:rPr>
      <w:rFonts w:ascii="Arial" w:eastAsia="Times New Roman" w:hAnsi="Arial" w:cs="Arial"/>
      <w:sz w:val="24"/>
      <w:szCs w:val="24"/>
      <w:lang w:eastAsia="hu-HU"/>
    </w:rPr>
  </w:style>
  <w:style w:type="paragraph" w:customStyle="1" w:styleId="xl72">
    <w:name w:val="xl72"/>
    <w:basedOn w:val="Norml"/>
    <w:rsid w:val="00B250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hu-HU"/>
    </w:rPr>
  </w:style>
  <w:style w:type="paragraph" w:customStyle="1" w:styleId="xl73">
    <w:name w:val="xl73"/>
    <w:basedOn w:val="Norml"/>
    <w:rsid w:val="00B250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hu-HU"/>
    </w:rPr>
  </w:style>
  <w:style w:type="paragraph" w:customStyle="1" w:styleId="xl74">
    <w:name w:val="xl74"/>
    <w:basedOn w:val="Norml"/>
    <w:rsid w:val="00B250EF"/>
    <w:pPr>
      <w:spacing w:before="100" w:beforeAutospacing="1" w:after="100" w:afterAutospacing="1" w:line="240" w:lineRule="auto"/>
      <w:jc w:val="right"/>
    </w:pPr>
    <w:rPr>
      <w:rFonts w:ascii="Times New Roman" w:eastAsia="Times New Roman" w:hAnsi="Times New Roman"/>
      <w:sz w:val="24"/>
      <w:szCs w:val="24"/>
      <w:lang w:eastAsia="hu-HU"/>
    </w:rPr>
  </w:style>
  <w:style w:type="paragraph" w:customStyle="1" w:styleId="xl75">
    <w:name w:val="xl75"/>
    <w:basedOn w:val="Norml"/>
    <w:rsid w:val="00B250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hu-HU"/>
    </w:rPr>
  </w:style>
  <w:style w:type="paragraph" w:customStyle="1" w:styleId="xl76">
    <w:name w:val="xl76"/>
    <w:basedOn w:val="Norml"/>
    <w:rsid w:val="00B250E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w:eastAsia="Times New Roman" w:hAnsi="Arial" w:cs="Arial"/>
      <w:sz w:val="24"/>
      <w:szCs w:val="24"/>
      <w:lang w:eastAsia="hu-HU"/>
    </w:rPr>
  </w:style>
  <w:style w:type="paragraph" w:customStyle="1" w:styleId="xl77">
    <w:name w:val="xl77"/>
    <w:basedOn w:val="Norml"/>
    <w:rsid w:val="00B250E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pPr>
    <w:rPr>
      <w:rFonts w:ascii="Arial" w:eastAsia="Times New Roman" w:hAnsi="Arial" w:cs="Arial"/>
      <w:b/>
      <w:bCs/>
      <w:sz w:val="24"/>
      <w:szCs w:val="24"/>
      <w:lang w:eastAsia="hu-HU"/>
    </w:rPr>
  </w:style>
  <w:style w:type="paragraph" w:customStyle="1" w:styleId="xl78">
    <w:name w:val="xl78"/>
    <w:basedOn w:val="Norml"/>
    <w:rsid w:val="00B250E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pPr>
    <w:rPr>
      <w:rFonts w:ascii="Arial" w:eastAsia="Times New Roman" w:hAnsi="Arial" w:cs="Arial"/>
      <w:b/>
      <w:bCs/>
      <w:sz w:val="24"/>
      <w:szCs w:val="24"/>
      <w:lang w:eastAsia="hu-HU"/>
    </w:rPr>
  </w:style>
  <w:style w:type="paragraph" w:customStyle="1" w:styleId="xl79">
    <w:name w:val="xl79"/>
    <w:basedOn w:val="Norml"/>
    <w:rsid w:val="00B250E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ascii="Arial" w:eastAsia="Times New Roman" w:hAnsi="Arial" w:cs="Arial"/>
      <w:b/>
      <w:bCs/>
      <w:sz w:val="24"/>
      <w:szCs w:val="24"/>
      <w:lang w:eastAsia="hu-HU"/>
    </w:rPr>
  </w:style>
  <w:style w:type="paragraph" w:customStyle="1" w:styleId="xl80">
    <w:name w:val="xl80"/>
    <w:basedOn w:val="Norml"/>
    <w:rsid w:val="00B250E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pPr>
    <w:rPr>
      <w:rFonts w:ascii="Times New Roman" w:eastAsia="Times New Roman" w:hAnsi="Times New Roman"/>
      <w:sz w:val="24"/>
      <w:szCs w:val="24"/>
      <w:lang w:eastAsia="hu-HU"/>
    </w:rPr>
  </w:style>
  <w:style w:type="paragraph" w:customStyle="1" w:styleId="xl81">
    <w:name w:val="xl81"/>
    <w:basedOn w:val="Norml"/>
    <w:rsid w:val="00B250E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ascii="Arial" w:eastAsia="Times New Roman" w:hAnsi="Arial" w:cs="Arial"/>
      <w:sz w:val="24"/>
      <w:szCs w:val="24"/>
      <w:lang w:eastAsia="hu-HU"/>
    </w:rPr>
  </w:style>
  <w:style w:type="paragraph" w:customStyle="1" w:styleId="xl82">
    <w:name w:val="xl82"/>
    <w:basedOn w:val="Norml"/>
    <w:rsid w:val="00B250EF"/>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pPr>
    <w:rPr>
      <w:rFonts w:ascii="Arial" w:eastAsia="Times New Roman" w:hAnsi="Arial" w:cs="Arial"/>
      <w:b/>
      <w:bCs/>
      <w:sz w:val="24"/>
      <w:szCs w:val="24"/>
      <w:lang w:eastAsia="hu-HU"/>
    </w:rPr>
  </w:style>
  <w:style w:type="paragraph" w:customStyle="1" w:styleId="xl83">
    <w:name w:val="xl83"/>
    <w:basedOn w:val="Norml"/>
    <w:rsid w:val="00B250EF"/>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pPr>
    <w:rPr>
      <w:rFonts w:ascii="Times New Roman" w:eastAsia="Times New Roman" w:hAnsi="Times New Roman"/>
      <w:sz w:val="24"/>
      <w:szCs w:val="24"/>
      <w:lang w:eastAsia="hu-HU"/>
    </w:rPr>
  </w:style>
  <w:style w:type="paragraph" w:customStyle="1" w:styleId="xl84">
    <w:name w:val="xl84"/>
    <w:basedOn w:val="Norml"/>
    <w:rsid w:val="00B250EF"/>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pPr>
    <w:rPr>
      <w:rFonts w:ascii="Arial" w:eastAsia="Times New Roman" w:hAnsi="Arial" w:cs="Arial"/>
      <w:b/>
      <w:bCs/>
      <w:sz w:val="24"/>
      <w:szCs w:val="24"/>
      <w:lang w:eastAsia="hu-HU"/>
    </w:rPr>
  </w:style>
  <w:style w:type="paragraph" w:customStyle="1" w:styleId="xl85">
    <w:name w:val="xl85"/>
    <w:basedOn w:val="Norml"/>
    <w:rsid w:val="00B250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E26B0A"/>
      <w:sz w:val="24"/>
      <w:szCs w:val="24"/>
      <w:lang w:eastAsia="hu-HU"/>
    </w:rPr>
  </w:style>
  <w:style w:type="paragraph" w:customStyle="1" w:styleId="xl86">
    <w:name w:val="xl86"/>
    <w:basedOn w:val="Norml"/>
    <w:rsid w:val="00B250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E26B0A"/>
      <w:sz w:val="24"/>
      <w:szCs w:val="24"/>
      <w:lang w:eastAsia="hu-HU"/>
    </w:rPr>
  </w:style>
  <w:style w:type="paragraph" w:customStyle="1" w:styleId="xl87">
    <w:name w:val="xl87"/>
    <w:basedOn w:val="Norml"/>
    <w:rsid w:val="00B250EF"/>
    <w:pPr>
      <w:spacing w:before="100" w:beforeAutospacing="1" w:after="100" w:afterAutospacing="1" w:line="240" w:lineRule="auto"/>
    </w:pPr>
    <w:rPr>
      <w:rFonts w:ascii="Arial" w:eastAsia="Times New Roman" w:hAnsi="Arial" w:cs="Arial"/>
      <w:color w:val="E26B0A"/>
      <w:sz w:val="24"/>
      <w:szCs w:val="24"/>
      <w:lang w:eastAsia="hu-HU"/>
    </w:rPr>
  </w:style>
  <w:style w:type="paragraph" w:customStyle="1" w:styleId="xl88">
    <w:name w:val="xl88"/>
    <w:basedOn w:val="Norml"/>
    <w:rsid w:val="00B250EF"/>
    <w:pPr>
      <w:pBdr>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ascii="Arial" w:eastAsia="Times New Roman" w:hAnsi="Arial" w:cs="Arial"/>
      <w:b/>
      <w:bCs/>
      <w:sz w:val="24"/>
      <w:szCs w:val="24"/>
      <w:lang w:eastAsia="hu-HU"/>
    </w:rPr>
  </w:style>
  <w:style w:type="paragraph" w:customStyle="1" w:styleId="xl89">
    <w:name w:val="xl89"/>
    <w:basedOn w:val="Norml"/>
    <w:rsid w:val="00B250EF"/>
    <w:pPr>
      <w:pBdr>
        <w:left w:val="single" w:sz="4" w:space="0" w:color="auto"/>
        <w:bottom w:val="single" w:sz="4" w:space="0" w:color="auto"/>
        <w:right w:val="single" w:sz="4" w:space="0" w:color="auto"/>
      </w:pBdr>
      <w:shd w:val="clear" w:color="000000" w:fill="D8E4BC"/>
      <w:spacing w:before="100" w:beforeAutospacing="1" w:after="100" w:afterAutospacing="1" w:line="240" w:lineRule="auto"/>
      <w:jc w:val="right"/>
    </w:pPr>
    <w:rPr>
      <w:rFonts w:ascii="Times New Roman" w:eastAsia="Times New Roman" w:hAnsi="Times New Roman"/>
      <w:sz w:val="24"/>
      <w:szCs w:val="24"/>
      <w:lang w:eastAsia="hu-HU"/>
    </w:rPr>
  </w:style>
  <w:style w:type="paragraph" w:customStyle="1" w:styleId="xl90">
    <w:name w:val="xl90"/>
    <w:basedOn w:val="Norml"/>
    <w:rsid w:val="00B250EF"/>
    <w:pPr>
      <w:pBdr>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ascii="Arial" w:eastAsia="Times New Roman" w:hAnsi="Arial" w:cs="Arial"/>
      <w:sz w:val="24"/>
      <w:szCs w:val="24"/>
      <w:lang w:eastAsia="hu-HU"/>
    </w:rPr>
  </w:style>
  <w:style w:type="paragraph" w:customStyle="1" w:styleId="xl91">
    <w:name w:val="xl91"/>
    <w:basedOn w:val="Norml"/>
    <w:rsid w:val="00B250EF"/>
    <w:pPr>
      <w:pBdr>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ascii="Times New Roman" w:eastAsia="Times New Roman" w:hAnsi="Times New Roman"/>
      <w:sz w:val="24"/>
      <w:szCs w:val="24"/>
      <w:lang w:eastAsia="hu-HU"/>
    </w:rPr>
  </w:style>
  <w:style w:type="paragraph" w:customStyle="1" w:styleId="xl92">
    <w:name w:val="xl92"/>
    <w:basedOn w:val="Norml"/>
    <w:rsid w:val="00B250EF"/>
    <w:pPr>
      <w:spacing w:before="100" w:beforeAutospacing="1" w:after="100" w:afterAutospacing="1" w:line="240" w:lineRule="auto"/>
    </w:pPr>
    <w:rPr>
      <w:rFonts w:ascii="Times New Roman" w:eastAsia="Times New Roman" w:hAnsi="Times New Roman"/>
      <w:sz w:val="24"/>
      <w:szCs w:val="24"/>
      <w:lang w:eastAsia="hu-HU"/>
    </w:rPr>
  </w:style>
  <w:style w:type="paragraph" w:customStyle="1" w:styleId="xl93">
    <w:name w:val="xl93"/>
    <w:basedOn w:val="Norml"/>
    <w:rsid w:val="00B250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FF"/>
      <w:sz w:val="24"/>
      <w:szCs w:val="24"/>
      <w:lang w:eastAsia="hu-HU"/>
    </w:rPr>
  </w:style>
  <w:style w:type="paragraph" w:customStyle="1" w:styleId="xl94">
    <w:name w:val="xl94"/>
    <w:basedOn w:val="Norml"/>
    <w:rsid w:val="00B250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hu-HU"/>
    </w:rPr>
  </w:style>
  <w:style w:type="paragraph" w:customStyle="1" w:styleId="xl95">
    <w:name w:val="xl95"/>
    <w:basedOn w:val="Norml"/>
    <w:rsid w:val="00B250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4"/>
      <w:szCs w:val="24"/>
      <w:lang w:eastAsia="hu-HU"/>
    </w:rPr>
  </w:style>
  <w:style w:type="paragraph" w:customStyle="1" w:styleId="xl96">
    <w:name w:val="xl96"/>
    <w:basedOn w:val="Norml"/>
    <w:rsid w:val="00B250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99"/>
      <w:sz w:val="24"/>
      <w:szCs w:val="24"/>
      <w:lang w:eastAsia="hu-HU"/>
    </w:rPr>
  </w:style>
  <w:style w:type="paragraph" w:customStyle="1" w:styleId="xl97">
    <w:name w:val="xl97"/>
    <w:basedOn w:val="Norml"/>
    <w:rsid w:val="00B250E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w:eastAsia="Times New Roman" w:hAnsi="Arial" w:cs="Arial"/>
      <w:b/>
      <w:bCs/>
      <w:sz w:val="24"/>
      <w:szCs w:val="24"/>
      <w:lang w:eastAsia="hu-HU"/>
    </w:rPr>
  </w:style>
  <w:style w:type="paragraph" w:customStyle="1" w:styleId="xl98">
    <w:name w:val="xl98"/>
    <w:basedOn w:val="Norml"/>
    <w:rsid w:val="00B250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99"/>
      <w:sz w:val="24"/>
      <w:szCs w:val="24"/>
      <w:lang w:eastAsia="hu-HU"/>
    </w:rPr>
  </w:style>
  <w:style w:type="paragraph" w:customStyle="1" w:styleId="xl99">
    <w:name w:val="xl99"/>
    <w:basedOn w:val="Norml"/>
    <w:rsid w:val="00B250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4"/>
      <w:szCs w:val="24"/>
      <w:lang w:eastAsia="hu-HU"/>
    </w:rPr>
  </w:style>
  <w:style w:type="paragraph" w:customStyle="1" w:styleId="xl100">
    <w:name w:val="xl100"/>
    <w:basedOn w:val="Norml"/>
    <w:rsid w:val="00B250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99"/>
      <w:sz w:val="24"/>
      <w:szCs w:val="24"/>
      <w:lang w:eastAsia="hu-HU"/>
    </w:rPr>
  </w:style>
  <w:style w:type="paragraph" w:customStyle="1" w:styleId="xl101">
    <w:name w:val="xl101"/>
    <w:basedOn w:val="Norml"/>
    <w:rsid w:val="00B250EF"/>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pPr>
    <w:rPr>
      <w:rFonts w:ascii="Times New Roman" w:eastAsia="Times New Roman" w:hAnsi="Times New Roman"/>
      <w:sz w:val="24"/>
      <w:szCs w:val="24"/>
      <w:lang w:eastAsia="hu-HU"/>
    </w:rPr>
  </w:style>
  <w:style w:type="paragraph" w:customStyle="1" w:styleId="xl102">
    <w:name w:val="xl102"/>
    <w:basedOn w:val="Norml"/>
    <w:rsid w:val="00B250EF"/>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pPr>
    <w:rPr>
      <w:rFonts w:ascii="Arial" w:eastAsia="Times New Roman" w:hAnsi="Arial" w:cs="Arial"/>
      <w:b/>
      <w:bCs/>
      <w:sz w:val="24"/>
      <w:szCs w:val="24"/>
      <w:lang w:eastAsia="hu-HU"/>
    </w:rPr>
  </w:style>
  <w:style w:type="paragraph" w:customStyle="1" w:styleId="xl103">
    <w:name w:val="xl103"/>
    <w:basedOn w:val="Norml"/>
    <w:rsid w:val="00B250EF"/>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pPr>
    <w:rPr>
      <w:rFonts w:ascii="Arial" w:eastAsia="Times New Roman" w:hAnsi="Arial" w:cs="Arial"/>
      <w:b/>
      <w:bCs/>
      <w:color w:val="0000FF"/>
      <w:sz w:val="24"/>
      <w:szCs w:val="24"/>
      <w:lang w:eastAsia="hu-HU"/>
    </w:rPr>
  </w:style>
  <w:style w:type="paragraph" w:customStyle="1" w:styleId="xl104">
    <w:name w:val="xl104"/>
    <w:basedOn w:val="Norml"/>
    <w:rsid w:val="00B250EF"/>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right"/>
    </w:pPr>
    <w:rPr>
      <w:rFonts w:ascii="Times New Roman" w:eastAsia="Times New Roman" w:hAnsi="Times New Roman"/>
      <w:sz w:val="24"/>
      <w:szCs w:val="24"/>
      <w:lang w:eastAsia="hu-HU"/>
    </w:rPr>
  </w:style>
  <w:style w:type="paragraph" w:customStyle="1" w:styleId="xl105">
    <w:name w:val="xl105"/>
    <w:basedOn w:val="Norml"/>
    <w:rsid w:val="00B250EF"/>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pPr>
    <w:rPr>
      <w:rFonts w:ascii="Arial" w:eastAsia="Times New Roman" w:hAnsi="Arial" w:cs="Arial"/>
      <w:b/>
      <w:bCs/>
      <w:color w:val="0000FF"/>
      <w:sz w:val="24"/>
      <w:szCs w:val="24"/>
      <w:lang w:eastAsia="hu-HU"/>
    </w:rPr>
  </w:style>
  <w:style w:type="paragraph" w:customStyle="1" w:styleId="xl106">
    <w:name w:val="xl106"/>
    <w:basedOn w:val="Norml"/>
    <w:rsid w:val="00B250EF"/>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pPr>
    <w:rPr>
      <w:rFonts w:ascii="Arial" w:eastAsia="Times New Roman" w:hAnsi="Arial" w:cs="Arial"/>
      <w:sz w:val="24"/>
      <w:szCs w:val="24"/>
      <w:lang w:eastAsia="hu-HU"/>
    </w:rPr>
  </w:style>
  <w:style w:type="paragraph" w:customStyle="1" w:styleId="xl107">
    <w:name w:val="xl107"/>
    <w:basedOn w:val="Norml"/>
    <w:rsid w:val="00B250EF"/>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Arial" w:eastAsia="Times New Roman" w:hAnsi="Arial" w:cs="Arial"/>
      <w:b/>
      <w:bCs/>
      <w:sz w:val="24"/>
      <w:szCs w:val="24"/>
      <w:lang w:eastAsia="hu-HU"/>
    </w:rPr>
  </w:style>
  <w:style w:type="paragraph" w:customStyle="1" w:styleId="xl108">
    <w:name w:val="xl108"/>
    <w:basedOn w:val="Norml"/>
    <w:rsid w:val="00B250EF"/>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right"/>
    </w:pPr>
    <w:rPr>
      <w:rFonts w:ascii="Times New Roman" w:eastAsia="Times New Roman" w:hAnsi="Times New Roman"/>
      <w:sz w:val="24"/>
      <w:szCs w:val="24"/>
      <w:lang w:eastAsia="hu-HU"/>
    </w:rPr>
  </w:style>
  <w:style w:type="paragraph" w:customStyle="1" w:styleId="xl109">
    <w:name w:val="xl109"/>
    <w:basedOn w:val="Norml"/>
    <w:rsid w:val="00B250EF"/>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Arial" w:eastAsia="Times New Roman" w:hAnsi="Arial" w:cs="Arial"/>
      <w:b/>
      <w:bCs/>
      <w:sz w:val="24"/>
      <w:szCs w:val="24"/>
      <w:lang w:eastAsia="hu-HU"/>
    </w:rPr>
  </w:style>
  <w:style w:type="paragraph" w:customStyle="1" w:styleId="xl110">
    <w:name w:val="xl110"/>
    <w:basedOn w:val="Norml"/>
    <w:rsid w:val="00B250EF"/>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sz w:val="24"/>
      <w:szCs w:val="24"/>
      <w:lang w:eastAsia="hu-HU"/>
    </w:rPr>
  </w:style>
  <w:style w:type="paragraph" w:customStyle="1" w:styleId="xl111">
    <w:name w:val="xl111"/>
    <w:basedOn w:val="Norml"/>
    <w:rsid w:val="00B250EF"/>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line="240" w:lineRule="auto"/>
    </w:pPr>
    <w:rPr>
      <w:rFonts w:ascii="Arial" w:eastAsia="Times New Roman" w:hAnsi="Arial" w:cs="Arial"/>
      <w:b/>
      <w:bCs/>
      <w:color w:val="FFFFFF"/>
      <w:sz w:val="24"/>
      <w:szCs w:val="24"/>
      <w:lang w:eastAsia="hu-HU"/>
    </w:rPr>
  </w:style>
  <w:style w:type="paragraph" w:customStyle="1" w:styleId="xl112">
    <w:name w:val="xl112"/>
    <w:basedOn w:val="Norml"/>
    <w:rsid w:val="00B250EF"/>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line="240" w:lineRule="auto"/>
      <w:jc w:val="right"/>
    </w:pPr>
    <w:rPr>
      <w:rFonts w:ascii="Arial" w:eastAsia="Times New Roman" w:hAnsi="Arial" w:cs="Arial"/>
      <w:b/>
      <w:bCs/>
      <w:color w:val="FFFFFF"/>
      <w:sz w:val="24"/>
      <w:szCs w:val="24"/>
      <w:lang w:eastAsia="hu-HU"/>
    </w:rPr>
  </w:style>
  <w:style w:type="paragraph" w:customStyle="1" w:styleId="xl113">
    <w:name w:val="xl113"/>
    <w:basedOn w:val="Norml"/>
    <w:rsid w:val="00B250EF"/>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line="240" w:lineRule="auto"/>
    </w:pPr>
    <w:rPr>
      <w:rFonts w:ascii="Arial" w:eastAsia="Times New Roman" w:hAnsi="Arial" w:cs="Arial"/>
      <w:b/>
      <w:bCs/>
      <w:color w:val="FFFFFF"/>
      <w:sz w:val="24"/>
      <w:szCs w:val="24"/>
      <w:lang w:eastAsia="hu-HU"/>
    </w:rPr>
  </w:style>
  <w:style w:type="paragraph" w:customStyle="1" w:styleId="xl114">
    <w:name w:val="xl114"/>
    <w:basedOn w:val="Norml"/>
    <w:rsid w:val="00B250EF"/>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Arial" w:eastAsia="Times New Roman" w:hAnsi="Arial" w:cs="Arial"/>
      <w:b/>
      <w:bCs/>
      <w:color w:val="0000FF"/>
      <w:sz w:val="24"/>
      <w:szCs w:val="24"/>
      <w:lang w:eastAsia="hu-HU"/>
    </w:rPr>
  </w:style>
  <w:style w:type="paragraph" w:customStyle="1" w:styleId="xl115">
    <w:name w:val="xl115"/>
    <w:basedOn w:val="Norml"/>
    <w:rsid w:val="00B250EF"/>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pPr>
    <w:rPr>
      <w:rFonts w:ascii="Arial" w:eastAsia="Times New Roman" w:hAnsi="Arial" w:cs="Arial"/>
      <w:b/>
      <w:bCs/>
      <w:color w:val="0000FF"/>
      <w:sz w:val="24"/>
      <w:szCs w:val="24"/>
      <w:lang w:eastAsia="hu-HU"/>
    </w:rPr>
  </w:style>
  <w:style w:type="paragraph" w:customStyle="1" w:styleId="xl116">
    <w:name w:val="xl116"/>
    <w:basedOn w:val="Norml"/>
    <w:rsid w:val="00B250EF"/>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pPr>
    <w:rPr>
      <w:rFonts w:ascii="Times New Roman" w:eastAsia="Times New Roman" w:hAnsi="Times New Roman"/>
      <w:sz w:val="24"/>
      <w:szCs w:val="24"/>
      <w:lang w:eastAsia="hu-HU"/>
    </w:rPr>
  </w:style>
  <w:style w:type="paragraph" w:customStyle="1" w:styleId="xl117">
    <w:name w:val="xl117"/>
    <w:basedOn w:val="Norml"/>
    <w:rsid w:val="00B250EF"/>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pPr>
    <w:rPr>
      <w:rFonts w:ascii="Arial" w:eastAsia="Times New Roman" w:hAnsi="Arial" w:cs="Arial"/>
      <w:color w:val="0000FF"/>
      <w:sz w:val="24"/>
      <w:szCs w:val="24"/>
      <w:lang w:eastAsia="hu-HU"/>
    </w:rPr>
  </w:style>
  <w:style w:type="paragraph" w:customStyle="1" w:styleId="xl118">
    <w:name w:val="xl118"/>
    <w:basedOn w:val="Norml"/>
    <w:rsid w:val="00B250EF"/>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pPr>
    <w:rPr>
      <w:rFonts w:ascii="Arial" w:eastAsia="Times New Roman" w:hAnsi="Arial" w:cs="Arial"/>
      <w:color w:val="0000FF"/>
      <w:sz w:val="24"/>
      <w:szCs w:val="24"/>
      <w:lang w:eastAsia="hu-HU"/>
    </w:rPr>
  </w:style>
  <w:style w:type="paragraph" w:customStyle="1" w:styleId="xl119">
    <w:name w:val="xl119"/>
    <w:basedOn w:val="Norml"/>
    <w:rsid w:val="00B250EF"/>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pPr>
    <w:rPr>
      <w:rFonts w:ascii="Arial" w:eastAsia="Times New Roman" w:hAnsi="Arial" w:cs="Arial"/>
      <w:b/>
      <w:bCs/>
      <w:color w:val="0000FF"/>
      <w:sz w:val="24"/>
      <w:szCs w:val="24"/>
      <w:lang w:eastAsia="hu-HU"/>
    </w:rPr>
  </w:style>
  <w:style w:type="paragraph" w:customStyle="1" w:styleId="xl120">
    <w:name w:val="xl120"/>
    <w:basedOn w:val="Norml"/>
    <w:rsid w:val="00B250EF"/>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Arial" w:eastAsia="Times New Roman" w:hAnsi="Arial" w:cs="Arial"/>
      <w:b/>
      <w:bCs/>
      <w:color w:val="0000FF"/>
      <w:sz w:val="24"/>
      <w:szCs w:val="24"/>
      <w:lang w:eastAsia="hu-HU"/>
    </w:rPr>
  </w:style>
  <w:style w:type="paragraph" w:customStyle="1" w:styleId="xl121">
    <w:name w:val="xl121"/>
    <w:basedOn w:val="Norml"/>
    <w:rsid w:val="00B250EF"/>
    <w:pPr>
      <w:spacing w:before="100" w:beforeAutospacing="1" w:after="100" w:afterAutospacing="1" w:line="240" w:lineRule="auto"/>
      <w:jc w:val="right"/>
    </w:pPr>
    <w:rPr>
      <w:rFonts w:ascii="Arial" w:eastAsia="Times New Roman" w:hAnsi="Arial" w:cs="Arial"/>
      <w:sz w:val="24"/>
      <w:szCs w:val="24"/>
      <w:lang w:eastAsia="hu-HU"/>
    </w:rPr>
  </w:style>
  <w:style w:type="paragraph" w:customStyle="1" w:styleId="xl122">
    <w:name w:val="xl122"/>
    <w:basedOn w:val="Norml"/>
    <w:rsid w:val="00B250EF"/>
    <w:pPr>
      <w:spacing w:before="100" w:beforeAutospacing="1" w:after="100" w:afterAutospacing="1" w:line="240" w:lineRule="auto"/>
    </w:pPr>
    <w:rPr>
      <w:rFonts w:ascii="Arial" w:eastAsia="Times New Roman" w:hAnsi="Arial" w:cs="Arial"/>
      <w:sz w:val="24"/>
      <w:szCs w:val="24"/>
      <w:lang w:eastAsia="hu-HU"/>
    </w:rPr>
  </w:style>
  <w:style w:type="paragraph" w:customStyle="1" w:styleId="xl123">
    <w:name w:val="xl123"/>
    <w:basedOn w:val="Norml"/>
    <w:rsid w:val="00B250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FF"/>
      <w:sz w:val="24"/>
      <w:szCs w:val="24"/>
      <w:lang w:eastAsia="hu-HU"/>
    </w:rPr>
  </w:style>
  <w:style w:type="paragraph" w:customStyle="1" w:styleId="xl124">
    <w:name w:val="xl124"/>
    <w:basedOn w:val="Norml"/>
    <w:rsid w:val="00B250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FF"/>
      <w:sz w:val="24"/>
      <w:szCs w:val="24"/>
      <w:lang w:eastAsia="hu-HU"/>
    </w:rPr>
  </w:style>
  <w:style w:type="paragraph" w:customStyle="1" w:styleId="xl125">
    <w:name w:val="xl125"/>
    <w:basedOn w:val="Norml"/>
    <w:rsid w:val="00B250EF"/>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FFFFFF"/>
      <w:sz w:val="24"/>
      <w:szCs w:val="24"/>
      <w:lang w:eastAsia="hu-HU"/>
    </w:rPr>
  </w:style>
  <w:style w:type="paragraph" w:customStyle="1" w:styleId="xl126">
    <w:name w:val="xl126"/>
    <w:basedOn w:val="Norml"/>
    <w:rsid w:val="00B250EF"/>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FFFFFF"/>
      <w:sz w:val="24"/>
      <w:szCs w:val="24"/>
      <w:lang w:eastAsia="hu-HU"/>
    </w:rPr>
  </w:style>
  <w:style w:type="paragraph" w:customStyle="1" w:styleId="xl127">
    <w:name w:val="xl127"/>
    <w:basedOn w:val="Norml"/>
    <w:rsid w:val="00B250EF"/>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FFFFFF"/>
      <w:sz w:val="24"/>
      <w:szCs w:val="24"/>
      <w:lang w:eastAsia="hu-HU"/>
    </w:rPr>
  </w:style>
  <w:style w:type="paragraph" w:styleId="Tartalomjegyzkcmsora">
    <w:name w:val="TOC Heading"/>
    <w:basedOn w:val="Cmsor1"/>
    <w:next w:val="Norml"/>
    <w:uiPriority w:val="39"/>
    <w:semiHidden/>
    <w:unhideWhenUsed/>
    <w:qFormat/>
    <w:rsid w:val="00B250EF"/>
    <w:pPr>
      <w:keepNext/>
      <w:keepLines/>
      <w:spacing w:before="480" w:beforeAutospacing="0" w:after="0" w:afterAutospacing="0" w:line="276" w:lineRule="auto"/>
      <w:outlineLvl w:val="9"/>
    </w:pPr>
    <w:rPr>
      <w:rFonts w:ascii="Cambria" w:hAnsi="Cambria"/>
      <w:color w:val="365F91"/>
      <w:kern w:val="0"/>
      <w:sz w:val="28"/>
      <w:szCs w:val="28"/>
    </w:rPr>
  </w:style>
  <w:style w:type="paragraph" w:styleId="TJ1">
    <w:name w:val="toc 1"/>
    <w:basedOn w:val="Norml"/>
    <w:next w:val="Norml"/>
    <w:autoRedefine/>
    <w:uiPriority w:val="39"/>
    <w:unhideWhenUsed/>
    <w:rsid w:val="001459F4"/>
    <w:pPr>
      <w:tabs>
        <w:tab w:val="right" w:leader="dot" w:pos="9062"/>
      </w:tabs>
      <w:jc w:val="both"/>
    </w:pPr>
    <w:rPr>
      <w:noProof/>
    </w:rPr>
  </w:style>
  <w:style w:type="paragraph" w:styleId="TJ2">
    <w:name w:val="toc 2"/>
    <w:basedOn w:val="Norml"/>
    <w:next w:val="Norml"/>
    <w:autoRedefine/>
    <w:uiPriority w:val="39"/>
    <w:unhideWhenUsed/>
    <w:rsid w:val="00B250EF"/>
    <w:pPr>
      <w:ind w:left="220"/>
    </w:pPr>
  </w:style>
  <w:style w:type="paragraph" w:customStyle="1" w:styleId="font7">
    <w:name w:val="font7"/>
    <w:basedOn w:val="Norml"/>
    <w:rsid w:val="00B250EF"/>
    <w:pPr>
      <w:spacing w:before="100" w:beforeAutospacing="1" w:after="100" w:afterAutospacing="1" w:line="240" w:lineRule="auto"/>
    </w:pPr>
    <w:rPr>
      <w:rFonts w:ascii="Arial" w:eastAsia="Times New Roman" w:hAnsi="Arial" w:cs="Arial"/>
      <w:sz w:val="20"/>
      <w:szCs w:val="20"/>
      <w:lang w:eastAsia="hu-HU"/>
    </w:rPr>
  </w:style>
  <w:style w:type="character" w:customStyle="1" w:styleId="Internet-hivatkozs">
    <w:name w:val="Internet-hivatkozás"/>
    <w:uiPriority w:val="99"/>
    <w:unhideWhenUsed/>
    <w:rsid w:val="00B250EF"/>
    <w:rPr>
      <w:color w:val="0000FF"/>
      <w:u w:val="single"/>
    </w:rPr>
  </w:style>
  <w:style w:type="character" w:customStyle="1" w:styleId="kiemelt-szoveg">
    <w:name w:val="kiemelt-szoveg"/>
    <w:basedOn w:val="Bekezdsalapbettpusa"/>
    <w:rsid w:val="00387EA3"/>
  </w:style>
  <w:style w:type="paragraph" w:styleId="Listaszerbekezds">
    <w:name w:val="List Paragraph"/>
    <w:basedOn w:val="Norml"/>
    <w:uiPriority w:val="34"/>
    <w:qFormat/>
    <w:rsid w:val="00E44E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09949">
      <w:bodyDiv w:val="1"/>
      <w:marLeft w:val="0"/>
      <w:marRight w:val="0"/>
      <w:marTop w:val="0"/>
      <w:marBottom w:val="0"/>
      <w:divBdr>
        <w:top w:val="none" w:sz="0" w:space="0" w:color="auto"/>
        <w:left w:val="none" w:sz="0" w:space="0" w:color="auto"/>
        <w:bottom w:val="none" w:sz="0" w:space="0" w:color="auto"/>
        <w:right w:val="none" w:sz="0" w:space="0" w:color="auto"/>
      </w:divBdr>
    </w:div>
    <w:div w:id="685904193">
      <w:bodyDiv w:val="1"/>
      <w:marLeft w:val="0"/>
      <w:marRight w:val="0"/>
      <w:marTop w:val="0"/>
      <w:marBottom w:val="0"/>
      <w:divBdr>
        <w:top w:val="none" w:sz="0" w:space="0" w:color="auto"/>
        <w:left w:val="none" w:sz="0" w:space="0" w:color="auto"/>
        <w:bottom w:val="none" w:sz="0" w:space="0" w:color="auto"/>
        <w:right w:val="none" w:sz="0" w:space="0" w:color="auto"/>
      </w:divBdr>
    </w:div>
    <w:div w:id="1193224158">
      <w:bodyDiv w:val="1"/>
      <w:marLeft w:val="0"/>
      <w:marRight w:val="0"/>
      <w:marTop w:val="0"/>
      <w:marBottom w:val="0"/>
      <w:divBdr>
        <w:top w:val="none" w:sz="0" w:space="0" w:color="auto"/>
        <w:left w:val="none" w:sz="0" w:space="0" w:color="auto"/>
        <w:bottom w:val="none" w:sz="0" w:space="0" w:color="auto"/>
        <w:right w:val="none" w:sz="0" w:space="0" w:color="auto"/>
      </w:divBdr>
    </w:div>
    <w:div w:id="1316714723">
      <w:bodyDiv w:val="1"/>
      <w:marLeft w:val="0"/>
      <w:marRight w:val="0"/>
      <w:marTop w:val="0"/>
      <w:marBottom w:val="0"/>
      <w:divBdr>
        <w:top w:val="none" w:sz="0" w:space="0" w:color="auto"/>
        <w:left w:val="none" w:sz="0" w:space="0" w:color="auto"/>
        <w:bottom w:val="none" w:sz="0" w:space="0" w:color="auto"/>
        <w:right w:val="none" w:sz="0" w:space="0" w:color="auto"/>
      </w:divBdr>
    </w:div>
    <w:div w:id="1526019395">
      <w:bodyDiv w:val="1"/>
      <w:marLeft w:val="0"/>
      <w:marRight w:val="0"/>
      <w:marTop w:val="0"/>
      <w:marBottom w:val="0"/>
      <w:divBdr>
        <w:top w:val="none" w:sz="0" w:space="0" w:color="auto"/>
        <w:left w:val="none" w:sz="0" w:space="0" w:color="auto"/>
        <w:bottom w:val="none" w:sz="0" w:space="0" w:color="auto"/>
        <w:right w:val="none" w:sz="0" w:space="0" w:color="auto"/>
      </w:divBdr>
    </w:div>
    <w:div w:id="1719275742">
      <w:bodyDiv w:val="1"/>
      <w:marLeft w:val="0"/>
      <w:marRight w:val="0"/>
      <w:marTop w:val="0"/>
      <w:marBottom w:val="0"/>
      <w:divBdr>
        <w:top w:val="none" w:sz="0" w:space="0" w:color="auto"/>
        <w:left w:val="none" w:sz="0" w:space="0" w:color="auto"/>
        <w:bottom w:val="none" w:sz="0" w:space="0" w:color="auto"/>
        <w:right w:val="none" w:sz="0" w:space="0" w:color="auto"/>
      </w:divBdr>
    </w:div>
    <w:div w:id="1801259955">
      <w:bodyDiv w:val="1"/>
      <w:marLeft w:val="0"/>
      <w:marRight w:val="0"/>
      <w:marTop w:val="0"/>
      <w:marBottom w:val="0"/>
      <w:divBdr>
        <w:top w:val="none" w:sz="0" w:space="0" w:color="auto"/>
        <w:left w:val="none" w:sz="0" w:space="0" w:color="auto"/>
        <w:bottom w:val="none" w:sz="0" w:space="0" w:color="auto"/>
        <w:right w:val="none" w:sz="0" w:space="0" w:color="auto"/>
      </w:divBdr>
    </w:div>
    <w:div w:id="1908296647">
      <w:bodyDiv w:val="1"/>
      <w:marLeft w:val="0"/>
      <w:marRight w:val="0"/>
      <w:marTop w:val="0"/>
      <w:marBottom w:val="0"/>
      <w:divBdr>
        <w:top w:val="none" w:sz="0" w:space="0" w:color="auto"/>
        <w:left w:val="none" w:sz="0" w:space="0" w:color="auto"/>
        <w:bottom w:val="none" w:sz="0" w:space="0" w:color="auto"/>
        <w:right w:val="none" w:sz="0" w:space="0" w:color="auto"/>
      </w:divBdr>
    </w:div>
    <w:div w:id="1935278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hevizmarketing.h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11FFFF-BF10-42B0-ABD1-D7689BEBF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5250</Words>
  <Characters>36227</Characters>
  <Application>Microsoft Office Word</Application>
  <DocSecurity>0</DocSecurity>
  <Lines>301</Lines>
  <Paragraphs>82</Paragraphs>
  <ScaleCrop>false</ScaleCrop>
  <HeadingPairs>
    <vt:vector size="2" baseType="variant">
      <vt:variant>
        <vt:lpstr>Cím</vt:lpstr>
      </vt:variant>
      <vt:variant>
        <vt:i4>1</vt:i4>
      </vt:variant>
    </vt:vector>
  </HeadingPairs>
  <TitlesOfParts>
    <vt:vector size="1" baseType="lpstr">
      <vt:lpstr/>
    </vt:vector>
  </TitlesOfParts>
  <Company>WXPEE</Company>
  <LinksUpToDate>false</LinksUpToDate>
  <CharactersWithSpaces>41395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Orsolya</dc:creator>
  <cp:lastModifiedBy>Windows-felhasználó</cp:lastModifiedBy>
  <cp:revision>2</cp:revision>
  <cp:lastPrinted>2020-01-24T10:15:00Z</cp:lastPrinted>
  <dcterms:created xsi:type="dcterms:W3CDTF">2020-04-20T12:18:00Z</dcterms:created>
  <dcterms:modified xsi:type="dcterms:W3CDTF">2020-04-20T12:18:00Z</dcterms:modified>
</cp:coreProperties>
</file>