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B12CDF" w:rsidRDefault="00BD4BD3" w:rsidP="00BD4BD3">
      <w:pPr>
        <w:spacing w:after="0" w:line="240" w:lineRule="auto"/>
        <w:jc w:val="both"/>
        <w:rPr>
          <w:rFonts w:ascii="Arial" w:hAnsi="Arial" w:cs="Arial"/>
          <w:sz w:val="24"/>
          <w:szCs w:val="24"/>
        </w:rPr>
      </w:pPr>
      <w:r w:rsidRPr="00B12CDF">
        <w:rPr>
          <w:rFonts w:ascii="Arial" w:hAnsi="Arial" w:cs="Arial"/>
          <w:sz w:val="24"/>
          <w:szCs w:val="24"/>
        </w:rPr>
        <w:t xml:space="preserve">Iktatószám: </w:t>
      </w:r>
      <w:r w:rsidR="008111B2">
        <w:rPr>
          <w:rFonts w:ascii="Arial" w:hAnsi="Arial" w:cs="Arial"/>
          <w:sz w:val="24"/>
          <w:szCs w:val="24"/>
        </w:rPr>
        <w:t>HTO/</w:t>
      </w:r>
      <w:r w:rsidR="00C3046E">
        <w:rPr>
          <w:rFonts w:ascii="Arial" w:hAnsi="Arial" w:cs="Arial"/>
          <w:sz w:val="24"/>
          <w:szCs w:val="24"/>
        </w:rPr>
        <w:t>1640-1</w:t>
      </w:r>
      <w:r w:rsidR="00FA33D8" w:rsidRPr="00B12CDF">
        <w:rPr>
          <w:rFonts w:ascii="Arial" w:hAnsi="Arial" w:cs="Arial"/>
          <w:sz w:val="24"/>
          <w:szCs w:val="24"/>
        </w:rPr>
        <w:t>/201</w:t>
      </w:r>
      <w:r w:rsidR="00061317">
        <w:rPr>
          <w:rFonts w:ascii="Arial" w:hAnsi="Arial" w:cs="Arial"/>
          <w:sz w:val="24"/>
          <w:szCs w:val="24"/>
        </w:rPr>
        <w:t>5</w:t>
      </w:r>
      <w:r w:rsidR="00FA33D8" w:rsidRPr="00B12CDF">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9B4EE1">
        <w:rPr>
          <w:rFonts w:ascii="Arial" w:hAnsi="Arial" w:cs="Arial"/>
          <w:b/>
          <w:sz w:val="24"/>
          <w:szCs w:val="24"/>
        </w:rPr>
        <w:t>5</w:t>
      </w:r>
      <w:r w:rsidR="00113CBB" w:rsidRPr="00B12CDF">
        <w:rPr>
          <w:rFonts w:ascii="Arial" w:hAnsi="Arial" w:cs="Arial"/>
          <w:b/>
          <w:sz w:val="24"/>
          <w:szCs w:val="24"/>
        </w:rPr>
        <w:t>.</w:t>
      </w:r>
      <w:r w:rsidR="00E56586" w:rsidRPr="00B12CDF">
        <w:rPr>
          <w:rFonts w:ascii="Arial" w:hAnsi="Arial" w:cs="Arial"/>
          <w:b/>
          <w:sz w:val="24"/>
          <w:szCs w:val="24"/>
        </w:rPr>
        <w:t xml:space="preserve"> </w:t>
      </w:r>
      <w:r w:rsidR="009B4EE1">
        <w:rPr>
          <w:rFonts w:ascii="Arial" w:hAnsi="Arial" w:cs="Arial"/>
          <w:b/>
          <w:sz w:val="24"/>
          <w:szCs w:val="24"/>
        </w:rPr>
        <w:t>november 26-a</w:t>
      </w:r>
      <w:r w:rsidR="00FE2A2D">
        <w:rPr>
          <w:rFonts w:ascii="Arial" w:hAnsi="Arial" w:cs="Arial"/>
          <w:b/>
          <w:sz w:val="24"/>
          <w:szCs w:val="24"/>
        </w:rPr>
        <w:t>i</w:t>
      </w:r>
      <w:r w:rsidR="00113CBB" w:rsidRPr="00B12CDF">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697BEB">
        <w:rPr>
          <w:rFonts w:ascii="Arial" w:hAnsi="Arial" w:cs="Arial"/>
          <w:sz w:val="24"/>
          <w:szCs w:val="24"/>
        </w:rPr>
        <w:t>Beszámoló a H</w:t>
      </w:r>
      <w:r w:rsidR="00061317">
        <w:rPr>
          <w:rFonts w:ascii="Arial" w:hAnsi="Arial" w:cs="Arial"/>
          <w:sz w:val="24"/>
          <w:szCs w:val="24"/>
        </w:rPr>
        <w:t>évízi Polgármesteri Hivatal 2015</w:t>
      </w:r>
      <w:r w:rsidR="00697BEB">
        <w:rPr>
          <w:rFonts w:ascii="Arial" w:hAnsi="Arial" w:cs="Arial"/>
          <w:sz w:val="24"/>
          <w:szCs w:val="24"/>
        </w:rPr>
        <w:t xml:space="preserve">. évi adóigazgatási tevékenységéről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Fábiánné Hoffman Márta</w:t>
      </w:r>
      <w:r w:rsidR="00C91785">
        <w:rPr>
          <w:rFonts w:ascii="Arial" w:hAnsi="Arial" w:cs="Arial"/>
          <w:sz w:val="24"/>
          <w:szCs w:val="24"/>
        </w:rPr>
        <w:t xml:space="preserve"> mb.</w:t>
      </w:r>
      <w:r w:rsidR="00B51EE9">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54315A"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Panka-Kovács Melinda hatósági ügyintéző</w:t>
      </w:r>
    </w:p>
    <w:p w:rsidR="00A66B99" w:rsidRPr="00416625"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adóügyi és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2D4BC8" w:rsidRDefault="008415CA" w:rsidP="00867227">
      <w:pPr>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AD759D" w:rsidRPr="005D7AF8"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E90B4A" w:rsidRPr="00B12CDF" w:rsidRDefault="00E90B4A" w:rsidP="00867227">
      <w:pPr>
        <w:autoSpaceDE w:val="0"/>
        <w:autoSpaceDN w:val="0"/>
        <w:adjustRightInd w:val="0"/>
        <w:spacing w:after="0" w:line="300" w:lineRule="exact"/>
        <w:jc w:val="both"/>
        <w:rPr>
          <w:rFonts w:ascii="Arial" w:hAnsi="Arial" w:cs="Arial"/>
          <w:sz w:val="24"/>
          <w:szCs w:val="24"/>
        </w:rPr>
      </w:pPr>
    </w:p>
    <w:p w:rsidR="00E56586" w:rsidRDefault="00E56586" w:rsidP="00867227">
      <w:pPr>
        <w:autoSpaceDE w:val="0"/>
        <w:autoSpaceDN w:val="0"/>
        <w:adjustRightInd w:val="0"/>
        <w:spacing w:after="0" w:line="300" w:lineRule="exact"/>
        <w:jc w:val="both"/>
        <w:rPr>
          <w:rFonts w:ascii="Arial" w:hAnsi="Arial" w:cs="Arial"/>
          <w:sz w:val="24"/>
          <w:szCs w:val="24"/>
        </w:rPr>
      </w:pPr>
    </w:p>
    <w:p w:rsidR="00BD4BD3" w:rsidRPr="002D4BC8" w:rsidRDefault="00BD4BD3" w:rsidP="00BD4BD3">
      <w:pPr>
        <w:autoSpaceDE w:val="0"/>
        <w:autoSpaceDN w:val="0"/>
        <w:adjustRightInd w:val="0"/>
        <w:spacing w:after="0" w:line="240" w:lineRule="auto"/>
        <w:jc w:val="both"/>
        <w:rPr>
          <w:rFonts w:ascii="Arial" w:hAnsi="Arial" w:cs="Arial"/>
          <w:sz w:val="24"/>
          <w:szCs w:val="24"/>
        </w:rPr>
      </w:pPr>
    </w:p>
    <w:p w:rsidR="00A101F2" w:rsidRPr="00227CE7" w:rsidRDefault="00A101F2" w:rsidP="00BD4BD3">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sz w:val="24"/>
          <w:szCs w:val="24"/>
        </w:rPr>
      </w:pPr>
    </w:p>
    <w:p w:rsidR="00BD4BD3" w:rsidRPr="002D4BC8" w:rsidRDefault="00BD4BD3"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BB7DB2">
      <w:pPr>
        <w:tabs>
          <w:tab w:val="center" w:pos="7797"/>
        </w:tabs>
        <w:spacing w:after="0" w:line="240" w:lineRule="auto"/>
        <w:jc w:val="both"/>
        <w:rPr>
          <w:rFonts w:ascii="Arial" w:hAnsi="Arial" w:cs="Arial"/>
          <w:sz w:val="24"/>
          <w:szCs w:val="24"/>
        </w:rPr>
      </w:pPr>
      <w:r>
        <w:rPr>
          <w:rFonts w:ascii="Arial" w:hAnsi="Arial" w:cs="Arial"/>
          <w:sz w:val="24"/>
          <w:szCs w:val="24"/>
        </w:rPr>
        <w:tab/>
      </w:r>
      <w:r w:rsidR="003D5C9B">
        <w:rPr>
          <w:rFonts w:ascii="Arial" w:hAnsi="Arial" w:cs="Arial"/>
          <w:sz w:val="24"/>
          <w:szCs w:val="24"/>
        </w:rPr>
        <w:t>d</w:t>
      </w:r>
      <w:r w:rsidR="00BB7DB2" w:rsidRPr="00BB7DB2">
        <w:rPr>
          <w:rFonts w:ascii="Arial" w:hAnsi="Arial" w:cs="Arial"/>
          <w:sz w:val="24"/>
          <w:szCs w:val="24"/>
        </w:rPr>
        <w:t>r. Tüske Róbert</w:t>
      </w:r>
    </w:p>
    <w:p w:rsidR="00E90B4A" w:rsidRPr="00BB7DB2" w:rsidRDefault="00BB7DB2" w:rsidP="00BB7DB2">
      <w:pPr>
        <w:tabs>
          <w:tab w:val="left" w:pos="7305"/>
        </w:tabs>
        <w:spacing w:after="0" w:line="240" w:lineRule="auto"/>
        <w:rPr>
          <w:rFonts w:ascii="Arial" w:hAnsi="Arial" w:cs="Arial"/>
          <w:sz w:val="24"/>
          <w:szCs w:val="24"/>
        </w:rPr>
      </w:pPr>
      <w:r w:rsidRPr="00BB7DB2">
        <w:rPr>
          <w:rFonts w:ascii="Arial" w:hAnsi="Arial" w:cs="Arial"/>
          <w:sz w:val="24"/>
          <w:szCs w:val="24"/>
        </w:rPr>
        <w:tab/>
      </w:r>
      <w:r>
        <w:rPr>
          <w:rFonts w:ascii="Arial" w:hAnsi="Arial" w:cs="Arial"/>
          <w:sz w:val="24"/>
          <w:szCs w:val="24"/>
        </w:rPr>
        <w:t xml:space="preserve"> </w:t>
      </w:r>
      <w:r w:rsidR="00D17D48">
        <w:rPr>
          <w:rFonts w:ascii="Arial" w:hAnsi="Arial" w:cs="Arial"/>
          <w:sz w:val="24"/>
          <w:szCs w:val="24"/>
        </w:rPr>
        <w:t xml:space="preserve"> </w:t>
      </w:r>
      <w:r w:rsidRPr="00BB7DB2">
        <w:rPr>
          <w:rFonts w:ascii="Arial" w:hAnsi="Arial" w:cs="Arial"/>
          <w:sz w:val="24"/>
          <w:szCs w:val="24"/>
        </w:rPr>
        <w:t>jegyző</w:t>
      </w:r>
    </w:p>
    <w:p w:rsidR="00B12CDF" w:rsidRDefault="00157B65" w:rsidP="00BD4BD3">
      <w:pPr>
        <w:spacing w:after="0" w:line="240" w:lineRule="auto"/>
        <w:rPr>
          <w:rFonts w:ascii="Arial" w:hAnsi="Arial" w:cs="Arial"/>
          <w:sz w:val="24"/>
          <w:szCs w:val="24"/>
        </w:rPr>
      </w:pPr>
      <w:r>
        <w:rPr>
          <w:rFonts w:ascii="Arial" w:hAnsi="Arial" w:cs="Arial"/>
          <w:sz w:val="24"/>
          <w:szCs w:val="24"/>
        </w:rPr>
        <w:br w:type="page"/>
      </w:r>
    </w:p>
    <w:p w:rsidR="00BD6670" w:rsidRDefault="00BD6670" w:rsidP="00BD4BD3">
      <w:pPr>
        <w:spacing w:after="0" w:line="240" w:lineRule="auto"/>
        <w:rPr>
          <w:rFonts w:ascii="Arial" w:hAnsi="Arial" w:cs="Arial"/>
          <w:sz w:val="24"/>
          <w:szCs w:val="24"/>
        </w:rPr>
      </w:pPr>
    </w:p>
    <w:p w:rsidR="00BD6670" w:rsidRDefault="00BD6670" w:rsidP="00BD4BD3">
      <w:pPr>
        <w:spacing w:after="0" w:line="240" w:lineRule="auto"/>
        <w:rPr>
          <w:rFonts w:ascii="Arial" w:hAnsi="Arial" w:cs="Arial"/>
          <w:sz w:val="24"/>
          <w:szCs w:val="24"/>
        </w:rPr>
      </w:pPr>
    </w:p>
    <w:p w:rsidR="000174EF" w:rsidRDefault="00AC481D" w:rsidP="00E90B4A">
      <w:pPr>
        <w:spacing w:after="0" w:line="240" w:lineRule="auto"/>
        <w:jc w:val="center"/>
        <w:rPr>
          <w:rFonts w:ascii="Arial" w:hAnsi="Arial" w:cs="Arial"/>
          <w:b/>
          <w:sz w:val="24"/>
          <w:szCs w:val="24"/>
        </w:rPr>
      </w:pPr>
      <w:r>
        <w:rPr>
          <w:rFonts w:ascii="Arial" w:hAnsi="Arial" w:cs="Arial"/>
          <w:b/>
          <w:sz w:val="24"/>
          <w:szCs w:val="24"/>
        </w:rPr>
        <w:t>1</w:t>
      </w:r>
      <w:r w:rsidR="00E90B4A">
        <w:rPr>
          <w:rFonts w:ascii="Arial" w:hAnsi="Arial" w:cs="Arial"/>
          <w:b/>
          <w:sz w:val="24"/>
          <w:szCs w:val="24"/>
        </w:rPr>
        <w:t>.</w:t>
      </w:r>
    </w:p>
    <w:p w:rsidR="00E90B4A" w:rsidRDefault="00E90B4A" w:rsidP="00E90B4A">
      <w:pPr>
        <w:spacing w:after="0" w:line="240" w:lineRule="auto"/>
        <w:jc w:val="center"/>
        <w:rPr>
          <w:rFonts w:ascii="Arial" w:hAnsi="Arial" w:cs="Arial"/>
          <w:b/>
          <w:sz w:val="24"/>
          <w:szCs w:val="24"/>
        </w:rPr>
      </w:pPr>
    </w:p>
    <w:p w:rsidR="00E90B4A" w:rsidRDefault="00E90B4A" w:rsidP="00E90B4A">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E90B4A" w:rsidRDefault="00E90B4A" w:rsidP="00E90B4A">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Default="006E395B" w:rsidP="006E395B">
      <w:pPr>
        <w:spacing w:after="0" w:line="240" w:lineRule="auto"/>
        <w:jc w:val="both"/>
        <w:rPr>
          <w:rFonts w:ascii="Arial" w:hAnsi="Arial" w:cs="Arial"/>
          <w:b/>
        </w:rPr>
      </w:pPr>
      <w:r w:rsidRPr="006E395B">
        <w:rPr>
          <w:rFonts w:ascii="Arial" w:hAnsi="Arial" w:cs="Arial"/>
          <w:b/>
        </w:rPr>
        <w:t>Tisztelt Képviselő-testület!</w:t>
      </w:r>
    </w:p>
    <w:p w:rsidR="005A4B5C" w:rsidRDefault="005A4B5C" w:rsidP="006E395B">
      <w:pPr>
        <w:spacing w:after="0" w:line="240" w:lineRule="auto"/>
        <w:jc w:val="both"/>
        <w:rPr>
          <w:rFonts w:ascii="Arial" w:hAnsi="Arial" w:cs="Arial"/>
          <w:b/>
        </w:rPr>
      </w:pPr>
    </w:p>
    <w:p w:rsidR="005A4B5C" w:rsidRPr="006E395B" w:rsidRDefault="005A4B5C" w:rsidP="006E395B">
      <w:pPr>
        <w:spacing w:after="0" w:line="240" w:lineRule="auto"/>
        <w:jc w:val="both"/>
        <w:rPr>
          <w:rFonts w:ascii="Arial" w:hAnsi="Arial" w:cs="Arial"/>
          <w:b/>
        </w:rPr>
      </w:pPr>
    </w:p>
    <w:p w:rsidR="006E395B" w:rsidRDefault="00632522" w:rsidP="000660BC">
      <w:pPr>
        <w:spacing w:after="0"/>
        <w:jc w:val="both"/>
        <w:rPr>
          <w:rFonts w:ascii="Arial" w:hAnsi="Arial" w:cs="Arial"/>
        </w:rPr>
      </w:pPr>
      <w:r>
        <w:rPr>
          <w:rFonts w:ascii="Arial" w:hAnsi="Arial" w:cs="Arial"/>
        </w:rPr>
        <w:t>A helyi önkormányzatok és szerve</w:t>
      </w:r>
      <w:r w:rsidR="0062074C">
        <w:rPr>
          <w:rFonts w:ascii="Arial" w:hAnsi="Arial" w:cs="Arial"/>
        </w:rPr>
        <w:t>ik, a köztársasági megbízottak,</w:t>
      </w:r>
      <w:r>
        <w:rPr>
          <w:rFonts w:ascii="Arial" w:hAnsi="Arial" w:cs="Arial"/>
        </w:rPr>
        <w:t xml:space="preserve"> valamint egyes centrális alárendeltségű sze</w:t>
      </w:r>
      <w:r w:rsidR="0062074C">
        <w:rPr>
          <w:rFonts w:ascii="Arial" w:hAnsi="Arial" w:cs="Arial"/>
        </w:rPr>
        <w:t>rvek feladat- és hatásköreiről</w:t>
      </w:r>
      <w:r>
        <w:rPr>
          <w:rFonts w:ascii="Arial" w:hAnsi="Arial" w:cs="Arial"/>
        </w:rPr>
        <w:t xml:space="preserve"> szóló 1991. évi XX</w:t>
      </w:r>
      <w:r w:rsidR="006E4422">
        <w:rPr>
          <w:rFonts w:ascii="Arial" w:hAnsi="Arial" w:cs="Arial"/>
        </w:rPr>
        <w:t>.</w:t>
      </w:r>
      <w:r>
        <w:rPr>
          <w:rFonts w:ascii="Arial" w:hAnsi="Arial" w:cs="Arial"/>
        </w:rPr>
        <w:t xml:space="preserve"> törvény </w:t>
      </w:r>
      <w:r w:rsidR="00061317">
        <w:rPr>
          <w:rFonts w:ascii="Arial" w:hAnsi="Arial" w:cs="Arial"/>
        </w:rPr>
        <w:t xml:space="preserve">138. </w:t>
      </w:r>
      <w:r w:rsidR="008F033F">
        <w:rPr>
          <w:rFonts w:ascii="Arial" w:hAnsi="Arial" w:cs="Arial"/>
        </w:rPr>
        <w:t xml:space="preserve">§ (3) bekezdésének g) pontja szerint a Képviselő-testület a jegyző beszámoltatása útján ellenőrzi az önkormányzati adóhatóság tevékenységét </w:t>
      </w:r>
      <w:r>
        <w:rPr>
          <w:rFonts w:ascii="Arial" w:hAnsi="Arial" w:cs="Arial"/>
        </w:rPr>
        <w:t xml:space="preserve">és tájékoztatja a lakosságot a helyi adókból származó bevételek összegéről. </w:t>
      </w:r>
      <w:r w:rsidR="006E4422">
        <w:rPr>
          <w:rFonts w:ascii="Arial" w:hAnsi="Arial" w:cs="Arial"/>
        </w:rPr>
        <w:t xml:space="preserve"> A helyi adókról szóló 1990. évi C. törvény (a továbbiakban: </w:t>
      </w:r>
      <w:proofErr w:type="spellStart"/>
      <w:r w:rsidR="006E4422">
        <w:rPr>
          <w:rFonts w:ascii="Arial" w:hAnsi="Arial" w:cs="Arial"/>
        </w:rPr>
        <w:t>Htv</w:t>
      </w:r>
      <w:proofErr w:type="spellEnd"/>
      <w:r w:rsidR="006E4422">
        <w:rPr>
          <w:rFonts w:ascii="Arial" w:hAnsi="Arial" w:cs="Arial"/>
        </w:rPr>
        <w:t>.) 8. § (2) bekezdés</w:t>
      </w:r>
      <w:r w:rsidR="00871885">
        <w:rPr>
          <w:rFonts w:ascii="Arial" w:hAnsi="Arial" w:cs="Arial"/>
        </w:rPr>
        <w:t xml:space="preserve">e alapján az önkormányzat a beszedett adó összegéről évenként köteles a költségvetési beszámoló részeként a település lakosságát tájékoztatni. </w:t>
      </w:r>
    </w:p>
    <w:p w:rsidR="00632522" w:rsidRDefault="00632522" w:rsidP="000660BC">
      <w:pPr>
        <w:spacing w:after="0"/>
        <w:jc w:val="both"/>
        <w:rPr>
          <w:rFonts w:ascii="Arial" w:hAnsi="Arial" w:cs="Arial"/>
        </w:rPr>
      </w:pPr>
    </w:p>
    <w:p w:rsidR="00867227" w:rsidRDefault="00632522" w:rsidP="000660BC">
      <w:pPr>
        <w:spacing w:after="0"/>
        <w:jc w:val="both"/>
        <w:rPr>
          <w:rFonts w:ascii="Arial" w:hAnsi="Arial" w:cs="Arial"/>
        </w:rPr>
      </w:pPr>
      <w:r>
        <w:rPr>
          <w:rFonts w:ascii="Arial" w:hAnsi="Arial" w:cs="Arial"/>
        </w:rPr>
        <w:t>A helyi adóhatóság minden évben beszámolót terjeszt a Tisztelt Képviselő-testület el</w:t>
      </w:r>
      <w:r w:rsidR="00455198">
        <w:rPr>
          <w:rFonts w:ascii="Arial" w:hAnsi="Arial" w:cs="Arial"/>
        </w:rPr>
        <w:t>é</w:t>
      </w:r>
      <w:r>
        <w:rPr>
          <w:rFonts w:ascii="Arial" w:hAnsi="Arial" w:cs="Arial"/>
        </w:rPr>
        <w:t xml:space="preserve"> az önkormányzati adózás tapasztalatairól. </w:t>
      </w:r>
    </w:p>
    <w:p w:rsidR="00632522" w:rsidRDefault="00632522" w:rsidP="000660BC">
      <w:pPr>
        <w:spacing w:after="0"/>
        <w:jc w:val="both"/>
        <w:rPr>
          <w:rFonts w:ascii="Arial" w:hAnsi="Arial" w:cs="Arial"/>
        </w:rPr>
      </w:pPr>
      <w:r>
        <w:rPr>
          <w:rFonts w:ascii="Arial" w:hAnsi="Arial" w:cs="Arial"/>
        </w:rPr>
        <w:t xml:space="preserve">Az önkormányzati adóhatóság látja el az önkormányzat </w:t>
      </w:r>
      <w:r w:rsidR="008F033F">
        <w:rPr>
          <w:rFonts w:ascii="Arial" w:hAnsi="Arial" w:cs="Arial"/>
        </w:rPr>
        <w:t xml:space="preserve">és a hivatal </w:t>
      </w:r>
      <w:r>
        <w:rPr>
          <w:rFonts w:ascii="Arial" w:hAnsi="Arial" w:cs="Arial"/>
        </w:rPr>
        <w:t xml:space="preserve">működéséhez szükséges források jelentős részének beszedését, továbbá az állam által meghatározott </w:t>
      </w:r>
      <w:r w:rsidR="008F033F">
        <w:rPr>
          <w:rFonts w:ascii="Arial" w:hAnsi="Arial" w:cs="Arial"/>
        </w:rPr>
        <w:t>hatósági feladatokat</w:t>
      </w:r>
      <w:r>
        <w:rPr>
          <w:rFonts w:ascii="Arial" w:hAnsi="Arial" w:cs="Arial"/>
        </w:rPr>
        <w:t xml:space="preserve"> is végez (gépjárművek adóztatás, adók módjára behajtand</w:t>
      </w:r>
      <w:r w:rsidR="006E4422">
        <w:rPr>
          <w:rFonts w:ascii="Arial" w:hAnsi="Arial" w:cs="Arial"/>
        </w:rPr>
        <w:t xml:space="preserve">ó köztartozások beszedése stb.). </w:t>
      </w:r>
    </w:p>
    <w:p w:rsidR="006E4422" w:rsidRDefault="006E4422" w:rsidP="000660BC">
      <w:pPr>
        <w:spacing w:after="0"/>
        <w:jc w:val="both"/>
        <w:rPr>
          <w:rFonts w:ascii="Arial" w:hAnsi="Arial" w:cs="Arial"/>
        </w:rPr>
      </w:pPr>
    </w:p>
    <w:p w:rsidR="006E4422" w:rsidRDefault="006E4422" w:rsidP="000660BC">
      <w:pPr>
        <w:spacing w:after="0"/>
        <w:jc w:val="both"/>
        <w:rPr>
          <w:rFonts w:ascii="Arial" w:hAnsi="Arial" w:cs="Arial"/>
        </w:rPr>
      </w:pPr>
      <w:r>
        <w:rPr>
          <w:rFonts w:ascii="Arial" w:hAnsi="Arial" w:cs="Arial"/>
        </w:rPr>
        <w:t xml:space="preserve">A helyi adóbevételek kivetési jogát az Alaptörvény, részletes szabályait tekintve pedig keretjelleggel </w:t>
      </w:r>
      <w:r w:rsidR="00871885">
        <w:rPr>
          <w:rFonts w:ascii="Arial" w:hAnsi="Arial" w:cs="Arial"/>
        </w:rPr>
        <w:t xml:space="preserve">a </w:t>
      </w:r>
      <w:proofErr w:type="spellStart"/>
      <w:r w:rsidR="00871885">
        <w:rPr>
          <w:rFonts w:ascii="Arial" w:hAnsi="Arial" w:cs="Arial"/>
        </w:rPr>
        <w:t>Htv</w:t>
      </w:r>
      <w:proofErr w:type="spellEnd"/>
      <w:r w:rsidR="00871885">
        <w:rPr>
          <w:rFonts w:ascii="Arial" w:hAnsi="Arial" w:cs="Arial"/>
        </w:rPr>
        <w:t xml:space="preserve">. </w:t>
      </w:r>
      <w:r>
        <w:rPr>
          <w:rFonts w:ascii="Arial" w:hAnsi="Arial" w:cs="Arial"/>
        </w:rPr>
        <w:t>állapítja meg</w:t>
      </w:r>
      <w:r w:rsidR="00CD6E7F">
        <w:rPr>
          <w:rFonts w:ascii="Arial" w:hAnsi="Arial" w:cs="Arial"/>
        </w:rPr>
        <w:t>, amely lehetőséget teremt a helyi szuverén adóztatási jog gyakorlására.</w:t>
      </w:r>
      <w:r>
        <w:rPr>
          <w:rFonts w:ascii="Arial" w:hAnsi="Arial" w:cs="Arial"/>
        </w:rPr>
        <w:t xml:space="preserve"> </w:t>
      </w:r>
    </w:p>
    <w:p w:rsidR="00CD6E7F" w:rsidRDefault="00CD6E7F" w:rsidP="000660BC">
      <w:pPr>
        <w:spacing w:after="0"/>
        <w:jc w:val="both"/>
        <w:rPr>
          <w:rFonts w:ascii="Arial" w:hAnsi="Arial" w:cs="Arial"/>
        </w:rPr>
      </w:pPr>
      <w:r>
        <w:rPr>
          <w:rFonts w:ascii="Arial" w:hAnsi="Arial" w:cs="Arial"/>
        </w:rPr>
        <w:t xml:space="preserve">Hévíz Város Képviselő-testülete a törvényi felhatalmazás alapján </w:t>
      </w:r>
      <w:r w:rsidR="008C7CEC">
        <w:rPr>
          <w:rFonts w:ascii="Arial" w:hAnsi="Arial" w:cs="Arial"/>
        </w:rPr>
        <w:t xml:space="preserve">a 4/2010. (II.9.) rendeletével </w:t>
      </w:r>
      <w:r w:rsidR="00455198">
        <w:rPr>
          <w:rFonts w:ascii="Arial" w:hAnsi="Arial" w:cs="Arial"/>
        </w:rPr>
        <w:t xml:space="preserve">(a továbbiakban: </w:t>
      </w:r>
      <w:proofErr w:type="spellStart"/>
      <w:r w:rsidR="00455198">
        <w:rPr>
          <w:rFonts w:ascii="Arial" w:hAnsi="Arial" w:cs="Arial"/>
        </w:rPr>
        <w:t>Ör</w:t>
      </w:r>
      <w:proofErr w:type="spellEnd"/>
      <w:r w:rsidR="00455198">
        <w:rPr>
          <w:rFonts w:ascii="Arial" w:hAnsi="Arial" w:cs="Arial"/>
        </w:rPr>
        <w:t xml:space="preserve">.) </w:t>
      </w:r>
      <w:r w:rsidR="008C7CEC">
        <w:rPr>
          <w:rFonts w:ascii="Arial" w:hAnsi="Arial" w:cs="Arial"/>
        </w:rPr>
        <w:t>a</w:t>
      </w:r>
      <w:r w:rsidR="009B4EE1">
        <w:rPr>
          <w:rFonts w:ascii="Arial" w:hAnsi="Arial" w:cs="Arial"/>
        </w:rPr>
        <w:t>z alábbi helyi adókat működteti:</w:t>
      </w:r>
    </w:p>
    <w:p w:rsidR="008C7CEC" w:rsidRDefault="008C7CEC" w:rsidP="000660BC">
      <w:pPr>
        <w:spacing w:after="0"/>
        <w:jc w:val="both"/>
        <w:rPr>
          <w:rFonts w:ascii="Arial" w:hAnsi="Arial" w:cs="Arial"/>
        </w:rPr>
      </w:pPr>
    </w:p>
    <w:p w:rsidR="008C7CEC" w:rsidRDefault="008C7CEC" w:rsidP="000660BC">
      <w:pPr>
        <w:numPr>
          <w:ilvl w:val="0"/>
          <w:numId w:val="30"/>
        </w:numPr>
        <w:spacing w:after="0"/>
        <w:jc w:val="both"/>
        <w:rPr>
          <w:rFonts w:ascii="Arial" w:hAnsi="Arial" w:cs="Arial"/>
        </w:rPr>
      </w:pPr>
      <w:r>
        <w:rPr>
          <w:rFonts w:ascii="Arial" w:hAnsi="Arial" w:cs="Arial"/>
        </w:rPr>
        <w:t>építményadó</w:t>
      </w:r>
    </w:p>
    <w:p w:rsidR="008C7CEC" w:rsidRDefault="008C7CEC" w:rsidP="000660BC">
      <w:pPr>
        <w:numPr>
          <w:ilvl w:val="0"/>
          <w:numId w:val="30"/>
        </w:numPr>
        <w:spacing w:after="0"/>
        <w:jc w:val="both"/>
        <w:rPr>
          <w:rFonts w:ascii="Arial" w:hAnsi="Arial" w:cs="Arial"/>
        </w:rPr>
      </w:pPr>
      <w:r>
        <w:rPr>
          <w:rFonts w:ascii="Arial" w:hAnsi="Arial" w:cs="Arial"/>
        </w:rPr>
        <w:t>idegenforgalmi adó</w:t>
      </w:r>
    </w:p>
    <w:p w:rsidR="008C7CEC" w:rsidRDefault="008C7CEC" w:rsidP="000660BC">
      <w:pPr>
        <w:numPr>
          <w:ilvl w:val="0"/>
          <w:numId w:val="30"/>
        </w:numPr>
        <w:spacing w:after="0"/>
        <w:jc w:val="both"/>
        <w:rPr>
          <w:rFonts w:ascii="Arial" w:hAnsi="Arial" w:cs="Arial"/>
        </w:rPr>
      </w:pPr>
      <w:r>
        <w:rPr>
          <w:rFonts w:ascii="Arial" w:hAnsi="Arial" w:cs="Arial"/>
        </w:rPr>
        <w:t>iparűzési adó</w:t>
      </w:r>
    </w:p>
    <w:p w:rsidR="00455198" w:rsidRDefault="00455198" w:rsidP="000660BC">
      <w:pPr>
        <w:spacing w:after="0"/>
        <w:ind w:left="720"/>
        <w:jc w:val="both"/>
        <w:rPr>
          <w:rFonts w:ascii="Arial" w:hAnsi="Arial" w:cs="Arial"/>
        </w:rPr>
      </w:pPr>
    </w:p>
    <w:p w:rsidR="008C7CEC" w:rsidRDefault="008C7CEC" w:rsidP="000660BC">
      <w:pPr>
        <w:spacing w:after="0"/>
        <w:jc w:val="both"/>
        <w:rPr>
          <w:rFonts w:ascii="Arial" w:hAnsi="Arial" w:cs="Arial"/>
        </w:rPr>
      </w:pPr>
      <w:r>
        <w:rPr>
          <w:rFonts w:ascii="Arial" w:hAnsi="Arial" w:cs="Arial"/>
        </w:rPr>
        <w:t>Az adóigazgatási feladatok letéteményese a jegyző, így minden esetben az ő nevében jár el a</w:t>
      </w:r>
      <w:r w:rsidR="00D312EE">
        <w:rPr>
          <w:rFonts w:ascii="Arial" w:hAnsi="Arial" w:cs="Arial"/>
        </w:rPr>
        <w:t>z önkormányzati adóhatóság. 2013</w:t>
      </w:r>
      <w:r>
        <w:rPr>
          <w:rFonts w:ascii="Arial" w:hAnsi="Arial" w:cs="Arial"/>
        </w:rPr>
        <w:t>. január 1. napjától</w:t>
      </w:r>
      <w:r w:rsidR="00E16447">
        <w:rPr>
          <w:rFonts w:ascii="Arial" w:hAnsi="Arial" w:cs="Arial"/>
        </w:rPr>
        <w:t xml:space="preserve"> </w:t>
      </w:r>
      <w:r w:rsidR="001A2530">
        <w:rPr>
          <w:rFonts w:ascii="Arial" w:hAnsi="Arial" w:cs="Arial"/>
        </w:rPr>
        <w:t>az adóigazgatási feladatok</w:t>
      </w:r>
      <w:r w:rsidR="009B4EE1">
        <w:rPr>
          <w:rFonts w:ascii="Arial" w:hAnsi="Arial" w:cs="Arial"/>
        </w:rPr>
        <w:t>at</w:t>
      </w:r>
      <w:r w:rsidR="001A2530">
        <w:rPr>
          <w:rFonts w:ascii="Arial" w:hAnsi="Arial" w:cs="Arial"/>
        </w:rPr>
        <w:t xml:space="preserve"> a </w:t>
      </w:r>
      <w:r w:rsidR="00E16447">
        <w:rPr>
          <w:rFonts w:ascii="Arial" w:hAnsi="Arial" w:cs="Arial"/>
        </w:rPr>
        <w:t>Hatósági Osztály</w:t>
      </w:r>
      <w:r w:rsidR="009B4EE1">
        <w:rPr>
          <w:rFonts w:ascii="Arial" w:hAnsi="Arial" w:cs="Arial"/>
        </w:rPr>
        <w:t xml:space="preserve"> látja el</w:t>
      </w:r>
      <w:r w:rsidR="00BD4D1E">
        <w:rPr>
          <w:rFonts w:ascii="Arial" w:hAnsi="Arial" w:cs="Arial"/>
        </w:rPr>
        <w:t>, 4 fő ügyintézővel.</w:t>
      </w:r>
    </w:p>
    <w:p w:rsidR="00BD4D1E" w:rsidRPr="006E395B" w:rsidRDefault="00BD4D1E" w:rsidP="000660BC">
      <w:pPr>
        <w:spacing w:after="0"/>
        <w:jc w:val="both"/>
        <w:rPr>
          <w:rFonts w:ascii="Arial" w:hAnsi="Arial" w:cs="Arial"/>
        </w:rPr>
      </w:pPr>
      <w:r>
        <w:rPr>
          <w:rFonts w:ascii="Arial" w:hAnsi="Arial" w:cs="Arial"/>
        </w:rPr>
        <w:t>Kiemelt feladata: a költségvetési egyensúly fenntartása érdekében az önkormányzat adóbevételeinek a biztosítása, lehetőség szerinti növelése, a közigazgatási hatósági ügyintézés során a szolgáltató jelleg erősítése, szem előtt tartva a jogszerűség, hatékonyság, célszerűség követelményét.</w:t>
      </w:r>
    </w:p>
    <w:p w:rsidR="00BD4D1E" w:rsidRDefault="00BD4D1E" w:rsidP="000660BC">
      <w:pPr>
        <w:spacing w:after="0"/>
        <w:jc w:val="both"/>
        <w:rPr>
          <w:rFonts w:ascii="Arial" w:hAnsi="Arial" w:cs="Arial"/>
        </w:rPr>
      </w:pPr>
    </w:p>
    <w:p w:rsidR="00BD4D1E" w:rsidRPr="006A1891" w:rsidRDefault="00BD4D1E" w:rsidP="000660BC">
      <w:pPr>
        <w:spacing w:after="0"/>
        <w:jc w:val="both"/>
        <w:rPr>
          <w:rFonts w:ascii="Arial" w:hAnsi="Arial" w:cs="Arial"/>
          <w:color w:val="538135" w:themeColor="accent6" w:themeShade="BF"/>
          <w:sz w:val="16"/>
          <w:szCs w:val="16"/>
        </w:rPr>
      </w:pPr>
      <w:r>
        <w:rPr>
          <w:rFonts w:ascii="Arial" w:hAnsi="Arial" w:cs="Arial"/>
        </w:rPr>
        <w:t>Az adóügyek szám</w:t>
      </w:r>
      <w:r w:rsidR="000A5CBB">
        <w:rPr>
          <w:rFonts w:ascii="Arial" w:hAnsi="Arial" w:cs="Arial"/>
        </w:rPr>
        <w:t>a</w:t>
      </w:r>
      <w:r>
        <w:rPr>
          <w:rFonts w:ascii="Arial" w:hAnsi="Arial" w:cs="Arial"/>
        </w:rPr>
        <w:t xml:space="preserve"> </w:t>
      </w:r>
      <w:r w:rsidR="00C81C2D">
        <w:rPr>
          <w:rFonts w:ascii="Arial" w:hAnsi="Arial" w:cs="Arial"/>
        </w:rPr>
        <w:t>– elsősorban a havi rendszeres idegenforgalmi adóbevallások miatt – jelentős.</w:t>
      </w:r>
      <w:r w:rsidR="000542EE">
        <w:rPr>
          <w:rFonts w:ascii="Arial" w:hAnsi="Arial" w:cs="Arial"/>
        </w:rPr>
        <w:t xml:space="preserve"> </w:t>
      </w:r>
      <w:r w:rsidR="006A1891" w:rsidRPr="006C74B5">
        <w:rPr>
          <w:rFonts w:ascii="Arial" w:hAnsi="Arial" w:cs="Arial"/>
        </w:rPr>
        <w:t xml:space="preserve">2015. október 31. napi állapot alapján számszerűsítve 4.634 főszámos, 22.055 </w:t>
      </w:r>
      <w:proofErr w:type="spellStart"/>
      <w:r w:rsidR="006A1891" w:rsidRPr="006C74B5">
        <w:rPr>
          <w:rFonts w:ascii="Arial" w:hAnsi="Arial" w:cs="Arial"/>
        </w:rPr>
        <w:t>alszámos</w:t>
      </w:r>
      <w:proofErr w:type="spellEnd"/>
      <w:r w:rsidR="006A1891" w:rsidRPr="006C74B5">
        <w:rPr>
          <w:rFonts w:ascii="Arial" w:hAnsi="Arial" w:cs="Arial"/>
        </w:rPr>
        <w:t xml:space="preserve"> adóügyi dokumentum keletkezett</w:t>
      </w:r>
      <w:r w:rsidR="006A1891" w:rsidRPr="006A1891">
        <w:rPr>
          <w:rFonts w:ascii="Arial" w:hAnsi="Arial" w:cs="Arial"/>
          <w:color w:val="538135" w:themeColor="accent6" w:themeShade="BF"/>
        </w:rPr>
        <w:t>.</w:t>
      </w:r>
    </w:p>
    <w:p w:rsidR="002830E0" w:rsidRDefault="002830E0" w:rsidP="000660BC">
      <w:pPr>
        <w:spacing w:after="0"/>
        <w:jc w:val="both"/>
        <w:rPr>
          <w:rFonts w:ascii="Arial" w:hAnsi="Arial" w:cs="Arial"/>
        </w:rPr>
      </w:pPr>
    </w:p>
    <w:p w:rsidR="00867227" w:rsidRDefault="009A72DF" w:rsidP="000660BC">
      <w:pPr>
        <w:spacing w:after="0"/>
        <w:jc w:val="both"/>
        <w:rPr>
          <w:rFonts w:ascii="Arial" w:hAnsi="Arial" w:cs="Arial"/>
        </w:rPr>
      </w:pPr>
      <w:r>
        <w:rPr>
          <w:rFonts w:ascii="Arial" w:hAnsi="Arial" w:cs="Arial"/>
        </w:rPr>
        <w:t>J</w:t>
      </w:r>
      <w:r w:rsidR="00555F70">
        <w:rPr>
          <w:rFonts w:ascii="Arial" w:hAnsi="Arial" w:cs="Arial"/>
        </w:rPr>
        <w:t>elen beszámoló tényadatai a 2015</w:t>
      </w:r>
      <w:r>
        <w:rPr>
          <w:rFonts w:ascii="Arial" w:hAnsi="Arial" w:cs="Arial"/>
        </w:rPr>
        <w:t xml:space="preserve">. év I-III. negyedévi költségvetési beszámoló </w:t>
      </w:r>
      <w:r w:rsidR="00601809">
        <w:rPr>
          <w:rFonts w:ascii="Arial" w:hAnsi="Arial" w:cs="Arial"/>
        </w:rPr>
        <w:t>adatain alapulnak</w:t>
      </w:r>
      <w:r>
        <w:rPr>
          <w:rFonts w:ascii="Arial" w:hAnsi="Arial" w:cs="Arial"/>
        </w:rPr>
        <w:t>,</w:t>
      </w:r>
      <w:r w:rsidR="00861CAB">
        <w:rPr>
          <w:rFonts w:ascii="Arial" w:hAnsi="Arial" w:cs="Arial"/>
        </w:rPr>
        <w:t xml:space="preserve">illetve – könyvelés függvényében - </w:t>
      </w:r>
      <w:r w:rsidR="00555F70" w:rsidRPr="005F5EBB">
        <w:rPr>
          <w:rFonts w:ascii="Arial" w:hAnsi="Arial" w:cs="Arial"/>
        </w:rPr>
        <w:t>tartalmaz 2015</w:t>
      </w:r>
      <w:r w:rsidRPr="005F5EBB">
        <w:rPr>
          <w:rFonts w:ascii="Arial" w:hAnsi="Arial" w:cs="Arial"/>
        </w:rPr>
        <w:t>. október 31. napi adatot is.</w:t>
      </w:r>
    </w:p>
    <w:p w:rsidR="00867227" w:rsidRDefault="00867227" w:rsidP="006E395B">
      <w:pPr>
        <w:spacing w:after="0" w:line="240" w:lineRule="auto"/>
        <w:jc w:val="both"/>
        <w:rPr>
          <w:rFonts w:ascii="Arial" w:hAnsi="Arial" w:cs="Arial"/>
        </w:rPr>
      </w:pPr>
    </w:p>
    <w:p w:rsidR="00D4255F" w:rsidRDefault="001A2530" w:rsidP="001A2530">
      <w:pPr>
        <w:tabs>
          <w:tab w:val="center" w:pos="4422"/>
          <w:tab w:val="left" w:pos="6045"/>
        </w:tabs>
        <w:spacing w:after="0" w:line="240" w:lineRule="auto"/>
        <w:rPr>
          <w:rFonts w:ascii="Arial" w:hAnsi="Arial" w:cs="Arial"/>
          <w:b/>
          <w:sz w:val="24"/>
          <w:szCs w:val="24"/>
        </w:rPr>
      </w:pPr>
      <w:r>
        <w:rPr>
          <w:rFonts w:ascii="Arial" w:hAnsi="Arial" w:cs="Arial"/>
          <w:b/>
          <w:sz w:val="24"/>
          <w:szCs w:val="24"/>
        </w:rPr>
        <w:tab/>
      </w:r>
    </w:p>
    <w:p w:rsidR="00E63E43" w:rsidRDefault="00E63E43" w:rsidP="001A2530">
      <w:pPr>
        <w:tabs>
          <w:tab w:val="center" w:pos="4422"/>
          <w:tab w:val="left" w:pos="6045"/>
        </w:tabs>
        <w:spacing w:after="0" w:line="240" w:lineRule="auto"/>
        <w:rPr>
          <w:rFonts w:ascii="Arial" w:hAnsi="Arial" w:cs="Arial"/>
          <w:b/>
        </w:rPr>
      </w:pPr>
    </w:p>
    <w:p w:rsidR="001A2530" w:rsidRPr="007F01AB" w:rsidRDefault="00546EBF" w:rsidP="001A2530">
      <w:pPr>
        <w:tabs>
          <w:tab w:val="center" w:pos="4422"/>
          <w:tab w:val="left" w:pos="6045"/>
        </w:tabs>
        <w:spacing w:after="0" w:line="240" w:lineRule="auto"/>
        <w:rPr>
          <w:rFonts w:ascii="Arial" w:hAnsi="Arial" w:cs="Arial"/>
          <w:b/>
        </w:rPr>
      </w:pPr>
      <w:r>
        <w:rPr>
          <w:rFonts w:ascii="Arial" w:hAnsi="Arial" w:cs="Arial"/>
          <w:b/>
        </w:rPr>
        <w:lastRenderedPageBreak/>
        <w:t xml:space="preserve">1. </w:t>
      </w:r>
      <w:r w:rsidR="00BD6670">
        <w:rPr>
          <w:rFonts w:ascii="Arial" w:hAnsi="Arial" w:cs="Arial"/>
          <w:b/>
        </w:rPr>
        <w:t xml:space="preserve">       </w:t>
      </w:r>
      <w:r w:rsidR="001A2530" w:rsidRPr="007F01AB">
        <w:rPr>
          <w:rFonts w:ascii="Arial" w:hAnsi="Arial" w:cs="Arial"/>
          <w:b/>
        </w:rPr>
        <w:t>Adóbevételek ala</w:t>
      </w:r>
      <w:r w:rsidR="00067C84">
        <w:rPr>
          <w:rFonts w:ascii="Arial" w:hAnsi="Arial" w:cs="Arial"/>
          <w:b/>
        </w:rPr>
        <w:t>kulás 2015</w:t>
      </w:r>
      <w:r w:rsidR="001A2530" w:rsidRPr="007F01AB">
        <w:rPr>
          <w:rFonts w:ascii="Arial" w:hAnsi="Arial" w:cs="Arial"/>
          <w:b/>
        </w:rPr>
        <w:t>. évben</w:t>
      </w:r>
    </w:p>
    <w:p w:rsidR="001A2530" w:rsidRDefault="001A2530" w:rsidP="001A2530">
      <w:pPr>
        <w:tabs>
          <w:tab w:val="center" w:pos="4422"/>
          <w:tab w:val="left" w:pos="6045"/>
        </w:tabs>
        <w:spacing w:after="0" w:line="240" w:lineRule="auto"/>
        <w:rPr>
          <w:rFonts w:ascii="Arial" w:hAnsi="Arial" w:cs="Arial"/>
          <w:b/>
          <w:sz w:val="24"/>
          <w:szCs w:val="24"/>
        </w:rPr>
      </w:pPr>
    </w:p>
    <w:p w:rsidR="00E90B4A" w:rsidRDefault="001A2530" w:rsidP="002C7472">
      <w:pPr>
        <w:spacing w:after="0"/>
        <w:jc w:val="both"/>
        <w:rPr>
          <w:rFonts w:ascii="Arial" w:hAnsi="Arial" w:cs="Arial"/>
        </w:rPr>
      </w:pPr>
      <w:r w:rsidRPr="00546EBF">
        <w:rPr>
          <w:rFonts w:ascii="Arial" w:hAnsi="Arial" w:cs="Arial"/>
        </w:rPr>
        <w:t>Hévíz Város Önkormányzatának</w:t>
      </w:r>
      <w:r w:rsidRPr="001A2530">
        <w:rPr>
          <w:rFonts w:ascii="Arial" w:hAnsi="Arial" w:cs="Arial"/>
        </w:rPr>
        <w:t xml:space="preserve"> feladatellátást a saját bevételek</w:t>
      </w:r>
      <w:r w:rsidR="00731291">
        <w:rPr>
          <w:rFonts w:ascii="Arial" w:hAnsi="Arial" w:cs="Arial"/>
        </w:rPr>
        <w:t xml:space="preserve">, </w:t>
      </w:r>
      <w:r w:rsidR="009B4EE1">
        <w:rPr>
          <w:rFonts w:ascii="Arial" w:hAnsi="Arial" w:cs="Arial"/>
        </w:rPr>
        <w:t>legjelentősebb része a helyi adókból származó bevételek</w:t>
      </w:r>
      <w:r w:rsidRPr="001A2530">
        <w:rPr>
          <w:rFonts w:ascii="Arial" w:hAnsi="Arial" w:cs="Arial"/>
        </w:rPr>
        <w:t xml:space="preserve">, az állami támogatások, valamint az átengedett </w:t>
      </w:r>
      <w:r w:rsidR="009B4EE1">
        <w:rPr>
          <w:rFonts w:ascii="Arial" w:hAnsi="Arial" w:cs="Arial"/>
        </w:rPr>
        <w:t xml:space="preserve">csökkenő </w:t>
      </w:r>
      <w:r w:rsidRPr="001A2530">
        <w:rPr>
          <w:rFonts w:ascii="Arial" w:hAnsi="Arial" w:cs="Arial"/>
        </w:rPr>
        <w:t>központi adók biztosítják. Az önkormányzati adóhatóság által beszedett központi adók és bírságok eltérő mértékben szintén az önkormányzatot illetik meg.</w:t>
      </w:r>
      <w:r w:rsidR="009B4EE1">
        <w:rPr>
          <w:rFonts w:ascii="Arial" w:hAnsi="Arial" w:cs="Arial"/>
        </w:rPr>
        <w:t xml:space="preserve"> Az adóbevételek beszedése mellett az adóhatóság igazolásokat, hatósági bizonyítványokat készít és állít ki.</w:t>
      </w:r>
    </w:p>
    <w:p w:rsidR="00775173" w:rsidRDefault="00775173" w:rsidP="002C7472">
      <w:pPr>
        <w:spacing w:after="0"/>
        <w:jc w:val="both"/>
        <w:rPr>
          <w:rFonts w:ascii="Arial" w:hAnsi="Arial" w:cs="Arial"/>
        </w:rPr>
      </w:pPr>
    </w:p>
    <w:tbl>
      <w:tblPr>
        <w:tblW w:w="8960" w:type="dxa"/>
        <w:jc w:val="center"/>
        <w:tblCellMar>
          <w:left w:w="70" w:type="dxa"/>
          <w:right w:w="70" w:type="dxa"/>
        </w:tblCellMar>
        <w:tblLook w:val="04A0" w:firstRow="1" w:lastRow="0" w:firstColumn="1" w:lastColumn="0" w:noHBand="0" w:noVBand="1"/>
      </w:tblPr>
      <w:tblGrid>
        <w:gridCol w:w="3800"/>
        <w:gridCol w:w="1720"/>
        <w:gridCol w:w="1720"/>
        <w:gridCol w:w="1720"/>
      </w:tblGrid>
      <w:tr w:rsidR="00775173" w:rsidRPr="00775173" w:rsidTr="00E63E43">
        <w:trPr>
          <w:trHeight w:val="900"/>
          <w:jc w:val="center"/>
        </w:trPr>
        <w:tc>
          <w:tcPr>
            <w:tcW w:w="5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2015. évre tervezett helyi adó bevételek</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 xml:space="preserve">szeptember 30. napjáig teljesült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 xml:space="preserve">október 31. napjáig teljesült </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építményadó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149.996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153.722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iparűzési 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414.000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402.747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402.213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idegenforgalmi 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480.000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340.039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387.618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gépjárműadó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8.846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16.578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bírság </w:t>
            </w:r>
            <w:r w:rsidRPr="00775173">
              <w:rPr>
                <w:rFonts w:ascii="Arial" w:eastAsia="Times New Roman" w:hAnsi="Arial" w:cs="Arial"/>
                <w:color w:val="000000"/>
                <w:sz w:val="16"/>
                <w:szCs w:val="16"/>
                <w:lang w:eastAsia="hu-HU"/>
              </w:rPr>
              <w:t>(eredeti tervezett: 2000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8.000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586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767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F50400" w:rsidRPr="00775173" w:rsidRDefault="00775173" w:rsidP="00F50400">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pótlék </w:t>
            </w:r>
            <w:r w:rsidRPr="00775173">
              <w:rPr>
                <w:rFonts w:ascii="Arial" w:eastAsia="Times New Roman" w:hAnsi="Arial" w:cs="Arial"/>
                <w:color w:val="000000"/>
                <w:sz w:val="16"/>
                <w:szCs w:val="16"/>
                <w:lang w:eastAsia="hu-HU"/>
              </w:rPr>
              <w:t>(eredeti tervezett: 500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500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7.624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7.879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b/>
                <w:bCs/>
                <w:color w:val="000000"/>
                <w:lang w:eastAsia="hu-HU"/>
              </w:rPr>
            </w:pPr>
            <w:r w:rsidRPr="00775173">
              <w:rPr>
                <w:rFonts w:ascii="Arial" w:eastAsia="Times New Roman" w:hAnsi="Arial" w:cs="Arial"/>
                <w:b/>
                <w:bCs/>
                <w:color w:val="000000"/>
                <w:lang w:eastAsia="hu-HU"/>
              </w:rPr>
              <w:t>összesen</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1.078.500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909.838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968.777 e Ft</w:t>
            </w:r>
          </w:p>
        </w:tc>
      </w:tr>
    </w:tbl>
    <w:p w:rsidR="00F50400" w:rsidRDefault="00F50400" w:rsidP="002C7472">
      <w:pPr>
        <w:autoSpaceDE w:val="0"/>
        <w:autoSpaceDN w:val="0"/>
        <w:adjustRightInd w:val="0"/>
        <w:spacing w:after="0"/>
        <w:jc w:val="both"/>
        <w:rPr>
          <w:rFonts w:ascii="Arial" w:hAnsi="Arial" w:cs="Arial"/>
        </w:rPr>
      </w:pPr>
    </w:p>
    <w:p w:rsidR="001A2530" w:rsidRDefault="001A2530" w:rsidP="002C7472">
      <w:pPr>
        <w:autoSpaceDE w:val="0"/>
        <w:autoSpaceDN w:val="0"/>
        <w:adjustRightInd w:val="0"/>
        <w:spacing w:after="0"/>
        <w:jc w:val="both"/>
        <w:rPr>
          <w:rFonts w:ascii="Arial" w:hAnsi="Arial" w:cs="Arial"/>
        </w:rPr>
      </w:pPr>
      <w:r w:rsidRPr="00546EBF">
        <w:rPr>
          <w:rFonts w:ascii="Arial" w:hAnsi="Arial" w:cs="Arial"/>
        </w:rPr>
        <w:t xml:space="preserve">A törvényi szabályozás által helyi adózás alá tartozó adótárgyakat részben vagy egészében helyi adókötelezettség alá vontuk. Adóalanynak minősülnek a magánszemélyek, vállalkozók - gazdasági társaságok, akikre </w:t>
      </w:r>
      <w:r w:rsidR="002F7754" w:rsidRPr="00546EBF">
        <w:rPr>
          <w:rFonts w:ascii="Arial" w:hAnsi="Arial" w:cs="Arial"/>
        </w:rPr>
        <w:t xml:space="preserve">kiterjed </w:t>
      </w:r>
      <w:r w:rsidRPr="00546EBF">
        <w:rPr>
          <w:rFonts w:ascii="Arial" w:hAnsi="Arial" w:cs="Arial"/>
        </w:rPr>
        <w:t xml:space="preserve">a helyi adókötelezettség legyen ez vagyoni típusú </w:t>
      </w:r>
      <w:r w:rsidRPr="00546EBF">
        <w:rPr>
          <w:rFonts w:ascii="Arial" w:hAnsi="Arial" w:cs="Arial"/>
          <w:i/>
        </w:rPr>
        <w:t>(építményadó)</w:t>
      </w:r>
      <w:r w:rsidRPr="00546EBF">
        <w:rPr>
          <w:rFonts w:ascii="Arial" w:hAnsi="Arial" w:cs="Arial"/>
        </w:rPr>
        <w:t xml:space="preserve">, kommunális jellegű </w:t>
      </w:r>
      <w:r w:rsidRPr="00546EBF">
        <w:rPr>
          <w:rFonts w:ascii="Arial" w:hAnsi="Arial" w:cs="Arial"/>
          <w:i/>
        </w:rPr>
        <w:t>(idegenforgalmi adó)</w:t>
      </w:r>
      <w:r w:rsidRPr="00546EBF">
        <w:rPr>
          <w:rFonts w:ascii="Arial" w:hAnsi="Arial" w:cs="Arial"/>
        </w:rPr>
        <w:t>, vagy iparűzési adó</w:t>
      </w:r>
      <w:r w:rsidRPr="009D51F0">
        <w:rPr>
          <w:rFonts w:ascii="Arial" w:hAnsi="Arial" w:cs="Arial"/>
        </w:rPr>
        <w:t>.</w:t>
      </w:r>
    </w:p>
    <w:p w:rsidR="001A2530" w:rsidRDefault="001A2530" w:rsidP="002C7472">
      <w:pPr>
        <w:autoSpaceDE w:val="0"/>
        <w:autoSpaceDN w:val="0"/>
        <w:adjustRightInd w:val="0"/>
        <w:spacing w:after="0"/>
        <w:jc w:val="both"/>
        <w:rPr>
          <w:rFonts w:ascii="Arial" w:hAnsi="Arial" w:cs="Arial"/>
          <w:b/>
        </w:rPr>
      </w:pPr>
    </w:p>
    <w:p w:rsidR="001A2530" w:rsidRPr="0020310B" w:rsidRDefault="001A2530" w:rsidP="002C7472">
      <w:pPr>
        <w:autoSpaceDE w:val="0"/>
        <w:autoSpaceDN w:val="0"/>
        <w:adjustRightInd w:val="0"/>
        <w:spacing w:after="0"/>
        <w:jc w:val="both"/>
        <w:rPr>
          <w:rFonts w:ascii="Arial" w:hAnsi="Arial" w:cs="Arial"/>
        </w:rPr>
      </w:pPr>
      <w:r w:rsidRPr="0020310B">
        <w:rPr>
          <w:rFonts w:ascii="Arial" w:hAnsi="Arial" w:cs="Arial"/>
        </w:rPr>
        <w:t>Az adóbevételek időbeli teljesülésének jellemzője, hogy az első félévben általában nem érik el az éves előírások felét és az</w:t>
      </w:r>
      <w:r w:rsidR="0020310B" w:rsidRPr="0020310B">
        <w:rPr>
          <w:rFonts w:ascii="Arial" w:hAnsi="Arial" w:cs="Arial"/>
        </w:rPr>
        <w:t xml:space="preserve"> adóbevételek többségét jelentő</w:t>
      </w:r>
      <w:r w:rsidR="009903B7">
        <w:rPr>
          <w:rFonts w:ascii="Arial" w:hAnsi="Arial" w:cs="Arial"/>
        </w:rPr>
        <w:t>s</w:t>
      </w:r>
      <w:r w:rsidRPr="0020310B">
        <w:rPr>
          <w:rFonts w:ascii="Arial" w:hAnsi="Arial" w:cs="Arial"/>
        </w:rPr>
        <w:t xml:space="preserve"> iparűzési adó teljesülése csak feltöltési, kiegészítési kötelezettség leteltét követően, az </w:t>
      </w:r>
      <w:r w:rsidR="00067C84">
        <w:rPr>
          <w:rFonts w:ascii="Arial" w:hAnsi="Arial" w:cs="Arial"/>
        </w:rPr>
        <w:t>adó</w:t>
      </w:r>
      <w:r w:rsidRPr="0020310B">
        <w:rPr>
          <w:rFonts w:ascii="Arial" w:hAnsi="Arial" w:cs="Arial"/>
        </w:rPr>
        <w:t>év utolsó napjaiban realizálódik.</w:t>
      </w:r>
    </w:p>
    <w:p w:rsidR="001A2530" w:rsidRPr="00F535A7" w:rsidRDefault="001A2530" w:rsidP="002C7472">
      <w:pPr>
        <w:autoSpaceDE w:val="0"/>
        <w:autoSpaceDN w:val="0"/>
        <w:adjustRightInd w:val="0"/>
        <w:spacing w:after="0"/>
        <w:jc w:val="both"/>
        <w:rPr>
          <w:rFonts w:ascii="Arial" w:hAnsi="Arial" w:cs="Arial"/>
        </w:rPr>
      </w:pPr>
      <w:r w:rsidRPr="0020310B">
        <w:rPr>
          <w:rFonts w:ascii="Arial" w:hAnsi="Arial" w:cs="Arial"/>
        </w:rPr>
        <w:t>A</w:t>
      </w:r>
      <w:r w:rsidRPr="00F535A7">
        <w:rPr>
          <w:rFonts w:ascii="Arial" w:hAnsi="Arial" w:cs="Arial"/>
        </w:rPr>
        <w:t xml:space="preserve"> </w:t>
      </w:r>
      <w:r w:rsidRPr="00F535A7">
        <w:rPr>
          <w:rFonts w:ascii="Arial" w:hAnsi="Arial" w:cs="Arial"/>
          <w:b/>
        </w:rPr>
        <w:t xml:space="preserve">kivetéses adók </w:t>
      </w:r>
      <w:r w:rsidRPr="00F535A7">
        <w:rPr>
          <w:rFonts w:ascii="Arial" w:hAnsi="Arial" w:cs="Arial"/>
          <w:i/>
        </w:rPr>
        <w:t>(építményadó, gépjárműadó)</w:t>
      </w:r>
      <w:r w:rsidRPr="00F535A7">
        <w:rPr>
          <w:rFonts w:ascii="Arial" w:hAnsi="Arial" w:cs="Arial"/>
        </w:rPr>
        <w:t xml:space="preserve"> esetében jellemzően két részletben kell az adórészeket megfizetni március 15-ig, illetve szeptember 15-ig</w:t>
      </w:r>
      <w:r w:rsidR="007F01AB">
        <w:rPr>
          <w:rFonts w:ascii="Arial" w:hAnsi="Arial" w:cs="Arial"/>
        </w:rPr>
        <w:t>.</w:t>
      </w:r>
    </w:p>
    <w:p w:rsidR="001A2530" w:rsidRPr="00F535A7" w:rsidRDefault="001A2530" w:rsidP="002C7472">
      <w:pPr>
        <w:autoSpaceDE w:val="0"/>
        <w:autoSpaceDN w:val="0"/>
        <w:adjustRightInd w:val="0"/>
        <w:spacing w:after="0"/>
        <w:jc w:val="both"/>
        <w:rPr>
          <w:rFonts w:ascii="Arial" w:hAnsi="Arial" w:cs="Arial"/>
        </w:rPr>
      </w:pPr>
      <w:r w:rsidRPr="00F535A7">
        <w:rPr>
          <w:rFonts w:ascii="Arial" w:hAnsi="Arial" w:cs="Arial"/>
        </w:rPr>
        <w:t xml:space="preserve">A </w:t>
      </w:r>
      <w:r w:rsidRPr="00F535A7">
        <w:rPr>
          <w:rFonts w:ascii="Arial" w:hAnsi="Arial" w:cs="Arial"/>
          <w:b/>
        </w:rPr>
        <w:t>beszedett idegenforgalmi adót</w:t>
      </w:r>
      <w:r w:rsidRPr="00F535A7">
        <w:rPr>
          <w:rFonts w:ascii="Arial" w:hAnsi="Arial" w:cs="Arial"/>
        </w:rPr>
        <w:t xml:space="preserve"> a beszedést követő hónap 15. napjáig kell a szálláshelyeknek</w:t>
      </w:r>
      <w:r>
        <w:rPr>
          <w:rFonts w:ascii="Arial" w:hAnsi="Arial" w:cs="Arial"/>
        </w:rPr>
        <w:t xml:space="preserve"> </w:t>
      </w:r>
      <w:r w:rsidRPr="00F535A7">
        <w:rPr>
          <w:rFonts w:ascii="Arial" w:hAnsi="Arial" w:cs="Arial"/>
        </w:rPr>
        <w:t>önadózás keretében bevallani és megfizetni.</w:t>
      </w:r>
    </w:p>
    <w:p w:rsidR="001A2530" w:rsidRDefault="001A2530" w:rsidP="002C7472">
      <w:pPr>
        <w:autoSpaceDE w:val="0"/>
        <w:autoSpaceDN w:val="0"/>
        <w:adjustRightInd w:val="0"/>
        <w:spacing w:after="0"/>
        <w:jc w:val="both"/>
        <w:rPr>
          <w:rFonts w:ascii="Arial" w:hAnsi="Arial" w:cs="Arial"/>
        </w:rPr>
      </w:pPr>
      <w:r w:rsidRPr="00F535A7">
        <w:rPr>
          <w:rFonts w:ascii="Arial" w:hAnsi="Arial" w:cs="Arial"/>
        </w:rPr>
        <w:t xml:space="preserve">Az </w:t>
      </w:r>
      <w:r w:rsidRPr="00F535A7">
        <w:rPr>
          <w:rFonts w:ascii="Arial" w:hAnsi="Arial" w:cs="Arial"/>
          <w:b/>
        </w:rPr>
        <w:t>iparűzési adófizetés</w:t>
      </w:r>
      <w:r w:rsidRPr="00F535A7">
        <w:rPr>
          <w:rFonts w:ascii="Arial" w:hAnsi="Arial" w:cs="Arial"/>
        </w:rPr>
        <w:t xml:space="preserve"> sajátossága, hogy az éves bevallás során számolnak el az adózók az előző</w:t>
      </w:r>
      <w:r>
        <w:rPr>
          <w:rFonts w:ascii="Arial" w:hAnsi="Arial" w:cs="Arial"/>
        </w:rPr>
        <w:t xml:space="preserve"> </w:t>
      </w:r>
      <w:r w:rsidRPr="00F535A7">
        <w:rPr>
          <w:rFonts w:ascii="Arial" w:hAnsi="Arial" w:cs="Arial"/>
        </w:rPr>
        <w:t xml:space="preserve">évben befizetett előleggel (március és szeptember 15; valamint december 20.) szemben. </w:t>
      </w:r>
    </w:p>
    <w:p w:rsidR="00731291" w:rsidRDefault="00731291" w:rsidP="002C7472">
      <w:pPr>
        <w:spacing w:after="0"/>
        <w:rPr>
          <w:rFonts w:ascii="Arial" w:hAnsi="Arial" w:cs="Arial"/>
        </w:rPr>
      </w:pPr>
    </w:p>
    <w:p w:rsidR="004F761B" w:rsidRPr="004F761B" w:rsidRDefault="00311CFA" w:rsidP="006A1891">
      <w:pPr>
        <w:spacing w:after="0"/>
        <w:jc w:val="both"/>
        <w:rPr>
          <w:rFonts w:ascii="Arial" w:hAnsi="Arial" w:cs="Arial"/>
        </w:rPr>
      </w:pPr>
      <w:r w:rsidRPr="004F761B">
        <w:rPr>
          <w:rFonts w:ascii="Arial" w:hAnsi="Arial" w:cs="Arial"/>
        </w:rPr>
        <w:t>Az önkormányzatot megillető adójellegű bevételek szignifikáns része a</w:t>
      </w:r>
      <w:r w:rsidR="004F761B" w:rsidRPr="004F761B">
        <w:rPr>
          <w:rFonts w:ascii="Arial" w:hAnsi="Arial" w:cs="Arial"/>
        </w:rPr>
        <w:t>z idegenforgalmi adóból befolyó összeg, mely minden beszedett adóforintja után további 1,55 Ft normatív támogatás igényelhető.</w:t>
      </w:r>
      <w:r w:rsidR="007A7944">
        <w:rPr>
          <w:rFonts w:ascii="Arial" w:hAnsi="Arial" w:cs="Arial"/>
        </w:rPr>
        <w:t xml:space="preserve"> A bevételek másik legjelentősebb részét képezi az iparűzési adó, kisebb volument </w:t>
      </w:r>
      <w:r w:rsidR="0043730F">
        <w:rPr>
          <w:rFonts w:ascii="Arial" w:hAnsi="Arial" w:cs="Arial"/>
        </w:rPr>
        <w:t>képvisel az építményadó</w:t>
      </w:r>
      <w:r w:rsidR="007A7944">
        <w:rPr>
          <w:rFonts w:ascii="Arial" w:hAnsi="Arial" w:cs="Arial"/>
        </w:rPr>
        <w:t xml:space="preserve">. </w:t>
      </w:r>
    </w:p>
    <w:p w:rsidR="0043730F" w:rsidRDefault="0043730F" w:rsidP="002C7472">
      <w:pPr>
        <w:spacing w:after="0"/>
        <w:jc w:val="both"/>
        <w:rPr>
          <w:rFonts w:ascii="Arial" w:hAnsi="Arial" w:cs="Arial"/>
        </w:rPr>
      </w:pPr>
    </w:p>
    <w:p w:rsidR="00085129" w:rsidRPr="004F761B" w:rsidRDefault="005D2532" w:rsidP="002C7472">
      <w:pPr>
        <w:spacing w:after="0"/>
        <w:jc w:val="both"/>
        <w:rPr>
          <w:rFonts w:ascii="Arial" w:hAnsi="Arial" w:cs="Arial"/>
        </w:rPr>
      </w:pPr>
      <w:r>
        <w:rPr>
          <w:rFonts w:ascii="Arial" w:hAnsi="Arial" w:cs="Arial"/>
        </w:rPr>
        <w:t>Az iparűzési adó és a pótlékbevételeink alakulásában egy több éve húzódó perben született Kúriai ítélet le</w:t>
      </w:r>
      <w:r w:rsidR="0043730F">
        <w:rPr>
          <w:rFonts w:ascii="Arial" w:hAnsi="Arial" w:cs="Arial"/>
        </w:rPr>
        <w:t xml:space="preserve">zárása miatt 19 millió </w:t>
      </w:r>
      <w:r>
        <w:rPr>
          <w:rFonts w:ascii="Arial" w:hAnsi="Arial" w:cs="Arial"/>
        </w:rPr>
        <w:t>Ft iparűzési bevétel és 6.334 millió Ft késedelmi pótlék bevétel keletkezett, amely egyszeri bevétel.</w:t>
      </w:r>
    </w:p>
    <w:p w:rsidR="00493C37" w:rsidRDefault="00493C37" w:rsidP="007A7944">
      <w:pPr>
        <w:spacing w:after="120"/>
        <w:jc w:val="both"/>
        <w:rPr>
          <w:rFonts w:ascii="Arial" w:hAnsi="Arial" w:cs="Arial"/>
          <w:b/>
        </w:rPr>
      </w:pPr>
    </w:p>
    <w:p w:rsidR="00E63E43" w:rsidRDefault="00E63E43" w:rsidP="007A7944">
      <w:pPr>
        <w:spacing w:after="120"/>
        <w:jc w:val="both"/>
        <w:rPr>
          <w:rFonts w:ascii="Arial" w:hAnsi="Arial" w:cs="Arial"/>
          <w:b/>
        </w:rPr>
      </w:pPr>
    </w:p>
    <w:p w:rsidR="0043730F" w:rsidRDefault="0043730F" w:rsidP="007A7944">
      <w:pPr>
        <w:spacing w:after="120"/>
        <w:jc w:val="both"/>
        <w:rPr>
          <w:rFonts w:ascii="Arial" w:hAnsi="Arial" w:cs="Arial"/>
          <w:b/>
        </w:rPr>
      </w:pPr>
    </w:p>
    <w:p w:rsidR="00E9139C" w:rsidRPr="00E9139C" w:rsidRDefault="00E9139C" w:rsidP="007A7944">
      <w:pPr>
        <w:spacing w:after="120"/>
        <w:jc w:val="both"/>
        <w:rPr>
          <w:rFonts w:ascii="Arial" w:hAnsi="Arial" w:cs="Arial"/>
          <w:b/>
        </w:rPr>
      </w:pPr>
      <w:r w:rsidRPr="00E9139C">
        <w:rPr>
          <w:rFonts w:ascii="Arial" w:hAnsi="Arial" w:cs="Arial"/>
          <w:b/>
        </w:rPr>
        <w:lastRenderedPageBreak/>
        <w:t>2. Adóigazgatási feladatok</w:t>
      </w:r>
    </w:p>
    <w:p w:rsidR="00205040" w:rsidRDefault="009D0B86" w:rsidP="00E9139C">
      <w:pPr>
        <w:numPr>
          <w:ilvl w:val="1"/>
          <w:numId w:val="33"/>
        </w:numPr>
        <w:spacing w:before="240" w:after="240"/>
        <w:jc w:val="both"/>
        <w:rPr>
          <w:rFonts w:ascii="Arial" w:hAnsi="Arial" w:cs="Arial"/>
          <w:b/>
        </w:rPr>
      </w:pPr>
      <w:r w:rsidRPr="00FB0978">
        <w:rPr>
          <w:rFonts w:ascii="Arial" w:hAnsi="Arial" w:cs="Arial"/>
          <w:b/>
        </w:rPr>
        <w:t>Építményadó</w:t>
      </w:r>
    </w:p>
    <w:p w:rsidR="00F26987" w:rsidRDefault="00F26987" w:rsidP="002C7472">
      <w:pPr>
        <w:spacing w:after="240"/>
        <w:jc w:val="both"/>
        <w:rPr>
          <w:rFonts w:ascii="Arial" w:hAnsi="Arial" w:cs="Arial"/>
        </w:rPr>
      </w:pPr>
      <w:r w:rsidRPr="00FB0978">
        <w:rPr>
          <w:rFonts w:ascii="Arial" w:hAnsi="Arial" w:cs="Arial"/>
        </w:rPr>
        <w:t>Építményadó esetében az adó mértéke 2008. január 1. napjától 600,- Ft/m</w:t>
      </w:r>
      <w:r w:rsidRPr="00FB0978">
        <w:rPr>
          <w:rFonts w:ascii="Arial" w:hAnsi="Arial" w:cs="Arial"/>
          <w:vertAlign w:val="superscript"/>
        </w:rPr>
        <w:t>2</w:t>
      </w:r>
      <w:r w:rsidRPr="00FB0978">
        <w:rPr>
          <w:rFonts w:ascii="Arial" w:hAnsi="Arial" w:cs="Arial"/>
        </w:rPr>
        <w:t>, a törvény által megengedett maximum 2013-ban 1.722,9- Ft/m</w:t>
      </w:r>
      <w:r w:rsidRPr="00FB0978">
        <w:rPr>
          <w:rFonts w:ascii="Arial" w:hAnsi="Arial" w:cs="Arial"/>
          <w:vertAlign w:val="superscript"/>
        </w:rPr>
        <w:t>2</w:t>
      </w:r>
      <w:r w:rsidRPr="00FB0978">
        <w:rPr>
          <w:rFonts w:ascii="Arial" w:hAnsi="Arial" w:cs="Arial"/>
        </w:rPr>
        <w:t>, 2014-ben 1821,2 Ft/m</w:t>
      </w:r>
      <w:r w:rsidRPr="00FB0978">
        <w:rPr>
          <w:rFonts w:ascii="Arial" w:hAnsi="Arial" w:cs="Arial"/>
          <w:vertAlign w:val="superscript"/>
        </w:rPr>
        <w:t>2</w:t>
      </w:r>
      <w:r w:rsidRPr="00FB0978">
        <w:rPr>
          <w:rFonts w:ascii="Arial" w:hAnsi="Arial" w:cs="Arial"/>
        </w:rPr>
        <w:t>, 2015–</w:t>
      </w:r>
      <w:proofErr w:type="spellStart"/>
      <w:r w:rsidRPr="00FB0978">
        <w:rPr>
          <w:rFonts w:ascii="Arial" w:hAnsi="Arial" w:cs="Arial"/>
        </w:rPr>
        <w:t>ben</w:t>
      </w:r>
      <w:proofErr w:type="spellEnd"/>
      <w:r w:rsidRPr="00FB0978">
        <w:rPr>
          <w:rFonts w:ascii="Arial" w:hAnsi="Arial" w:cs="Arial"/>
        </w:rPr>
        <w:t xml:space="preserve"> 1852,1 Ft/m</w:t>
      </w:r>
      <w:r w:rsidRPr="00FB0978">
        <w:rPr>
          <w:rFonts w:ascii="Arial" w:hAnsi="Arial" w:cs="Arial"/>
          <w:vertAlign w:val="superscript"/>
        </w:rPr>
        <w:t>2</w:t>
      </w:r>
      <w:r w:rsidRPr="00FB0978">
        <w:rPr>
          <w:rFonts w:ascii="Arial" w:hAnsi="Arial" w:cs="Arial"/>
        </w:rPr>
        <w:t xml:space="preserve">. A Nemzetgazdasági Minisztérium tájékoztatása alapján a 2016. évre alkalmazható építményadó maximum </w:t>
      </w:r>
      <w:r w:rsidRPr="00FB0978">
        <w:rPr>
          <w:rFonts w:ascii="Arial" w:hAnsi="Arial" w:cs="Arial"/>
          <w:b/>
        </w:rPr>
        <w:t>1.852,10 Ft/m</w:t>
      </w:r>
      <w:r w:rsidRPr="00FB0978">
        <w:rPr>
          <w:rFonts w:ascii="Arial" w:hAnsi="Arial" w:cs="Arial"/>
          <w:b/>
          <w:vertAlign w:val="superscript"/>
        </w:rPr>
        <w:t>2</w:t>
      </w:r>
      <w:r w:rsidRPr="00FB0978">
        <w:rPr>
          <w:rFonts w:ascii="Arial" w:hAnsi="Arial" w:cs="Arial"/>
        </w:rPr>
        <w:t>.</w:t>
      </w:r>
    </w:p>
    <w:p w:rsidR="0043730F" w:rsidRPr="00FB0978" w:rsidRDefault="0043730F" w:rsidP="002C7472">
      <w:pPr>
        <w:spacing w:after="240"/>
        <w:jc w:val="both"/>
        <w:rPr>
          <w:rFonts w:ascii="Arial" w:hAnsi="Arial" w:cs="Arial"/>
        </w:rPr>
      </w:pPr>
      <w:r>
        <w:rPr>
          <w:rFonts w:ascii="Arial" w:hAnsi="Arial" w:cs="Arial"/>
        </w:rPr>
        <w:t>Mivel a Képviselő-testület tárgyalja a építményadózatás rendjének felülvizsgálatát ezért az építményadóra vonatkozó részletes adatok ott kerülnek bemutatásra.</w:t>
      </w:r>
    </w:p>
    <w:p w:rsidR="00775173" w:rsidRDefault="0043730F" w:rsidP="0043730F">
      <w:pPr>
        <w:spacing w:before="240" w:after="120"/>
        <w:jc w:val="both"/>
        <w:rPr>
          <w:rFonts w:ascii="Arial" w:hAnsi="Arial" w:cs="Arial"/>
        </w:rPr>
      </w:pPr>
      <w:r>
        <w:rPr>
          <w:rFonts w:ascii="Arial" w:hAnsi="Arial" w:cs="Arial"/>
        </w:rPr>
        <w:t>A</w:t>
      </w:r>
      <w:r w:rsidR="00F26987" w:rsidRPr="00FB0978">
        <w:rPr>
          <w:rFonts w:ascii="Arial" w:hAnsi="Arial" w:cs="Arial"/>
        </w:rPr>
        <w:t>z adóbevallások alapján jelenleg adóztatott alapterület 543.872,99 m</w:t>
      </w:r>
      <w:r w:rsidR="00F26987" w:rsidRPr="00FB0978">
        <w:rPr>
          <w:rFonts w:ascii="Arial" w:hAnsi="Arial" w:cs="Arial"/>
          <w:vertAlign w:val="superscript"/>
        </w:rPr>
        <w:t>2</w:t>
      </w:r>
      <w:r w:rsidR="00F26987" w:rsidRPr="00FB0978">
        <w:rPr>
          <w:rFonts w:ascii="Arial" w:hAnsi="Arial" w:cs="Arial"/>
        </w:rPr>
        <w:t>.</w:t>
      </w:r>
    </w:p>
    <w:p w:rsidR="00205040" w:rsidRPr="00FB0978" w:rsidRDefault="00205040" w:rsidP="002C7472">
      <w:pPr>
        <w:spacing w:after="120"/>
        <w:jc w:val="both"/>
        <w:rPr>
          <w:rFonts w:ascii="Arial" w:hAnsi="Arial" w:cs="Arial"/>
        </w:rPr>
      </w:pPr>
      <w:r w:rsidRPr="00FB0978">
        <w:rPr>
          <w:rFonts w:ascii="Arial" w:hAnsi="Arial" w:cs="Arial"/>
        </w:rPr>
        <w:t xml:space="preserve">A jelenleg hatályos 4/2010.(II.10.) önkormányzati rendelet 5. § (1) bekezdése adókedvezményt biztosít a magánszemély tulajdonosoknak, (illetve a </w:t>
      </w:r>
      <w:proofErr w:type="spellStart"/>
      <w:r w:rsidRPr="00FB0978">
        <w:rPr>
          <w:rFonts w:ascii="Arial" w:hAnsi="Arial" w:cs="Arial"/>
        </w:rPr>
        <w:t>Htv</w:t>
      </w:r>
      <w:proofErr w:type="spellEnd"/>
      <w:r w:rsidRPr="00FB0978">
        <w:rPr>
          <w:rFonts w:ascii="Arial" w:hAnsi="Arial" w:cs="Arial"/>
        </w:rPr>
        <w:t>. szerint az ingatlanra bejegyzett vagyoni értékű jog jogosultjainak) – tulajdonuk arányában – a lakásul szolgáló ingatlanuk, és a lakáshoz tartozó rendeltetésszerűen használt gépjárműtároló után.</w:t>
      </w:r>
    </w:p>
    <w:p w:rsidR="00205040" w:rsidRPr="00FB0978" w:rsidRDefault="00205040" w:rsidP="002C7472">
      <w:pPr>
        <w:spacing w:after="240"/>
        <w:jc w:val="both"/>
        <w:rPr>
          <w:rFonts w:ascii="Arial" w:hAnsi="Arial" w:cs="Arial"/>
        </w:rPr>
      </w:pPr>
      <w:r w:rsidRPr="00FB0978">
        <w:rPr>
          <w:rFonts w:ascii="Arial" w:hAnsi="Arial" w:cs="Arial"/>
        </w:rPr>
        <w:t>Az ilyen jogcímen illetve a törvény által egyéb jogcímen igénybe vett kedvezmény összege 177.945 e Ft volt.</w:t>
      </w:r>
    </w:p>
    <w:p w:rsidR="00205040" w:rsidRPr="00FB0978" w:rsidRDefault="00205040" w:rsidP="00FB0978">
      <w:pPr>
        <w:spacing w:before="240" w:after="240"/>
        <w:jc w:val="both"/>
        <w:rPr>
          <w:rFonts w:ascii="Arial" w:hAnsi="Arial" w:cs="Arial"/>
        </w:rPr>
      </w:pPr>
      <w:r w:rsidRPr="00FB0978">
        <w:rPr>
          <w:rFonts w:ascii="Arial" w:hAnsi="Arial" w:cs="Arial"/>
        </w:rPr>
        <w:t>Építményadó hatálya alá tartozó adózók száma 4.040 fő. Az adótárgyak száma 6.329 db.</w:t>
      </w:r>
    </w:p>
    <w:p w:rsidR="00205040" w:rsidRDefault="00205040" w:rsidP="00FB0978">
      <w:pPr>
        <w:spacing w:before="240" w:after="240"/>
        <w:jc w:val="both"/>
        <w:rPr>
          <w:rFonts w:ascii="Arial" w:hAnsi="Arial" w:cs="Arial"/>
        </w:rPr>
      </w:pPr>
      <w:r w:rsidRPr="00FB0978">
        <w:rPr>
          <w:rFonts w:ascii="Arial" w:hAnsi="Arial" w:cs="Arial"/>
        </w:rPr>
        <w:t>2015. évre az előirányzat 160 millió Ft, ebből ténylegesen kivetett adó 148,4 millió Ft. A befolyt közel 154 millió Ft a kivetett összeg 103,6 %-a, mely az előirányzat 96 %-a.</w:t>
      </w:r>
    </w:p>
    <w:tbl>
      <w:tblPr>
        <w:tblW w:w="7040" w:type="dxa"/>
        <w:jc w:val="center"/>
        <w:tblCellMar>
          <w:left w:w="70" w:type="dxa"/>
          <w:right w:w="70" w:type="dxa"/>
        </w:tblCellMar>
        <w:tblLook w:val="04A0" w:firstRow="1" w:lastRow="0" w:firstColumn="1" w:lastColumn="0" w:noHBand="0" w:noVBand="1"/>
      </w:tblPr>
      <w:tblGrid>
        <w:gridCol w:w="1720"/>
        <w:gridCol w:w="2000"/>
        <w:gridCol w:w="1960"/>
        <w:gridCol w:w="1360"/>
      </w:tblGrid>
      <w:tr w:rsidR="005F1BAC" w:rsidRPr="005F1BAC" w:rsidTr="005F1BAC">
        <w:trPr>
          <w:trHeight w:val="6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dátum</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kivetett adó (Ft)</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befolyt adó (Ft)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w:t>
            </w:r>
          </w:p>
        </w:tc>
      </w:tr>
      <w:tr w:rsidR="005F1BAC" w:rsidRPr="005F1BAC" w:rsidTr="005F1BA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center"/>
              <w:rPr>
                <w:rFonts w:ascii="Arial" w:eastAsia="Times New Roman" w:hAnsi="Arial" w:cs="Arial"/>
                <w:color w:val="000000"/>
                <w:lang w:eastAsia="hu-HU"/>
              </w:rPr>
            </w:pPr>
            <w:r w:rsidRPr="005F1BAC">
              <w:rPr>
                <w:rFonts w:ascii="Arial" w:eastAsia="Times New Roman" w:hAnsi="Arial" w:cs="Arial"/>
                <w:color w:val="000000"/>
                <w:lang w:eastAsia="hu-HU"/>
              </w:rPr>
              <w:t>2014.09.30</w:t>
            </w:r>
          </w:p>
        </w:tc>
        <w:tc>
          <w:tcPr>
            <w:tcW w:w="200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161 664 000</w:t>
            </w:r>
          </w:p>
        </w:tc>
        <w:tc>
          <w:tcPr>
            <w:tcW w:w="19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163 654 499</w:t>
            </w:r>
          </w:p>
        </w:tc>
        <w:tc>
          <w:tcPr>
            <w:tcW w:w="13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101,23%</w:t>
            </w:r>
          </w:p>
        </w:tc>
      </w:tr>
      <w:tr w:rsidR="005F1BAC" w:rsidRPr="005F1BAC" w:rsidTr="005F1BA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center"/>
              <w:rPr>
                <w:rFonts w:ascii="Arial" w:eastAsia="Times New Roman" w:hAnsi="Arial" w:cs="Arial"/>
                <w:color w:val="000000"/>
                <w:lang w:eastAsia="hu-HU"/>
              </w:rPr>
            </w:pPr>
            <w:r w:rsidRPr="005F1BAC">
              <w:rPr>
                <w:rFonts w:ascii="Arial" w:eastAsia="Times New Roman" w:hAnsi="Arial" w:cs="Arial"/>
                <w:color w:val="000000"/>
                <w:lang w:eastAsia="hu-HU"/>
              </w:rPr>
              <w:t>2015.09.30</w:t>
            </w:r>
          </w:p>
        </w:tc>
        <w:tc>
          <w:tcPr>
            <w:tcW w:w="200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148 379 088</w:t>
            </w:r>
          </w:p>
        </w:tc>
        <w:tc>
          <w:tcPr>
            <w:tcW w:w="19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149 995 548</w:t>
            </w:r>
          </w:p>
        </w:tc>
        <w:tc>
          <w:tcPr>
            <w:tcW w:w="13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101,09%</w:t>
            </w:r>
          </w:p>
        </w:tc>
      </w:tr>
      <w:tr w:rsidR="005F1BAC" w:rsidRPr="005F1BAC" w:rsidTr="005F1BA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center"/>
              <w:rPr>
                <w:rFonts w:ascii="Arial" w:eastAsia="Times New Roman" w:hAnsi="Arial" w:cs="Arial"/>
                <w:color w:val="000000"/>
                <w:lang w:eastAsia="hu-HU"/>
              </w:rPr>
            </w:pPr>
            <w:r w:rsidRPr="005F1BAC">
              <w:rPr>
                <w:rFonts w:ascii="Arial" w:eastAsia="Times New Roman" w:hAnsi="Arial" w:cs="Arial"/>
                <w:color w:val="000000"/>
                <w:lang w:eastAsia="hu-HU"/>
              </w:rPr>
              <w:t>2015.10.31</w:t>
            </w:r>
          </w:p>
        </w:tc>
        <w:tc>
          <w:tcPr>
            <w:tcW w:w="200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148 379 088</w:t>
            </w:r>
          </w:p>
        </w:tc>
        <w:tc>
          <w:tcPr>
            <w:tcW w:w="19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153 721 909</w:t>
            </w:r>
          </w:p>
        </w:tc>
        <w:tc>
          <w:tcPr>
            <w:tcW w:w="13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103,60%</w:t>
            </w:r>
          </w:p>
        </w:tc>
      </w:tr>
    </w:tbl>
    <w:p w:rsidR="00E63E43" w:rsidRDefault="00E63E43" w:rsidP="0064283F">
      <w:pPr>
        <w:spacing w:after="120"/>
        <w:jc w:val="both"/>
        <w:rPr>
          <w:rFonts w:ascii="Arial" w:hAnsi="Arial" w:cs="Arial"/>
        </w:rPr>
      </w:pPr>
    </w:p>
    <w:p w:rsidR="0064283F" w:rsidRDefault="00D567B6" w:rsidP="0064283F">
      <w:pPr>
        <w:spacing w:after="120"/>
        <w:jc w:val="both"/>
        <w:rPr>
          <w:rFonts w:ascii="Arial" w:hAnsi="Arial" w:cs="Arial"/>
        </w:rPr>
      </w:pPr>
      <w:r w:rsidRPr="0064283F">
        <w:rPr>
          <w:rFonts w:ascii="Arial" w:hAnsi="Arial" w:cs="Arial"/>
        </w:rPr>
        <w:t xml:space="preserve">Az </w:t>
      </w:r>
      <w:r w:rsidR="000660BC" w:rsidRPr="0064283F">
        <w:rPr>
          <w:rFonts w:ascii="Arial" w:hAnsi="Arial" w:cs="Arial"/>
        </w:rPr>
        <w:t>építmény adó</w:t>
      </w:r>
      <w:r w:rsidRPr="0064283F">
        <w:rPr>
          <w:rFonts w:ascii="Arial" w:hAnsi="Arial" w:cs="Arial"/>
        </w:rPr>
        <w:t xml:space="preserve"> kintlévőségek nagysága, ami 2014. szeptember 30. napján az adónem vonatkozásában 48.287 e Ft, 2015. október 31. napján 45.930 ezer forint, amelyből a felszámolás </w:t>
      </w:r>
      <w:r w:rsidR="00B45EEA" w:rsidRPr="0064283F">
        <w:rPr>
          <w:rFonts w:ascii="Arial" w:hAnsi="Arial" w:cs="Arial"/>
        </w:rPr>
        <w:t xml:space="preserve">alatt </w:t>
      </w:r>
      <w:r w:rsidR="005F1BAC" w:rsidRPr="006C74B5">
        <w:rPr>
          <w:rFonts w:ascii="Arial" w:hAnsi="Arial" w:cs="Arial"/>
        </w:rPr>
        <w:t>lévő,</w:t>
      </w:r>
      <w:r w:rsidR="005F1BAC">
        <w:rPr>
          <w:rFonts w:ascii="Arial" w:hAnsi="Arial" w:cs="Arial"/>
        </w:rPr>
        <w:t xml:space="preserve"> </w:t>
      </w:r>
      <w:r w:rsidR="00B45EEA" w:rsidRPr="0064283F">
        <w:rPr>
          <w:rFonts w:ascii="Arial" w:hAnsi="Arial" w:cs="Arial"/>
        </w:rPr>
        <w:t>illetve megszűnt cégek kintlévősége 18.154 ezer forint,</w:t>
      </w:r>
      <w:r w:rsidRPr="0064283F">
        <w:rPr>
          <w:rFonts w:ascii="Arial" w:hAnsi="Arial" w:cs="Arial"/>
        </w:rPr>
        <w:t xml:space="preserve"> a behajtásukra tett intézkedéseink a végrehajtásról szóló táblázatban megtalálhatóak.</w:t>
      </w:r>
      <w:r w:rsidR="0064283F">
        <w:rPr>
          <w:rFonts w:ascii="Arial" w:hAnsi="Arial" w:cs="Arial"/>
        </w:rPr>
        <w:t xml:space="preserve"> </w:t>
      </w:r>
      <w:r w:rsidR="0064283F" w:rsidRPr="00F33937">
        <w:rPr>
          <w:rFonts w:ascii="Arial" w:hAnsi="Arial" w:cs="Arial"/>
        </w:rPr>
        <w:t>A kintlévőségek</w:t>
      </w:r>
      <w:r w:rsidR="0064283F">
        <w:rPr>
          <w:rFonts w:ascii="Arial" w:hAnsi="Arial" w:cs="Arial"/>
        </w:rPr>
        <w:t xml:space="preserve"> egyik oka, hogy az ingatlan értékesítések esetén nem történik meg a tulajdonos változás bejelentése, így az adótartozás folyamatosan nyilván van tartva. A </w:t>
      </w:r>
      <w:proofErr w:type="spellStart"/>
      <w:r w:rsidR="0064283F">
        <w:rPr>
          <w:rFonts w:ascii="Arial" w:hAnsi="Arial" w:cs="Arial"/>
        </w:rPr>
        <w:t>Takarnet</w:t>
      </w:r>
      <w:proofErr w:type="spellEnd"/>
      <w:r w:rsidR="0064283F">
        <w:rPr>
          <w:rFonts w:ascii="Arial" w:hAnsi="Arial" w:cs="Arial"/>
        </w:rPr>
        <w:t xml:space="preserve"> rendszer adatainak lekérdezésével a pontatlanságok kiszűrése és javítása folyamatosan történik. Ezáltal a kintlévőség összege csökkenthető. Az ingatlan tulajdonosok téves jogszabály értelmezése is hozzájárul a kintlévőség növekedéséhez, mert az évközben történt értékesítéseknél nem veszik figyelembe, hogy a törvény rendelkezéseinek megfelelően az építményadó az aktuális év január 1. napján fennálló állapot szerint kerül kivetésre, és ezért nem fizetik be a kivetett adót. Több esetben előfordul, hogy az ingatlan tulajdonos elhalálozik, és az örökösök sem a Földhivatalnál, sem az önkormányzati adóhatóságnál nem jelentik be a tulajdonos változást, így a nyilvántartásban továbbra is az elhunyt nevén van a tartozás nyilvántartva. </w:t>
      </w:r>
    </w:p>
    <w:p w:rsidR="00E63E43" w:rsidRDefault="00E63E43" w:rsidP="002C7472">
      <w:pPr>
        <w:spacing w:after="120"/>
        <w:rPr>
          <w:rFonts w:ascii="Arial" w:hAnsi="Arial" w:cs="Arial"/>
          <w:b/>
        </w:rPr>
      </w:pPr>
    </w:p>
    <w:p w:rsidR="0043730F" w:rsidRDefault="0043730F" w:rsidP="002C7472">
      <w:pPr>
        <w:spacing w:after="120"/>
        <w:rPr>
          <w:rFonts w:ascii="Arial" w:hAnsi="Arial" w:cs="Arial"/>
          <w:b/>
        </w:rPr>
      </w:pPr>
    </w:p>
    <w:p w:rsidR="0043730F" w:rsidRDefault="0043730F" w:rsidP="002C7472">
      <w:pPr>
        <w:spacing w:after="120"/>
        <w:rPr>
          <w:rFonts w:ascii="Arial" w:hAnsi="Arial" w:cs="Arial"/>
          <w:b/>
        </w:rPr>
      </w:pPr>
    </w:p>
    <w:p w:rsidR="0043730F" w:rsidRDefault="0043730F" w:rsidP="002C7472">
      <w:pPr>
        <w:spacing w:after="120"/>
        <w:rPr>
          <w:rFonts w:ascii="Arial" w:hAnsi="Arial" w:cs="Arial"/>
          <w:b/>
        </w:rPr>
      </w:pPr>
    </w:p>
    <w:p w:rsidR="00861CAB" w:rsidRPr="00861CAB" w:rsidRDefault="00E9139C" w:rsidP="002C7472">
      <w:pPr>
        <w:spacing w:after="120"/>
        <w:rPr>
          <w:rFonts w:ascii="Arial" w:hAnsi="Arial" w:cs="Arial"/>
          <w:b/>
        </w:rPr>
      </w:pPr>
      <w:r>
        <w:rPr>
          <w:rFonts w:ascii="Arial" w:hAnsi="Arial" w:cs="Arial"/>
          <w:b/>
        </w:rPr>
        <w:lastRenderedPageBreak/>
        <w:t>2</w:t>
      </w:r>
      <w:r w:rsidR="00861CAB" w:rsidRPr="00861CAB">
        <w:rPr>
          <w:rFonts w:ascii="Arial" w:hAnsi="Arial" w:cs="Arial"/>
          <w:b/>
        </w:rPr>
        <w:t xml:space="preserve">.2 Helyi iparűzési adó </w:t>
      </w:r>
    </w:p>
    <w:p w:rsidR="00861CAB" w:rsidRPr="00F26987" w:rsidRDefault="00861CAB" w:rsidP="002C7472">
      <w:pPr>
        <w:spacing w:after="120"/>
        <w:jc w:val="both"/>
        <w:rPr>
          <w:rFonts w:ascii="Arial" w:hAnsi="Arial" w:cs="Arial"/>
        </w:rPr>
      </w:pPr>
      <w:r w:rsidRPr="00F26987">
        <w:rPr>
          <w:rFonts w:ascii="Arial" w:hAnsi="Arial" w:cs="Arial"/>
        </w:rPr>
        <w:t xml:space="preserve">Adóköteles az önkormányzat illetékességi területén állandó vagy ideiglenes jelleggel végzett vállalkozási tevékenység. Az adó alanya a vállalkozó. Az adókötelezettség a tevékenység megkezdésének napjával keletkezik és a tevékenység megszűntetésének napjával szűnik meg. </w:t>
      </w:r>
    </w:p>
    <w:p w:rsidR="00861CAB" w:rsidRPr="00F26987" w:rsidRDefault="00861CAB" w:rsidP="002C7472">
      <w:pPr>
        <w:spacing w:after="120"/>
        <w:jc w:val="both"/>
        <w:rPr>
          <w:rFonts w:ascii="Arial" w:eastAsia="Times New Roman" w:hAnsi="Arial" w:cs="Arial"/>
          <w:lang w:eastAsia="hu-HU"/>
        </w:rPr>
      </w:pPr>
      <w:r w:rsidRPr="00F26987">
        <w:rPr>
          <w:rFonts w:ascii="Arial" w:eastAsia="Times New Roman" w:hAnsi="Arial" w:cs="Arial"/>
          <w:lang w:eastAsia="hu-HU"/>
        </w:rPr>
        <w:t xml:space="preserve">Hévíz város területén önkormányzati rendelet alapján az iparűzési adó mértéke az állandó jelleggel végzett iparűzési tevékenység esetén az adóalap 2%-a, amely megfelel a törvényben előírt maximumnak. </w:t>
      </w:r>
    </w:p>
    <w:p w:rsidR="00861CAB" w:rsidRPr="00F26987" w:rsidRDefault="00861CAB" w:rsidP="00CD6A41">
      <w:pPr>
        <w:spacing w:after="120"/>
        <w:jc w:val="both"/>
        <w:rPr>
          <w:rFonts w:ascii="Arial" w:eastAsia="Times New Roman" w:hAnsi="Arial" w:cs="Arial"/>
          <w:lang w:eastAsia="hu-HU"/>
        </w:rPr>
      </w:pPr>
      <w:r w:rsidRPr="00F26987">
        <w:rPr>
          <w:rFonts w:ascii="Arial" w:eastAsia="Times New Roman" w:hAnsi="Arial" w:cs="Arial"/>
          <w:lang w:eastAsia="hu-HU"/>
        </w:rPr>
        <w:t xml:space="preserve">Az adó ideiglenes jelleggel végzett iparűzési tevékenység esetében naptári naponként 3000,- forint. Ideiglenes tevékenység esetében a törvény szerinti maximum érték naptári naponként 5000,- forint. A törvényi maximum kihasználtsága 60 %. </w:t>
      </w:r>
    </w:p>
    <w:p w:rsidR="00861CAB" w:rsidRPr="00EF47ED" w:rsidRDefault="00861CAB" w:rsidP="00CD6A41">
      <w:pPr>
        <w:spacing w:after="120"/>
        <w:jc w:val="both"/>
        <w:rPr>
          <w:rFonts w:ascii="Arial" w:hAnsi="Arial" w:cs="Arial"/>
        </w:rPr>
      </w:pPr>
      <w:r w:rsidRPr="00F26987">
        <w:rPr>
          <w:rFonts w:ascii="Arial" w:hAnsi="Arial" w:cs="Arial"/>
        </w:rPr>
        <w:t xml:space="preserve">A helyi adónyilvántartás alapján 2015. évben az iparűzési adó alanyok száma </w:t>
      </w:r>
      <w:r w:rsidR="004035AC">
        <w:rPr>
          <w:rFonts w:ascii="Arial" w:hAnsi="Arial" w:cs="Arial"/>
        </w:rPr>
        <w:t xml:space="preserve">1352, ebből 45 </w:t>
      </w:r>
      <w:r w:rsidRPr="00EF47ED">
        <w:rPr>
          <w:rFonts w:ascii="Arial" w:hAnsi="Arial" w:cs="Arial"/>
        </w:rPr>
        <w:t xml:space="preserve">a </w:t>
      </w:r>
      <w:proofErr w:type="spellStart"/>
      <w:r w:rsidRPr="00EF47ED">
        <w:rPr>
          <w:rFonts w:ascii="Arial" w:hAnsi="Arial" w:cs="Arial"/>
        </w:rPr>
        <w:t>KATA-s</w:t>
      </w:r>
      <w:proofErr w:type="spellEnd"/>
      <w:r w:rsidRPr="00EF47ED">
        <w:rPr>
          <w:rFonts w:ascii="Arial" w:hAnsi="Arial" w:cs="Arial"/>
        </w:rPr>
        <w:t xml:space="preserve"> adózó. </w:t>
      </w:r>
    </w:p>
    <w:p w:rsidR="00861CAB" w:rsidRPr="00F26987" w:rsidRDefault="00861CAB" w:rsidP="00CD6A41">
      <w:pPr>
        <w:spacing w:after="120"/>
        <w:jc w:val="both"/>
        <w:rPr>
          <w:rFonts w:ascii="Arial" w:eastAsia="Times New Roman" w:hAnsi="Arial" w:cs="Arial"/>
          <w:lang w:eastAsia="hu-HU"/>
        </w:rPr>
      </w:pPr>
      <w:r w:rsidRPr="00F26987">
        <w:rPr>
          <w:rFonts w:ascii="Arial" w:eastAsia="Times New Roman" w:hAnsi="Arial" w:cs="Arial"/>
          <w:lang w:eastAsia="hu-HU"/>
        </w:rPr>
        <w:t>Kisvállalkozások tételes adóját választók az iparűzési adó kötelezettséget egyszerűsítetten fizethetik meg: a székhely és telephely szerinti önkormányzatok részére 2,5 millió forint adóalap után az éves adófizetési kötelezettség a teljes adóévre 50 ezer forint (2 x 25 000,</w:t>
      </w:r>
      <w:proofErr w:type="spellStart"/>
      <w:r w:rsidRPr="00F26987">
        <w:rPr>
          <w:rFonts w:ascii="Arial" w:eastAsia="Times New Roman" w:hAnsi="Arial" w:cs="Arial"/>
          <w:lang w:eastAsia="hu-HU"/>
        </w:rPr>
        <w:t>-Ft</w:t>
      </w:r>
      <w:proofErr w:type="spellEnd"/>
      <w:r w:rsidRPr="00F26987">
        <w:rPr>
          <w:rFonts w:ascii="Arial" w:eastAsia="Times New Roman" w:hAnsi="Arial" w:cs="Arial"/>
          <w:lang w:eastAsia="hu-HU"/>
        </w:rPr>
        <w:t>).</w:t>
      </w:r>
    </w:p>
    <w:p w:rsidR="00861CAB" w:rsidRPr="00F26987" w:rsidRDefault="00861CAB" w:rsidP="00CD6A41">
      <w:pPr>
        <w:spacing w:after="120"/>
        <w:jc w:val="both"/>
        <w:rPr>
          <w:rFonts w:ascii="Arial" w:hAnsi="Arial" w:cs="Arial"/>
        </w:rPr>
      </w:pPr>
      <w:r w:rsidRPr="00F26987">
        <w:rPr>
          <w:rFonts w:ascii="Arial" w:hAnsi="Arial" w:cs="Arial"/>
        </w:rPr>
        <w:t xml:space="preserve">Május-június hónapban feldolgozásra került </w:t>
      </w:r>
      <w:r w:rsidRPr="00EF47ED">
        <w:rPr>
          <w:rFonts w:ascii="Arial" w:hAnsi="Arial" w:cs="Arial"/>
        </w:rPr>
        <w:t>1197</w:t>
      </w:r>
      <w:r w:rsidRPr="00F26987">
        <w:rPr>
          <w:rFonts w:ascii="Arial" w:hAnsi="Arial" w:cs="Arial"/>
        </w:rPr>
        <w:t xml:space="preserve"> db adóbevallás, amelyből </w:t>
      </w:r>
      <w:r w:rsidRPr="00EF47ED">
        <w:rPr>
          <w:rFonts w:ascii="Arial" w:hAnsi="Arial" w:cs="Arial"/>
        </w:rPr>
        <w:t>76</w:t>
      </w:r>
      <w:r w:rsidRPr="00F26987">
        <w:rPr>
          <w:rFonts w:ascii="Arial" w:hAnsi="Arial" w:cs="Arial"/>
          <w:b/>
        </w:rPr>
        <w:t xml:space="preserve"> </w:t>
      </w:r>
      <w:r w:rsidRPr="00F26987">
        <w:rPr>
          <w:rFonts w:ascii="Arial" w:hAnsi="Arial" w:cs="Arial"/>
        </w:rPr>
        <w:t xml:space="preserve">db záró bevallás 2014. évről. A bevallások feldolgozása a határidő betartásával valósult meg. </w:t>
      </w:r>
    </w:p>
    <w:p w:rsidR="00861CAB" w:rsidRPr="00F26987" w:rsidRDefault="00861CAB" w:rsidP="00CD6A41">
      <w:pPr>
        <w:spacing w:after="120"/>
        <w:jc w:val="both"/>
        <w:rPr>
          <w:rFonts w:ascii="Arial" w:eastAsia="Times New Roman" w:hAnsi="Arial" w:cs="Arial"/>
          <w:lang w:eastAsia="hu-HU"/>
        </w:rPr>
      </w:pPr>
      <w:r w:rsidRPr="00F26987">
        <w:rPr>
          <w:rFonts w:ascii="Arial" w:hAnsi="Arial" w:cs="Arial"/>
        </w:rPr>
        <w:t xml:space="preserve">Általános tapasztalat, hogy a benyújtott bevallások 40 %-a hibás, melyet </w:t>
      </w:r>
      <w:r w:rsidRPr="00F26987">
        <w:rPr>
          <w:rFonts w:ascii="Arial" w:eastAsia="Times New Roman" w:hAnsi="Arial" w:cs="Arial"/>
          <w:lang w:eastAsia="hu-HU"/>
        </w:rPr>
        <w:t>az adózás rendjéről szóló 2003. évi XCII. törvény értelmében az ügyintéző javít, és arról az adózót értesíti. Továbbra is jellemző hibák fordulnak elő a bevallásoknál a bevallási nyomtatványokat nem írják alá, a bevallási nyomtatványok kiegészítő lapjai nincsenek kitöltve, számszaki hibát tartalmaznak, nem a kitöltési útmutatóban leírtak szerint töltik ki a bevallást, a megfizetett adóelőleget elfelejtik beírni, az adóalap megosztás nem a jogszabálynak megfelelően történik</w:t>
      </w:r>
      <w:r w:rsidR="0052542B">
        <w:rPr>
          <w:rFonts w:ascii="Arial" w:eastAsia="Times New Roman" w:hAnsi="Arial" w:cs="Arial"/>
          <w:lang w:eastAsia="hu-HU"/>
        </w:rPr>
        <w:t>.</w:t>
      </w:r>
    </w:p>
    <w:p w:rsidR="00861CAB" w:rsidRPr="00F26987" w:rsidRDefault="00861CAB" w:rsidP="00CD6A41">
      <w:pPr>
        <w:spacing w:after="120"/>
        <w:jc w:val="both"/>
        <w:rPr>
          <w:rFonts w:ascii="Arial" w:hAnsi="Arial" w:cs="Arial"/>
        </w:rPr>
      </w:pPr>
      <w:r w:rsidRPr="00F26987">
        <w:rPr>
          <w:rFonts w:ascii="Arial" w:hAnsi="Arial" w:cs="Arial"/>
        </w:rPr>
        <w:t>A bevallást elmulasztók részére 2015. szeptember 15-én</w:t>
      </w:r>
      <w:r w:rsidRPr="00EF47ED">
        <w:rPr>
          <w:rFonts w:ascii="Arial" w:hAnsi="Arial" w:cs="Arial"/>
        </w:rPr>
        <w:t xml:space="preserve"> 259</w:t>
      </w:r>
      <w:r w:rsidRPr="00F26987">
        <w:rPr>
          <w:rFonts w:ascii="Arial" w:hAnsi="Arial" w:cs="Arial"/>
          <w:b/>
        </w:rPr>
        <w:t xml:space="preserve"> </w:t>
      </w:r>
      <w:r w:rsidRPr="00F26987">
        <w:rPr>
          <w:rFonts w:ascii="Arial" w:hAnsi="Arial" w:cs="Arial"/>
        </w:rPr>
        <w:t>db kötelezettségük teljesítésére felszólító értesítés került kiküldésre - 2010. adóévig visszamenőlegesen - amelynek nagy számban eleget tettek az adózók, és jelenleg is folyamatosan érkeznek az elmaradt bevallások. Volt olyan adózó, akinek több éves bevallási elmaradása most került feldolgozásra.</w:t>
      </w:r>
    </w:p>
    <w:p w:rsidR="00861CAB" w:rsidRPr="00F26987" w:rsidRDefault="00861CAB" w:rsidP="00CD6A41">
      <w:pPr>
        <w:spacing w:after="120"/>
        <w:jc w:val="both"/>
        <w:rPr>
          <w:rFonts w:ascii="Arial" w:hAnsi="Arial" w:cs="Arial"/>
        </w:rPr>
      </w:pPr>
      <w:r w:rsidRPr="00F26987">
        <w:rPr>
          <w:rFonts w:ascii="Arial" w:hAnsi="Arial" w:cs="Arial"/>
        </w:rPr>
        <w:t xml:space="preserve">E felszólítások eredményeképpen </w:t>
      </w:r>
      <w:r w:rsidRPr="00EF47ED">
        <w:rPr>
          <w:rFonts w:ascii="Arial" w:hAnsi="Arial" w:cs="Arial"/>
        </w:rPr>
        <w:t>3.465.110</w:t>
      </w:r>
      <w:r w:rsidR="0052542B">
        <w:rPr>
          <w:rFonts w:ascii="Arial" w:hAnsi="Arial" w:cs="Arial"/>
        </w:rPr>
        <w:t xml:space="preserve"> </w:t>
      </w:r>
      <w:r w:rsidRPr="00F26987">
        <w:rPr>
          <w:rFonts w:ascii="Arial" w:hAnsi="Arial" w:cs="Arial"/>
        </w:rPr>
        <w:t xml:space="preserve">Ft került 2015. november 1. napjáig kivetésre. </w:t>
      </w:r>
    </w:p>
    <w:p w:rsidR="00861CAB" w:rsidRPr="00F26987" w:rsidRDefault="00861CAB" w:rsidP="00CD6A41">
      <w:pPr>
        <w:spacing w:after="120"/>
        <w:jc w:val="both"/>
        <w:rPr>
          <w:rFonts w:ascii="Arial" w:hAnsi="Arial" w:cs="Arial"/>
        </w:rPr>
      </w:pPr>
      <w:r w:rsidRPr="00F26987">
        <w:rPr>
          <w:rFonts w:ascii="Arial" w:hAnsi="Arial" w:cs="Arial"/>
        </w:rPr>
        <w:t>A nyilvántartott túlfizetés összege 2015. szeptember 30. napjáig</w:t>
      </w:r>
      <w:r w:rsidRPr="00EF47ED">
        <w:rPr>
          <w:rFonts w:ascii="Arial" w:hAnsi="Arial" w:cs="Arial"/>
        </w:rPr>
        <w:t>, 12.610.231</w:t>
      </w:r>
      <w:r w:rsidR="0052542B">
        <w:rPr>
          <w:rFonts w:ascii="Arial" w:hAnsi="Arial" w:cs="Arial"/>
        </w:rPr>
        <w:t xml:space="preserve"> </w:t>
      </w:r>
      <w:r w:rsidRPr="00F26987">
        <w:rPr>
          <w:rFonts w:ascii="Arial" w:hAnsi="Arial" w:cs="Arial"/>
        </w:rPr>
        <w:t>Ft</w:t>
      </w:r>
      <w:r w:rsidR="0052542B">
        <w:rPr>
          <w:rFonts w:ascii="Arial" w:hAnsi="Arial" w:cs="Arial"/>
        </w:rPr>
        <w:t>,</w:t>
      </w:r>
      <w:r w:rsidRPr="00F26987">
        <w:rPr>
          <w:rFonts w:ascii="Arial" w:hAnsi="Arial" w:cs="Arial"/>
        </w:rPr>
        <w:t xml:space="preserve"> mely túlfizetéseket az adózók a későbbi előírásaikra hagyják elszámolni, de számlák közötti átvezetését, illetve a túlfizetés visszautalását is kérelmezhetik. </w:t>
      </w:r>
    </w:p>
    <w:p w:rsidR="00861CAB" w:rsidRPr="00F26987" w:rsidRDefault="00861CAB" w:rsidP="00CD6A41">
      <w:pPr>
        <w:spacing w:after="120"/>
        <w:jc w:val="both"/>
        <w:rPr>
          <w:rFonts w:ascii="Arial" w:hAnsi="Arial" w:cs="Arial"/>
        </w:rPr>
      </w:pPr>
      <w:r w:rsidRPr="00F26987">
        <w:rPr>
          <w:rFonts w:ascii="Arial" w:hAnsi="Arial" w:cs="Arial"/>
        </w:rPr>
        <w:t xml:space="preserve">Tekintettel arra, </w:t>
      </w:r>
      <w:r w:rsidRPr="00EF47ED">
        <w:rPr>
          <w:rFonts w:ascii="Arial" w:hAnsi="Arial" w:cs="Arial"/>
        </w:rPr>
        <w:t>hogy az iparűzési adó nem kivetéses adónem,</w:t>
      </w:r>
      <w:r w:rsidRPr="00F26987">
        <w:rPr>
          <w:rFonts w:ascii="Arial" w:hAnsi="Arial" w:cs="Arial"/>
        </w:rPr>
        <w:t xml:space="preserve"> nem lehet kalkulációkba bocsátkozni a meg nem fizetett adó nagyságáról. </w:t>
      </w:r>
    </w:p>
    <w:p w:rsidR="00861CAB" w:rsidRDefault="00861CAB" w:rsidP="00CD6A41">
      <w:pPr>
        <w:spacing w:after="120"/>
        <w:jc w:val="both"/>
        <w:rPr>
          <w:rFonts w:ascii="Arial" w:hAnsi="Arial" w:cs="Arial"/>
        </w:rPr>
      </w:pPr>
      <w:r w:rsidRPr="00F26987">
        <w:rPr>
          <w:rFonts w:ascii="Arial" w:hAnsi="Arial" w:cs="Arial"/>
        </w:rPr>
        <w:t>Az adónemet sajátos fizetési mód jellemzi, az adózók az adóévben egyrészt a megelőző év adatai alapján előleget fizetnek (március 15. és szeptember 15.) másrészt elszámolnak a befizetett előlegekkel szemben</w:t>
      </w:r>
      <w:r w:rsidR="0052542B">
        <w:rPr>
          <w:rFonts w:ascii="Arial" w:hAnsi="Arial" w:cs="Arial"/>
        </w:rPr>
        <w:t>,</w:t>
      </w:r>
      <w:r w:rsidRPr="00F26987">
        <w:rPr>
          <w:rFonts w:ascii="Arial" w:hAnsi="Arial" w:cs="Arial"/>
        </w:rPr>
        <w:t xml:space="preserve"> (május 31.) valamint december 20. napjáig feltöltési kötelezettséget teljesítenek. Ekkor az éves várható adó összegére kiegészítik a már megfizetett adóelőlegeket. A feltöltési kötelezettség azon kettős könyvvitelt vezető belföldi és külföldi adózókat érinti, akik a társasági adó törvény hatálya alá tartoznak és az adóévet megelőző adóévben az éves szinten számított árbevétele a 100 millió Ft-ot meghaladta. </w:t>
      </w:r>
    </w:p>
    <w:p w:rsidR="004035AC" w:rsidRDefault="004035AC" w:rsidP="00CD6A41">
      <w:pPr>
        <w:spacing w:after="120"/>
        <w:jc w:val="both"/>
        <w:rPr>
          <w:rFonts w:ascii="Arial" w:hAnsi="Arial" w:cs="Arial"/>
        </w:rPr>
      </w:pPr>
      <w:r>
        <w:rPr>
          <w:rFonts w:ascii="Arial" w:hAnsi="Arial" w:cs="Arial"/>
        </w:rPr>
        <w:t xml:space="preserve">A feltöltési kötelezettség teljesítésre </w:t>
      </w:r>
      <w:proofErr w:type="spellStart"/>
      <w:r>
        <w:rPr>
          <w:rFonts w:ascii="Arial" w:hAnsi="Arial" w:cs="Arial"/>
        </w:rPr>
        <w:t>felhívéást</w:t>
      </w:r>
      <w:proofErr w:type="spellEnd"/>
      <w:r>
        <w:rPr>
          <w:rFonts w:ascii="Arial" w:hAnsi="Arial" w:cs="Arial"/>
        </w:rPr>
        <w:t xml:space="preserve"> fogunk kibocsátani.</w:t>
      </w:r>
    </w:p>
    <w:p w:rsidR="00FC3C77" w:rsidRDefault="00FC3C77" w:rsidP="00CD6A41">
      <w:pPr>
        <w:spacing w:after="120"/>
        <w:jc w:val="both"/>
        <w:rPr>
          <w:rFonts w:ascii="Arial" w:hAnsi="Arial" w:cs="Arial"/>
        </w:rPr>
      </w:pPr>
    </w:p>
    <w:p w:rsidR="00FC3C77" w:rsidRDefault="00FC3C77" w:rsidP="00CD6A41">
      <w:pPr>
        <w:spacing w:after="120"/>
        <w:jc w:val="both"/>
        <w:rPr>
          <w:rFonts w:ascii="Arial" w:hAnsi="Arial" w:cs="Arial"/>
        </w:rPr>
      </w:pPr>
    </w:p>
    <w:p w:rsidR="00FC3C77" w:rsidRDefault="00FC3C77" w:rsidP="00CD6A41">
      <w:pPr>
        <w:spacing w:after="120"/>
        <w:jc w:val="both"/>
        <w:rPr>
          <w:rFonts w:ascii="Arial" w:hAnsi="Arial" w:cs="Arial"/>
        </w:rPr>
      </w:pPr>
    </w:p>
    <w:p w:rsidR="00FC3C77" w:rsidRPr="00F26987" w:rsidRDefault="00FC3C77" w:rsidP="00CD6A41">
      <w:pPr>
        <w:spacing w:after="120"/>
        <w:jc w:val="both"/>
        <w:rPr>
          <w:rFonts w:ascii="Arial" w:hAnsi="Arial" w:cs="Arial"/>
        </w:rPr>
      </w:pPr>
    </w:p>
    <w:p w:rsidR="0039063E" w:rsidRDefault="000660BC" w:rsidP="00E9139C">
      <w:pPr>
        <w:numPr>
          <w:ilvl w:val="1"/>
          <w:numId w:val="33"/>
        </w:numPr>
        <w:spacing w:before="240" w:after="240"/>
        <w:jc w:val="both"/>
        <w:rPr>
          <w:rFonts w:ascii="Arial" w:hAnsi="Arial" w:cs="Arial"/>
          <w:b/>
        </w:rPr>
      </w:pPr>
      <w:r>
        <w:rPr>
          <w:rFonts w:ascii="Arial" w:hAnsi="Arial" w:cs="Arial"/>
          <w:b/>
        </w:rPr>
        <w:t>I</w:t>
      </w:r>
      <w:r w:rsidR="0039063E" w:rsidRPr="00FB0978">
        <w:rPr>
          <w:rFonts w:ascii="Arial" w:hAnsi="Arial" w:cs="Arial"/>
          <w:b/>
        </w:rPr>
        <w:t>degenforgalmi adó</w:t>
      </w:r>
    </w:p>
    <w:p w:rsidR="00E9139C" w:rsidRPr="00EF47ED" w:rsidRDefault="00E9139C" w:rsidP="00CD6A41">
      <w:pPr>
        <w:spacing w:before="120" w:after="120"/>
        <w:jc w:val="both"/>
        <w:rPr>
          <w:rFonts w:ascii="Arial" w:hAnsi="Arial" w:cs="Arial"/>
        </w:rPr>
      </w:pPr>
      <w:r w:rsidRPr="00EF47ED">
        <w:rPr>
          <w:rFonts w:ascii="Arial" w:hAnsi="Arial" w:cs="Arial"/>
        </w:rPr>
        <w:t>Az idegenforgalmi adó kötelezettség az önkormányzat illetékességi területén legalább egy vendégéjszakát eltöltő magánszemélyt terheli. Az adó mértéke 2015-ban az előző évihez képest nem változott, 450 Ft/vendégéjszaka, a lehetséges maximális mérték 505.1 Ft.</w:t>
      </w:r>
    </w:p>
    <w:p w:rsidR="00E9139C" w:rsidRDefault="00E9139C" w:rsidP="00493C37">
      <w:pPr>
        <w:spacing w:before="120" w:after="120"/>
        <w:jc w:val="both"/>
      </w:pPr>
      <w:r w:rsidRPr="00EF47ED">
        <w:rPr>
          <w:rFonts w:ascii="Arial" w:hAnsi="Arial" w:cs="Arial"/>
        </w:rPr>
        <w:t>2015. október 31-ig 387 618 e Ft adóbevétel folyt be, az előző év azonos időszakában 401 592 e Ft volt a bevétel. Az éves előirányzat 480 000 ezer Ft, melynek 81 %-a teljesült, az előző év azonos időszakának 84 %-os teljesülésével szemben. A kereskedelmi szálláshelyektől származó bevételek a KSH adatok szerint kb. 8,8%-al mérséklődött az év első nyolc hónapjában. Ennek tükrében év végéig a tervezettnél kevesebb, kb. 450 000 e Ft idegenforgalmi adóbevétel realizálódik. A központi költségvetés az adóbevétel másfélszeresének megfelelő, 1,55 Ft/idegenforgalmi adóforint támogatást biztosít.</w:t>
      </w:r>
      <w:r w:rsidRPr="0007648D">
        <w:t xml:space="preserve"> </w:t>
      </w:r>
    </w:p>
    <w:p w:rsidR="00E9139C" w:rsidRDefault="00B03B76" w:rsidP="00B03B76">
      <w:pPr>
        <w:spacing w:before="120" w:after="120"/>
        <w:ind w:left="360"/>
        <w:jc w:val="center"/>
      </w:pPr>
      <w:r>
        <w:t>Befizetett idegenforgalmi adó havi megoszlása</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791"/>
        <w:gridCol w:w="714"/>
        <w:gridCol w:w="709"/>
        <w:gridCol w:w="709"/>
        <w:gridCol w:w="709"/>
        <w:gridCol w:w="708"/>
        <w:gridCol w:w="709"/>
        <w:gridCol w:w="709"/>
        <w:gridCol w:w="709"/>
        <w:gridCol w:w="708"/>
        <w:gridCol w:w="709"/>
        <w:gridCol w:w="709"/>
        <w:gridCol w:w="850"/>
      </w:tblGrid>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Times New Roman" w:eastAsia="Times New Roman" w:hAnsi="Times New Roman"/>
                <w:sz w:val="18"/>
                <w:szCs w:val="18"/>
                <w:lang w:eastAsia="hu-HU"/>
              </w:rPr>
            </w:pPr>
          </w:p>
        </w:tc>
        <w:tc>
          <w:tcPr>
            <w:tcW w:w="791"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jan.</w:t>
            </w:r>
          </w:p>
        </w:tc>
        <w:tc>
          <w:tcPr>
            <w:tcW w:w="714"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febr.</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márc.</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ápr.</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máj.</w:t>
            </w:r>
          </w:p>
        </w:tc>
        <w:tc>
          <w:tcPr>
            <w:tcW w:w="708"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jún.</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júl.</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aug.</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szept.</w:t>
            </w:r>
          </w:p>
        </w:tc>
        <w:tc>
          <w:tcPr>
            <w:tcW w:w="708"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okt.</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nov.</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dec.</w:t>
            </w:r>
          </w:p>
        </w:tc>
        <w:tc>
          <w:tcPr>
            <w:tcW w:w="850"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b/>
                <w:bCs/>
                <w:sz w:val="18"/>
                <w:szCs w:val="18"/>
                <w:lang w:eastAsia="hu-HU"/>
              </w:rPr>
            </w:pPr>
            <w:proofErr w:type="spellStart"/>
            <w:r w:rsidRPr="001E6D84">
              <w:rPr>
                <w:rFonts w:ascii="Arial" w:eastAsia="Times New Roman" w:hAnsi="Arial" w:cs="Arial"/>
                <w:b/>
                <w:bCs/>
                <w:sz w:val="18"/>
                <w:szCs w:val="18"/>
                <w:lang w:eastAsia="hu-HU"/>
              </w:rPr>
              <w:t>össz</w:t>
            </w:r>
            <w:proofErr w:type="spellEnd"/>
            <w:r w:rsidRPr="00B03B76">
              <w:rPr>
                <w:rFonts w:ascii="Arial" w:eastAsia="Times New Roman" w:hAnsi="Arial" w:cs="Arial"/>
                <w:b/>
                <w:bCs/>
                <w:sz w:val="18"/>
                <w:szCs w:val="18"/>
                <w:lang w:eastAsia="hu-HU"/>
              </w:rPr>
              <w:t>.</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2010</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18 862</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25 006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27 876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33 156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27 884</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33 767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33 015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43 533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47 094</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45 827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38 666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33 306</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407 992</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2011</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17 005</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24 400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26 599</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29 266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31 688</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39 607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37 443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50 573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60 846</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46 412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41 815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35 267</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440 921</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2012</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22 174</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27 463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25 396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32 631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32 940</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40 371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41 958</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45 766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53 588</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50 700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44 622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35 252</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452 861</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2013</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23 573</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27 581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27 205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36 481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32 883</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47 163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45 777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48 604</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56 230</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52 220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53 150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36 654</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487 521</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2014</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25 085</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31 056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26 602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30 147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40 694</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44 214</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43 841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51 712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59 748</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48 493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42 443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38 251</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482 286</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2015</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23 226</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24 996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24 358</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31 098</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33 605</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44 395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45 689</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52 203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60 456</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47 592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p>
        </w:tc>
        <w:tc>
          <w:tcPr>
            <w:tcW w:w="709" w:type="dxa"/>
            <w:shd w:val="clear" w:color="auto" w:fill="auto"/>
            <w:noWrap/>
            <w:vAlign w:val="bottom"/>
            <w:hideMark/>
          </w:tcPr>
          <w:p w:rsidR="001E6D84" w:rsidRPr="001E6D84" w:rsidRDefault="001E6D84" w:rsidP="001E6D84">
            <w:pPr>
              <w:spacing w:after="0" w:line="240" w:lineRule="auto"/>
              <w:rPr>
                <w:rFonts w:ascii="Times New Roman" w:eastAsia="Times New Roman" w:hAnsi="Times New Roman"/>
                <w:sz w:val="18"/>
                <w:szCs w:val="18"/>
                <w:lang w:eastAsia="hu-HU"/>
              </w:rPr>
            </w:pP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387 618</w:t>
            </w:r>
          </w:p>
        </w:tc>
      </w:tr>
    </w:tbl>
    <w:p w:rsidR="00E9139C" w:rsidRDefault="00E9139C" w:rsidP="001E6D84">
      <w:pPr>
        <w:spacing w:before="120" w:after="120"/>
        <w:ind w:left="360"/>
      </w:pPr>
    </w:p>
    <w:p w:rsidR="0052542B" w:rsidRDefault="001E6D84" w:rsidP="00E9139C">
      <w:pPr>
        <w:spacing w:before="120" w:after="120"/>
        <w:ind w:left="360"/>
        <w:jc w:val="both"/>
      </w:pPr>
      <w:r>
        <w:rPr>
          <w:noProof/>
          <w:lang w:eastAsia="hu-HU"/>
        </w:rPr>
        <w:drawing>
          <wp:inline distT="0" distB="0" distL="0" distR="0" wp14:anchorId="76D6A510" wp14:editId="3684BC41">
            <wp:extent cx="5276851" cy="3095625"/>
            <wp:effectExtent l="0" t="0" r="0" b="952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3152D" w:rsidRPr="0033152D" w:rsidRDefault="0033152D" w:rsidP="00E63E43">
      <w:pPr>
        <w:spacing w:after="120"/>
        <w:jc w:val="both"/>
        <w:rPr>
          <w:rFonts w:ascii="Arial" w:hAnsi="Arial" w:cs="Arial"/>
        </w:rPr>
      </w:pPr>
      <w:r w:rsidRPr="00B64A66">
        <w:rPr>
          <w:rFonts w:ascii="Arial" w:hAnsi="Arial" w:cs="Arial"/>
        </w:rPr>
        <w:t xml:space="preserve">Az adónem kintlévősége 2015. október 31. napján </w:t>
      </w:r>
      <w:r w:rsidR="00B64A66" w:rsidRPr="00B64A66">
        <w:rPr>
          <w:rFonts w:ascii="Arial" w:hAnsi="Arial" w:cs="Arial"/>
        </w:rPr>
        <w:t>5.686</w:t>
      </w:r>
      <w:r w:rsidRPr="00B64A66">
        <w:rPr>
          <w:rFonts w:ascii="Arial" w:hAnsi="Arial" w:cs="Arial"/>
        </w:rPr>
        <w:t xml:space="preserve"> ezer Ft, az előző év szeptember állapotához </w:t>
      </w:r>
      <w:r w:rsidR="00D567B6" w:rsidRPr="00B64A66">
        <w:rPr>
          <w:rFonts w:ascii="Arial" w:hAnsi="Arial" w:cs="Arial"/>
        </w:rPr>
        <w:t xml:space="preserve">4.192 e Ft </w:t>
      </w:r>
      <w:r w:rsidRPr="00B64A66">
        <w:rPr>
          <w:rFonts w:ascii="Arial" w:hAnsi="Arial" w:cs="Arial"/>
        </w:rPr>
        <w:t>képest kis mértékben növekedett.</w:t>
      </w:r>
      <w:r w:rsidR="00D567B6">
        <w:rPr>
          <w:rFonts w:ascii="Arial" w:hAnsi="Arial" w:cs="Arial"/>
        </w:rPr>
        <w:t xml:space="preserve"> </w:t>
      </w:r>
    </w:p>
    <w:p w:rsidR="00FC26C7" w:rsidRDefault="00AA14B4" w:rsidP="008E0A38">
      <w:pPr>
        <w:spacing w:after="0"/>
        <w:jc w:val="both"/>
        <w:rPr>
          <w:rFonts w:ascii="Arial" w:hAnsi="Arial" w:cs="Arial"/>
        </w:rPr>
      </w:pPr>
      <w:r>
        <w:rPr>
          <w:rFonts w:ascii="Arial" w:hAnsi="Arial" w:cs="Arial"/>
        </w:rPr>
        <w:t>Az idegenforgalmi adó mértékéről ez évben a Képviselő-testület rendeletmódosítást fogadott el, miszerint 2016. január 1. napjától a</w:t>
      </w:r>
      <w:r w:rsidRPr="00271552">
        <w:rPr>
          <w:rFonts w:ascii="Arial" w:hAnsi="Arial" w:cs="Arial"/>
        </w:rPr>
        <w:t>z adó mértéke személyenké</w:t>
      </w:r>
      <w:r>
        <w:rPr>
          <w:rFonts w:ascii="Arial" w:hAnsi="Arial" w:cs="Arial"/>
        </w:rPr>
        <w:t>nt és vendégéjszakánként 500 forint</w:t>
      </w:r>
      <w:r w:rsidR="00E968A0">
        <w:rPr>
          <w:rFonts w:ascii="Arial" w:hAnsi="Arial" w:cs="Arial"/>
        </w:rPr>
        <w:t>ra változik.</w:t>
      </w:r>
    </w:p>
    <w:p w:rsidR="00FC3C77" w:rsidRDefault="00FC3C77" w:rsidP="008E0A38">
      <w:pPr>
        <w:spacing w:after="0"/>
        <w:jc w:val="both"/>
        <w:rPr>
          <w:rFonts w:ascii="Arial" w:hAnsi="Arial" w:cs="Arial"/>
        </w:rPr>
      </w:pPr>
    </w:p>
    <w:p w:rsidR="00FC3C77" w:rsidRDefault="00FC3C77" w:rsidP="008E0A38">
      <w:pPr>
        <w:spacing w:after="0"/>
        <w:jc w:val="both"/>
        <w:rPr>
          <w:rFonts w:ascii="Arial" w:hAnsi="Arial" w:cs="Arial"/>
        </w:rPr>
      </w:pPr>
    </w:p>
    <w:p w:rsidR="00546EBF" w:rsidRPr="00F26987" w:rsidRDefault="00233492" w:rsidP="006833A9">
      <w:pPr>
        <w:spacing w:before="360"/>
        <w:jc w:val="both"/>
        <w:rPr>
          <w:rFonts w:ascii="Arial" w:hAnsi="Arial" w:cs="Arial"/>
          <w:b/>
        </w:rPr>
      </w:pPr>
      <w:r>
        <w:rPr>
          <w:rFonts w:ascii="Arial" w:hAnsi="Arial" w:cs="Arial"/>
          <w:b/>
        </w:rPr>
        <w:lastRenderedPageBreak/>
        <w:t>2.3</w:t>
      </w:r>
      <w:r w:rsidR="00E9139C">
        <w:rPr>
          <w:rFonts w:ascii="Arial" w:hAnsi="Arial" w:cs="Arial"/>
          <w:b/>
        </w:rPr>
        <w:t>. A gépjármű</w:t>
      </w:r>
      <w:r w:rsidR="00447CC7" w:rsidRPr="00F26987">
        <w:rPr>
          <w:rFonts w:ascii="Arial" w:hAnsi="Arial" w:cs="Arial"/>
          <w:b/>
        </w:rPr>
        <w:t xml:space="preserve"> adó</w:t>
      </w:r>
    </w:p>
    <w:p w:rsidR="00ED6AEE" w:rsidRDefault="00ED6AEE" w:rsidP="008E0A38">
      <w:pPr>
        <w:jc w:val="both"/>
        <w:rPr>
          <w:rFonts w:ascii="Arial" w:hAnsi="Arial" w:cs="Arial"/>
        </w:rPr>
      </w:pPr>
      <w:r>
        <w:rPr>
          <w:rFonts w:ascii="Arial" w:hAnsi="Arial" w:cs="Arial"/>
        </w:rPr>
        <w:t xml:space="preserve">A gépjárműadó nem tartozik a helyi adók körébe, de a befolyt összeg 40%-a helyi önkormányzat bevétele, függetlenül attól, hogy előző évekről áthúzódó követeléskezelés, végrehajtás eredményeként sikerült-e beszedni, illetve az adózó fizetési könnyítés során részletekben fizette-e meg. A gépjárműadóról szóló 1991. évi LXXXII. törvény írja elő a gépjárművek adóztatásának szabályait, melyek </w:t>
      </w:r>
      <w:r w:rsidRPr="00B64A66">
        <w:rPr>
          <w:rFonts w:ascii="Arial" w:hAnsi="Arial" w:cs="Arial"/>
        </w:rPr>
        <w:t>2015</w:t>
      </w:r>
      <w:r>
        <w:rPr>
          <w:rFonts w:ascii="Arial" w:hAnsi="Arial" w:cs="Arial"/>
        </w:rPr>
        <w:t xml:space="preserve">-re nem változtak. </w:t>
      </w:r>
    </w:p>
    <w:p w:rsidR="00ED6AEE" w:rsidRPr="00F26987" w:rsidRDefault="00ED6AEE" w:rsidP="008E0A38">
      <w:pPr>
        <w:jc w:val="both"/>
        <w:rPr>
          <w:rFonts w:ascii="Arial" w:hAnsi="Arial" w:cs="Arial"/>
        </w:rPr>
      </w:pPr>
      <w:r w:rsidRPr="00F26987">
        <w:rPr>
          <w:rFonts w:ascii="Arial" w:hAnsi="Arial" w:cs="Arial"/>
        </w:rPr>
        <w:t>Az önkormányzatnál maradó adóbevételek 2013. évtől radikálisan csökkentek, mivel a 2013. évtől beszedett, befizetett adó 40 %-a marad csak az önkormányzatoknál, mint megosztott bevétel, függetlenül attól, hogy előző évekről áthúzódó követeléskezelés, végrehajtás eredményeként sikerült-e beszedni, illetve az adózó fizetési könnyítés során részletekben fizette-e meg.</w:t>
      </w:r>
    </w:p>
    <w:p w:rsidR="00861CAB" w:rsidRDefault="00E9139C" w:rsidP="006833A9">
      <w:pPr>
        <w:spacing w:before="360" w:after="120" w:line="300" w:lineRule="exact"/>
        <w:jc w:val="both"/>
        <w:rPr>
          <w:rFonts w:ascii="Arial" w:hAnsi="Arial" w:cs="Arial"/>
          <w:b/>
        </w:rPr>
      </w:pPr>
      <w:r w:rsidRPr="000660BC">
        <w:rPr>
          <w:rFonts w:ascii="Arial" w:hAnsi="Arial" w:cs="Arial"/>
          <w:b/>
        </w:rPr>
        <w:t>2</w:t>
      </w:r>
      <w:r w:rsidR="00233492">
        <w:rPr>
          <w:rFonts w:ascii="Arial" w:hAnsi="Arial" w:cs="Arial"/>
          <w:b/>
        </w:rPr>
        <w:t>.4.</w:t>
      </w:r>
      <w:r w:rsidR="00861CAB" w:rsidRPr="000660BC">
        <w:rPr>
          <w:rFonts w:ascii="Arial" w:hAnsi="Arial" w:cs="Arial"/>
          <w:b/>
        </w:rPr>
        <w:t xml:space="preserve"> Helyi jövedéki adó</w:t>
      </w:r>
    </w:p>
    <w:p w:rsidR="00861CAB" w:rsidRPr="00F26987" w:rsidRDefault="00861CAB" w:rsidP="00B839F0">
      <w:pPr>
        <w:spacing w:after="120"/>
        <w:jc w:val="both"/>
        <w:rPr>
          <w:rFonts w:ascii="Arial" w:hAnsi="Arial" w:cs="Arial"/>
          <w:bCs/>
        </w:rPr>
      </w:pPr>
      <w:r w:rsidRPr="00F26987">
        <w:rPr>
          <w:rFonts w:ascii="Arial" w:hAnsi="Arial" w:cs="Arial"/>
          <w:bCs/>
        </w:rPr>
        <w:t>2015. január 1-jei hatállyal nagymértékben módosultak a magánfőzés szabályai, melynek következtében a jogalkotó a magánfőzésre vonatkozó adóbevallással, az átalányadó befizetésével, továbbá a magánfőző által birtokolt desztillálóberendezéssel kapcsolatos eljárás lefolytatását az önkormányzati adóhatóságokhoz rendelte.</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 xml:space="preserve">A </w:t>
      </w:r>
      <w:r w:rsidRPr="00F26987">
        <w:rPr>
          <w:rFonts w:ascii="Arial" w:eastAsia="Times New Roman" w:hAnsi="Arial" w:cs="Arial"/>
          <w:iCs/>
          <w:lang w:eastAsia="hu-HU"/>
        </w:rPr>
        <w:t>jövedéki adóról</w:t>
      </w:r>
      <w:r w:rsidRPr="00F26987">
        <w:rPr>
          <w:rFonts w:ascii="Arial" w:eastAsia="Times New Roman" w:hAnsi="Arial" w:cs="Arial"/>
          <w:lang w:eastAsia="hu-HU"/>
        </w:rPr>
        <w:t xml:space="preserve"> </w:t>
      </w:r>
      <w:r w:rsidRPr="00F26987">
        <w:rPr>
          <w:rFonts w:ascii="Arial" w:eastAsia="Times New Roman" w:hAnsi="Arial" w:cs="Arial"/>
          <w:iCs/>
          <w:lang w:eastAsia="hu-HU"/>
        </w:rPr>
        <w:t xml:space="preserve">és a jövedéki termékek forgalmazásának különös szabályairól szóló 2003. évi CXXVII. törvény 63.§ (1) bekezdés 12. pontja alapján </w:t>
      </w:r>
      <w:r w:rsidRPr="00F26987">
        <w:rPr>
          <w:rFonts w:ascii="Arial" w:eastAsia="Times New Roman" w:hAnsi="Arial" w:cs="Arial"/>
          <w:lang w:eastAsia="hu-HU"/>
        </w:rPr>
        <w:t xml:space="preserve">a magánfőző az a 18. életévét betöltött </w:t>
      </w:r>
      <w:r w:rsidRPr="00F26987">
        <w:rPr>
          <w:rFonts w:ascii="Arial" w:eastAsia="Times New Roman" w:hAnsi="Arial" w:cs="Arial"/>
          <w:bCs/>
          <w:lang w:eastAsia="hu-HU"/>
        </w:rPr>
        <w:t>gyümölcstermesztő</w:t>
      </w:r>
      <w:r w:rsidRPr="00F26987">
        <w:rPr>
          <w:rFonts w:ascii="Arial" w:eastAsia="Times New Roman" w:hAnsi="Arial" w:cs="Arial"/>
          <w:lang w:eastAsia="hu-HU"/>
        </w:rPr>
        <w:t xml:space="preserve"> személy, aki </w:t>
      </w:r>
      <w:r w:rsidRPr="00F26987">
        <w:rPr>
          <w:rFonts w:ascii="Arial" w:eastAsia="Times New Roman" w:hAnsi="Arial" w:cs="Arial"/>
          <w:bCs/>
          <w:lang w:eastAsia="hu-HU"/>
        </w:rPr>
        <w:t>saját tulajdonú gyümölccsel</w:t>
      </w:r>
      <w:r w:rsidRPr="00F26987">
        <w:rPr>
          <w:rFonts w:ascii="Arial" w:eastAsia="Times New Roman" w:hAnsi="Arial" w:cs="Arial"/>
          <w:lang w:eastAsia="hu-HU"/>
        </w:rPr>
        <w:t xml:space="preserve">, gyümölcsből származó </w:t>
      </w:r>
      <w:r w:rsidRPr="00F26987">
        <w:rPr>
          <w:rFonts w:ascii="Arial" w:eastAsia="Times New Roman" w:hAnsi="Arial" w:cs="Arial"/>
          <w:bCs/>
          <w:lang w:eastAsia="hu-HU"/>
        </w:rPr>
        <w:t>alapanyaggal és párlat készítésére alkalmas</w:t>
      </w:r>
      <w:r w:rsidRPr="00F26987">
        <w:rPr>
          <w:rFonts w:ascii="Arial" w:eastAsia="Times New Roman" w:hAnsi="Arial" w:cs="Arial"/>
          <w:lang w:eastAsia="hu-HU"/>
        </w:rPr>
        <w:t xml:space="preserve"> saját tulajdonú desztillálóberendezéssel rendelkezik.</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 xml:space="preserve">A </w:t>
      </w:r>
      <w:r w:rsidRPr="00F26987">
        <w:rPr>
          <w:rFonts w:ascii="Arial" w:eastAsia="Times New Roman" w:hAnsi="Arial" w:cs="Arial"/>
          <w:bCs/>
          <w:lang w:eastAsia="hu-HU"/>
        </w:rPr>
        <w:t>magánfőző az előállított magánfőzött párlat utáni adóbevallási</w:t>
      </w:r>
      <w:r w:rsidRPr="00F26987">
        <w:rPr>
          <w:rFonts w:ascii="Arial" w:eastAsia="Times New Roman" w:hAnsi="Arial" w:cs="Arial"/>
          <w:lang w:eastAsia="hu-HU"/>
        </w:rPr>
        <w:t xml:space="preserve"> </w:t>
      </w:r>
      <w:r w:rsidRPr="00F26987">
        <w:rPr>
          <w:rFonts w:ascii="Arial" w:eastAsia="Times New Roman" w:hAnsi="Arial" w:cs="Arial"/>
          <w:bCs/>
          <w:lang w:eastAsia="hu-HU"/>
        </w:rPr>
        <w:t>és adófizetési kötelezettségét</w:t>
      </w:r>
      <w:r w:rsidRPr="00F26987">
        <w:rPr>
          <w:rFonts w:ascii="Arial" w:eastAsia="Times New Roman" w:hAnsi="Arial" w:cs="Arial"/>
          <w:lang w:eastAsia="hu-HU"/>
        </w:rPr>
        <w:t xml:space="preserve"> a</w:t>
      </w:r>
      <w:r w:rsidRPr="00F26987">
        <w:rPr>
          <w:rFonts w:ascii="Arial" w:eastAsia="Times New Roman" w:hAnsi="Arial" w:cs="Arial"/>
          <w:bCs/>
          <w:lang w:eastAsia="hu-HU"/>
        </w:rPr>
        <w:t xml:space="preserve"> tárgyévet követő év január 15-ig együtt teljesíti a lakóhelye szerinti önkormányzati adóhatósághoz.</w:t>
      </w:r>
      <w:r w:rsidRPr="00F26987">
        <w:rPr>
          <w:rFonts w:ascii="Arial" w:eastAsia="Times New Roman" w:hAnsi="Arial" w:cs="Arial"/>
          <w:lang w:eastAsia="hu-HU"/>
        </w:rPr>
        <w:t xml:space="preserve"> </w:t>
      </w:r>
      <w:r w:rsidRPr="00F26987">
        <w:rPr>
          <w:rFonts w:ascii="Arial" w:eastAsia="Times New Roman" w:hAnsi="Arial" w:cs="Arial"/>
          <w:bCs/>
          <w:lang w:eastAsia="hu-HU"/>
        </w:rPr>
        <w:t xml:space="preserve">Adóhatóságunkhoz 2015. évben </w:t>
      </w:r>
      <w:r w:rsidRPr="00EF47ED">
        <w:rPr>
          <w:rFonts w:ascii="Arial" w:eastAsia="Times New Roman" w:hAnsi="Arial" w:cs="Arial"/>
          <w:bCs/>
          <w:lang w:eastAsia="hu-HU"/>
        </w:rPr>
        <w:t xml:space="preserve">18 </w:t>
      </w:r>
      <w:r w:rsidRPr="00F26987">
        <w:rPr>
          <w:rFonts w:ascii="Arial" w:eastAsia="Times New Roman" w:hAnsi="Arial" w:cs="Arial"/>
          <w:bCs/>
          <w:lang w:eastAsia="hu-HU"/>
        </w:rPr>
        <w:t xml:space="preserve">bejelentés érkezett. </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 xml:space="preserve">A saját fogyasztás céljából előállított magánfőzött párlat adómentessége 2015. január 1-jétől megszűnt és amennyiben tárgyévben a magánfőző előállít párlatot, </w:t>
      </w:r>
      <w:r w:rsidRPr="00F26987">
        <w:rPr>
          <w:rFonts w:ascii="Arial" w:eastAsia="Times New Roman" w:hAnsi="Arial" w:cs="Arial"/>
          <w:bCs/>
          <w:lang w:eastAsia="hu-HU"/>
        </w:rPr>
        <w:t xml:space="preserve">1000 forint/év átalányadó-fizetési kötelezettsége keletkezik. </w:t>
      </w:r>
      <w:r w:rsidRPr="00F26987">
        <w:rPr>
          <w:rFonts w:ascii="Arial" w:eastAsia="Times New Roman" w:hAnsi="Arial" w:cs="Arial"/>
          <w:lang w:eastAsia="hu-HU"/>
        </w:rPr>
        <w:t>Az átalánydíjat a magánfőző fizet meg, az önkormányzat jövedéki adó számlájára.</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Az önkormányzati adóhatóság értesíti a desztillálóberendezés bejelentéséről, valamint a magánfőző adóbevallásáról a vámhatóságot és a bejelentéssel, bevallással érintett – más – önkormányzati adóhatóságokat. Az önkormányzati adóhatóság az értesítést a teljesítést követő hónap 15. napjáig küldi meg az illetékes vámhatóság részére.</w:t>
      </w:r>
    </w:p>
    <w:p w:rsidR="006D0C2A" w:rsidRDefault="00E9139C" w:rsidP="006833A9">
      <w:pPr>
        <w:spacing w:before="360"/>
        <w:jc w:val="both"/>
        <w:rPr>
          <w:rFonts w:ascii="Arial" w:hAnsi="Arial" w:cs="Arial"/>
          <w:b/>
        </w:rPr>
      </w:pPr>
      <w:r>
        <w:rPr>
          <w:rFonts w:ascii="Arial" w:hAnsi="Arial" w:cs="Arial"/>
          <w:b/>
        </w:rPr>
        <w:t>2</w:t>
      </w:r>
      <w:r w:rsidR="00233492">
        <w:rPr>
          <w:rFonts w:ascii="Arial" w:hAnsi="Arial" w:cs="Arial"/>
          <w:b/>
        </w:rPr>
        <w:t>.5</w:t>
      </w:r>
      <w:r w:rsidR="00FC64A8">
        <w:rPr>
          <w:rFonts w:ascii="Arial" w:hAnsi="Arial" w:cs="Arial"/>
          <w:b/>
        </w:rPr>
        <w:t>.</w:t>
      </w:r>
      <w:r w:rsidR="006D0C2A">
        <w:rPr>
          <w:rFonts w:ascii="Arial" w:hAnsi="Arial" w:cs="Arial"/>
          <w:b/>
        </w:rPr>
        <w:t xml:space="preserve"> Talajterhelési díj</w:t>
      </w:r>
    </w:p>
    <w:p w:rsidR="00E9139C" w:rsidRPr="006D0C2A" w:rsidRDefault="00E9139C" w:rsidP="00B839F0">
      <w:pPr>
        <w:jc w:val="both"/>
        <w:rPr>
          <w:rFonts w:ascii="Arial" w:hAnsi="Arial" w:cs="Arial"/>
        </w:rPr>
      </w:pPr>
      <w:r w:rsidRPr="006D0C2A">
        <w:rPr>
          <w:rFonts w:ascii="Arial" w:hAnsi="Arial" w:cs="Arial"/>
        </w:rPr>
        <w:t>A talajterhelési díj törvényi előírás alapján kerül beszedésre, mértéke 1 200 Ft/m</w:t>
      </w:r>
      <w:r w:rsidRPr="006833A9">
        <w:rPr>
          <w:rFonts w:ascii="Arial" w:hAnsi="Arial" w:cs="Arial"/>
          <w:vertAlign w:val="superscript"/>
        </w:rPr>
        <w:t>3</w:t>
      </w:r>
      <w:r w:rsidRPr="006D0C2A">
        <w:rPr>
          <w:rFonts w:ascii="Arial" w:hAnsi="Arial" w:cs="Arial"/>
        </w:rPr>
        <w:t>. Talajterhelési díjfizetési kötelezettség azt a kibocsátót terheli, aki a műszakilag rendelkezésre álló közcsatornára nem köt rá.</w:t>
      </w:r>
    </w:p>
    <w:p w:rsidR="00E9139C" w:rsidRPr="006D0C2A" w:rsidRDefault="00E9139C" w:rsidP="00B839F0">
      <w:pPr>
        <w:jc w:val="both"/>
        <w:rPr>
          <w:rFonts w:ascii="Arial" w:hAnsi="Arial" w:cs="Arial"/>
        </w:rPr>
      </w:pPr>
      <w:r w:rsidRPr="006D0C2A">
        <w:rPr>
          <w:rFonts w:ascii="Arial" w:hAnsi="Arial" w:cs="Arial"/>
        </w:rPr>
        <w:t xml:space="preserve">A DRV-től kapott lista elavult, pontatlan volt, emiatt aránytalanul nagy adminisztrációs terhet jelentett a realizálható bevételhez képest. 105 címet kellett megvizsgálni, melyhez a Városfejlesztési Osztály segítségét is kikértük. </w:t>
      </w:r>
    </w:p>
    <w:p w:rsidR="00E9139C" w:rsidRDefault="00E9139C" w:rsidP="00B839F0">
      <w:pPr>
        <w:jc w:val="both"/>
        <w:rPr>
          <w:rFonts w:ascii="Arial" w:hAnsi="Arial" w:cs="Arial"/>
        </w:rPr>
      </w:pPr>
      <w:r w:rsidRPr="006D0C2A">
        <w:rPr>
          <w:rFonts w:ascii="Arial" w:hAnsi="Arial" w:cs="Arial"/>
        </w:rPr>
        <w:t>Talajterhelési díjjal kapcsolatosan 2015. évben 2 db határozatban 62 ezer Ft került kivetésre. Ez a 2013. és 2014. évi díj együttesen. (2012. évben 4 db ügyirat mellett 41 ezer Ft volt az elszámolt bevétel.) A csatorna rákötés kötelezésekkel, illetve a talajterhelési díj mértékének folyamatos növekedésével arányosan csökkent a talajterhelési díj fizetésére kötelezettek köre.</w:t>
      </w:r>
    </w:p>
    <w:p w:rsidR="006D0C2A" w:rsidRPr="00D70B40" w:rsidRDefault="00233492" w:rsidP="006833A9">
      <w:pPr>
        <w:spacing w:before="360" w:after="240"/>
        <w:jc w:val="both"/>
        <w:rPr>
          <w:rFonts w:ascii="Arial" w:hAnsi="Arial" w:cs="Arial"/>
          <w:b/>
        </w:rPr>
      </w:pPr>
      <w:r>
        <w:rPr>
          <w:rFonts w:ascii="Arial" w:hAnsi="Arial" w:cs="Arial"/>
          <w:b/>
        </w:rPr>
        <w:lastRenderedPageBreak/>
        <w:t>2.6</w:t>
      </w:r>
      <w:r w:rsidR="006D0C2A" w:rsidRPr="00D70B40">
        <w:rPr>
          <w:rFonts w:ascii="Arial" w:hAnsi="Arial" w:cs="Arial"/>
          <w:b/>
        </w:rPr>
        <w:t>. Adók módjára behajtandó köztartozások</w:t>
      </w:r>
    </w:p>
    <w:p w:rsidR="006D0C2A" w:rsidRDefault="006D0C2A" w:rsidP="00B839F0">
      <w:pPr>
        <w:spacing w:after="120"/>
        <w:jc w:val="both"/>
        <w:rPr>
          <w:rFonts w:ascii="Arial" w:hAnsi="Arial" w:cs="Arial"/>
        </w:rPr>
      </w:pPr>
      <w:r w:rsidRPr="003A0B42">
        <w:rPr>
          <w:rFonts w:ascii="Arial" w:hAnsi="Arial" w:cs="Arial"/>
        </w:rPr>
        <w:t>A</w:t>
      </w:r>
      <w:r>
        <w:rPr>
          <w:rFonts w:ascii="Arial" w:hAnsi="Arial" w:cs="Arial"/>
        </w:rPr>
        <w:t xml:space="preserve"> helyi </w:t>
      </w:r>
      <w:r w:rsidRPr="003A0B42">
        <w:rPr>
          <w:rFonts w:ascii="Arial" w:hAnsi="Arial" w:cs="Arial"/>
        </w:rPr>
        <w:t xml:space="preserve">adóhatóság szedi be a külső szervek megkeresése alapján az adók módjára behajtható köztartozásokat. </w:t>
      </w:r>
      <w:r>
        <w:rPr>
          <w:rFonts w:ascii="Arial" w:hAnsi="Arial" w:cs="Arial"/>
        </w:rPr>
        <w:t xml:space="preserve">2014-ban 92 db, 2015. évben 79 db megkeresés érkezett, melyből elintézésre került 39 db. </w:t>
      </w:r>
      <w:r w:rsidRPr="00157B65">
        <w:rPr>
          <w:rFonts w:ascii="Arial" w:hAnsi="Arial" w:cs="Arial"/>
        </w:rPr>
        <w:t xml:space="preserve">A beszedett köztartozás </w:t>
      </w:r>
      <w:r w:rsidR="006833A9">
        <w:rPr>
          <w:rFonts w:ascii="Arial" w:hAnsi="Arial" w:cs="Arial"/>
        </w:rPr>
        <w:t>október 31. napjáig 685.082</w:t>
      </w:r>
      <w:r>
        <w:rPr>
          <w:rFonts w:ascii="Arial" w:hAnsi="Arial" w:cs="Arial"/>
        </w:rPr>
        <w:t xml:space="preserve"> </w:t>
      </w:r>
      <w:r w:rsidRPr="00157B65">
        <w:rPr>
          <w:rFonts w:ascii="Arial" w:hAnsi="Arial" w:cs="Arial"/>
        </w:rPr>
        <w:t xml:space="preserve">Ft, melyből az önkormányzatnál marad </w:t>
      </w:r>
      <w:r w:rsidR="006833A9">
        <w:rPr>
          <w:rFonts w:ascii="Arial" w:hAnsi="Arial" w:cs="Arial"/>
        </w:rPr>
        <w:t>66.033</w:t>
      </w:r>
      <w:r>
        <w:rPr>
          <w:rFonts w:ascii="Arial" w:hAnsi="Arial" w:cs="Arial"/>
        </w:rPr>
        <w:t xml:space="preserve"> </w:t>
      </w:r>
      <w:r w:rsidRPr="00157B65">
        <w:rPr>
          <w:rFonts w:ascii="Arial" w:hAnsi="Arial" w:cs="Arial"/>
        </w:rPr>
        <w:t>Ft</w:t>
      </w:r>
      <w:r>
        <w:rPr>
          <w:rFonts w:ascii="Arial" w:hAnsi="Arial" w:cs="Arial"/>
        </w:rPr>
        <w:t>.</w:t>
      </w:r>
    </w:p>
    <w:p w:rsidR="00E9139C" w:rsidRPr="00FB0978" w:rsidRDefault="000660BC" w:rsidP="006833A9">
      <w:pPr>
        <w:spacing w:before="360" w:after="120"/>
        <w:jc w:val="both"/>
        <w:rPr>
          <w:rFonts w:ascii="Arial" w:hAnsi="Arial" w:cs="Arial"/>
          <w:b/>
        </w:rPr>
      </w:pPr>
      <w:r>
        <w:rPr>
          <w:rFonts w:ascii="Arial" w:hAnsi="Arial" w:cs="Arial"/>
          <w:b/>
        </w:rPr>
        <w:t>3</w:t>
      </w:r>
      <w:r w:rsidR="00E9139C" w:rsidRPr="00FB0978">
        <w:rPr>
          <w:rFonts w:ascii="Arial" w:hAnsi="Arial" w:cs="Arial"/>
          <w:b/>
        </w:rPr>
        <w:t>. Adó-és értékbizonyítványok kiállítása</w:t>
      </w:r>
    </w:p>
    <w:p w:rsidR="00E9139C" w:rsidRPr="00FB0978" w:rsidRDefault="00E9139C" w:rsidP="00B839F0">
      <w:pPr>
        <w:spacing w:after="120"/>
        <w:jc w:val="both"/>
        <w:rPr>
          <w:rFonts w:ascii="Arial" w:hAnsi="Arial" w:cs="Arial"/>
        </w:rPr>
      </w:pPr>
      <w:r w:rsidRPr="00FB0978">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E9139C" w:rsidRPr="00FB0978" w:rsidRDefault="00E9139C" w:rsidP="00B839F0">
      <w:pPr>
        <w:spacing w:after="120"/>
        <w:jc w:val="both"/>
        <w:rPr>
          <w:rFonts w:ascii="Arial" w:hAnsi="Arial" w:cs="Arial"/>
          <w:bCs/>
        </w:rPr>
      </w:pPr>
      <w:r w:rsidRPr="00FB0978">
        <w:rPr>
          <w:rFonts w:ascii="Arial" w:hAnsi="Arial" w:cs="Arial"/>
          <w:bCs/>
        </w:rPr>
        <w:t xml:space="preserve">A bizonyítvány kiállítása során az értékelő figyelembe veszi az ingatlan fekvését, megközelíthetőségét, </w:t>
      </w:r>
      <w:proofErr w:type="spellStart"/>
      <w:r w:rsidRPr="00FB0978">
        <w:rPr>
          <w:rFonts w:ascii="Arial" w:hAnsi="Arial" w:cs="Arial"/>
          <w:bCs/>
        </w:rPr>
        <w:t>közművesítettségét</w:t>
      </w:r>
      <w:proofErr w:type="spellEnd"/>
      <w:r w:rsidRPr="00FB0978">
        <w:rPr>
          <w:rFonts w:ascii="Arial" w:hAnsi="Arial" w:cs="Arial"/>
          <w:bCs/>
        </w:rPr>
        <w:t>, az épület korát, állapotát felszereltségét, komfortfokozatát, nagyságát.</w:t>
      </w:r>
    </w:p>
    <w:p w:rsidR="00E9139C" w:rsidRPr="00FB0978" w:rsidRDefault="00E9139C" w:rsidP="00B839F0">
      <w:pPr>
        <w:spacing w:after="120"/>
        <w:jc w:val="both"/>
        <w:rPr>
          <w:rFonts w:ascii="Arial" w:hAnsi="Arial" w:cs="Arial"/>
        </w:rPr>
      </w:pPr>
      <w:r w:rsidRPr="00FB0978">
        <w:rPr>
          <w:rFonts w:ascii="Arial" w:hAnsi="Arial" w:cs="Arial"/>
        </w:rPr>
        <w:t xml:space="preserve">A tulajdoni lap által pontosan meghatározott ingatlanról felmérés és összehasonlító adatok alapján értékbecslés készül. </w:t>
      </w:r>
    </w:p>
    <w:p w:rsidR="00E9139C" w:rsidRPr="00FB0978" w:rsidRDefault="00E9139C" w:rsidP="00B839F0">
      <w:pPr>
        <w:spacing w:after="120"/>
        <w:jc w:val="both"/>
        <w:rPr>
          <w:rFonts w:ascii="Arial" w:hAnsi="Arial" w:cs="Arial"/>
        </w:rPr>
      </w:pPr>
      <w:r w:rsidRPr="00FB0978">
        <w:rPr>
          <w:rFonts w:ascii="Arial" w:hAnsi="Arial" w:cs="Arial"/>
        </w:rPr>
        <w:t xml:space="preserve">Az ingatlan tulajdonosának előzetes értesítése mellett helyszíni eljárás során felvételre kerülnek az ingatlan adatai, majd ennek alapján kerül sor az adó- és értékbizonyítvány kiállítására. </w:t>
      </w:r>
    </w:p>
    <w:p w:rsidR="00E9139C" w:rsidRPr="00FB0978" w:rsidRDefault="00E9139C" w:rsidP="00B839F0">
      <w:pPr>
        <w:spacing w:after="120"/>
        <w:jc w:val="both"/>
        <w:rPr>
          <w:rFonts w:ascii="Arial" w:hAnsi="Arial" w:cs="Arial"/>
        </w:rPr>
      </w:pPr>
      <w:r w:rsidRPr="00FB0978">
        <w:rPr>
          <w:rFonts w:ascii="Arial" w:hAnsi="Arial" w:cs="Arial"/>
        </w:rPr>
        <w:t xml:space="preserve">Adó-és értékbizonyítvány kiadására 2015. évben </w:t>
      </w:r>
      <w:r w:rsidRPr="00EF47ED">
        <w:rPr>
          <w:rFonts w:ascii="Arial" w:hAnsi="Arial" w:cs="Arial"/>
        </w:rPr>
        <w:t>107</w:t>
      </w:r>
      <w:r w:rsidRPr="00FB0978">
        <w:rPr>
          <w:rFonts w:ascii="Arial" w:hAnsi="Arial" w:cs="Arial"/>
        </w:rPr>
        <w:t xml:space="preserve"> esetben került sor, melyet megelőzött helyszíni szemle és felmérés. </w:t>
      </w:r>
    </w:p>
    <w:p w:rsidR="00861CAB" w:rsidRDefault="00861CAB" w:rsidP="00B839F0">
      <w:pPr>
        <w:autoSpaceDE w:val="0"/>
        <w:autoSpaceDN w:val="0"/>
        <w:adjustRightInd w:val="0"/>
        <w:spacing w:after="0"/>
        <w:jc w:val="both"/>
        <w:rPr>
          <w:rFonts w:ascii="Arial" w:hAnsi="Arial" w:cs="Arial"/>
          <w:b/>
        </w:rPr>
      </w:pPr>
    </w:p>
    <w:p w:rsidR="00861CAB" w:rsidRPr="00447CC7" w:rsidRDefault="000660BC" w:rsidP="00B839F0">
      <w:pPr>
        <w:autoSpaceDE w:val="0"/>
        <w:autoSpaceDN w:val="0"/>
        <w:adjustRightInd w:val="0"/>
        <w:spacing w:after="0"/>
        <w:jc w:val="both"/>
        <w:rPr>
          <w:rFonts w:ascii="Arial" w:hAnsi="Arial" w:cs="Arial"/>
          <w:b/>
        </w:rPr>
      </w:pPr>
      <w:r>
        <w:rPr>
          <w:rFonts w:ascii="Arial" w:hAnsi="Arial" w:cs="Arial"/>
          <w:b/>
        </w:rPr>
        <w:t>4</w:t>
      </w:r>
      <w:r w:rsidR="00861CAB">
        <w:rPr>
          <w:rFonts w:ascii="Arial" w:hAnsi="Arial" w:cs="Arial"/>
          <w:b/>
        </w:rPr>
        <w:t xml:space="preserve">. </w:t>
      </w:r>
      <w:r w:rsidR="00861CAB" w:rsidRPr="00447CC7">
        <w:rPr>
          <w:rFonts w:ascii="Arial" w:hAnsi="Arial" w:cs="Arial"/>
          <w:b/>
        </w:rPr>
        <w:t>Hátralékok csökkentésével intézkedések</w:t>
      </w:r>
    </w:p>
    <w:p w:rsidR="00861CAB" w:rsidRDefault="00861CAB" w:rsidP="00B839F0">
      <w:pPr>
        <w:autoSpaceDE w:val="0"/>
        <w:autoSpaceDN w:val="0"/>
        <w:adjustRightInd w:val="0"/>
        <w:spacing w:after="0"/>
        <w:jc w:val="both"/>
        <w:rPr>
          <w:rFonts w:ascii="Arial" w:hAnsi="Arial" w:cs="Arial"/>
        </w:rPr>
      </w:pPr>
    </w:p>
    <w:p w:rsidR="00861CAB" w:rsidRDefault="00861CAB" w:rsidP="00B839F0">
      <w:pPr>
        <w:autoSpaceDE w:val="0"/>
        <w:autoSpaceDN w:val="0"/>
        <w:adjustRightInd w:val="0"/>
        <w:spacing w:after="0"/>
        <w:jc w:val="both"/>
        <w:rPr>
          <w:rFonts w:ascii="Arial" w:hAnsi="Arial" w:cs="Arial"/>
        </w:rPr>
      </w:pPr>
      <w:r>
        <w:rPr>
          <w:rFonts w:ascii="Arial" w:hAnsi="Arial" w:cs="Arial"/>
        </w:rPr>
        <w:t xml:space="preserve">Az évek során az adó fizetési morál romlása, a fizetési nehézségek következtében bekövetkezett fizetési készség és az egyéb tényezők miatt, megnövekedett a kintlévőségek nagysága. </w:t>
      </w:r>
    </w:p>
    <w:p w:rsidR="00861CAB" w:rsidRDefault="00861CAB" w:rsidP="00B839F0">
      <w:pPr>
        <w:autoSpaceDE w:val="0"/>
        <w:autoSpaceDN w:val="0"/>
        <w:adjustRightInd w:val="0"/>
        <w:spacing w:after="0"/>
        <w:jc w:val="both"/>
        <w:rPr>
          <w:rFonts w:ascii="Arial" w:hAnsi="Arial" w:cs="Arial"/>
        </w:rPr>
      </w:pPr>
    </w:p>
    <w:p w:rsidR="00861CAB" w:rsidRDefault="00861CAB" w:rsidP="00B839F0">
      <w:pPr>
        <w:autoSpaceDE w:val="0"/>
        <w:autoSpaceDN w:val="0"/>
        <w:adjustRightInd w:val="0"/>
        <w:spacing w:after="0"/>
        <w:jc w:val="both"/>
        <w:rPr>
          <w:rFonts w:ascii="Arial" w:hAnsi="Arial" w:cs="Arial"/>
        </w:rPr>
      </w:pPr>
      <w:r>
        <w:rPr>
          <w:rFonts w:ascii="Arial" w:hAnsi="Arial" w:cs="Arial"/>
        </w:rPr>
        <w:t>A hátralékállomány az elévülési időszak (öt év) hátralékállomány</w:t>
      </w:r>
      <w:r w:rsidR="000542EE">
        <w:rPr>
          <w:rFonts w:ascii="Arial" w:hAnsi="Arial" w:cs="Arial"/>
        </w:rPr>
        <w:t>á</w:t>
      </w:r>
      <w:r>
        <w:rPr>
          <w:rFonts w:ascii="Arial" w:hAnsi="Arial" w:cs="Arial"/>
        </w:rPr>
        <w:t>t tartalmazza. A gazdálkodó vagyonát sok esetben meghaladja tartozásaik összege, kötelezettségeik rendezésére nincs pénzügyi fedezetük. A felszámolás alá kerülő cégek esetében még megfelelő időben történő hitelezői igénybejelentés alapján is csekély az esély a követelések egy részének megtérülésére.</w:t>
      </w:r>
    </w:p>
    <w:p w:rsidR="00861CAB" w:rsidRDefault="00861CAB" w:rsidP="00B839F0">
      <w:pPr>
        <w:autoSpaceDE w:val="0"/>
        <w:autoSpaceDN w:val="0"/>
        <w:adjustRightInd w:val="0"/>
        <w:spacing w:after="0"/>
        <w:jc w:val="both"/>
        <w:rPr>
          <w:rFonts w:ascii="Arial" w:hAnsi="Arial" w:cs="Arial"/>
        </w:rPr>
      </w:pPr>
    </w:p>
    <w:p w:rsidR="00861CAB" w:rsidRDefault="00861CAB" w:rsidP="00B839F0">
      <w:pPr>
        <w:autoSpaceDE w:val="0"/>
        <w:autoSpaceDN w:val="0"/>
        <w:adjustRightInd w:val="0"/>
        <w:spacing w:after="0"/>
        <w:jc w:val="both"/>
        <w:rPr>
          <w:rFonts w:ascii="Arial" w:hAnsi="Arial" w:cs="Arial"/>
        </w:rPr>
      </w:pPr>
      <w:r w:rsidRPr="00B64A66">
        <w:rPr>
          <w:rFonts w:ascii="Arial" w:hAnsi="Arial" w:cs="Arial"/>
        </w:rPr>
        <w:t>Hitelező igényt 2015. október 31-ig</w:t>
      </w:r>
      <w:r>
        <w:rPr>
          <w:rFonts w:ascii="Arial" w:hAnsi="Arial" w:cs="Arial"/>
        </w:rPr>
        <w:t xml:space="preserve"> 9 esetben nyújtottuk be 4.555.075,- Ft összegre, melyből teljesült 169.843,- Ft. Az eljárás több évre is elhúzódhat, az ilyen kintlévőségek majd leírásra kerülnek, azonban az eljárás teljes lezárásáig, illetve az elévülésig az önkormányzati adóban nyilván kell tartani.</w:t>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861CAB">
      <w:pPr>
        <w:autoSpaceDE w:val="0"/>
        <w:autoSpaceDN w:val="0"/>
        <w:adjustRightInd w:val="0"/>
        <w:spacing w:after="0" w:line="240" w:lineRule="auto"/>
        <w:jc w:val="both"/>
        <w:rPr>
          <w:rFonts w:ascii="Arial" w:hAnsi="Arial" w:cs="Arial"/>
        </w:rPr>
      </w:pPr>
    </w:p>
    <w:p w:rsidR="00861CAB" w:rsidRDefault="00C87FF3" w:rsidP="00861CAB">
      <w:pPr>
        <w:autoSpaceDE w:val="0"/>
        <w:autoSpaceDN w:val="0"/>
        <w:adjustRightInd w:val="0"/>
        <w:spacing w:after="0" w:line="240" w:lineRule="auto"/>
        <w:jc w:val="center"/>
        <w:rPr>
          <w:rFonts w:ascii="Arial" w:hAnsi="Arial" w:cs="Arial"/>
        </w:rPr>
      </w:pPr>
      <w:r w:rsidRPr="005B0308">
        <w:rPr>
          <w:noProof/>
          <w:lang w:eastAsia="hu-HU"/>
        </w:rPr>
        <w:lastRenderedPageBreak/>
        <w:drawing>
          <wp:inline distT="0" distB="0" distL="0" distR="0">
            <wp:extent cx="5429250" cy="2752725"/>
            <wp:effectExtent l="0" t="0" r="0" b="0"/>
            <wp:docPr id="3" name="Diagram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861CAB">
      <w:pPr>
        <w:autoSpaceDE w:val="0"/>
        <w:autoSpaceDN w:val="0"/>
        <w:adjustRightInd w:val="0"/>
        <w:spacing w:after="0" w:line="240" w:lineRule="auto"/>
        <w:jc w:val="both"/>
        <w:rPr>
          <w:rFonts w:ascii="Arial" w:hAnsi="Arial" w:cs="Arial"/>
        </w:rPr>
      </w:pPr>
    </w:p>
    <w:p w:rsidR="00861CAB" w:rsidRPr="00D10D7B" w:rsidRDefault="00861CAB" w:rsidP="00861CAB">
      <w:pPr>
        <w:autoSpaceDE w:val="0"/>
        <w:autoSpaceDN w:val="0"/>
        <w:adjustRightInd w:val="0"/>
        <w:spacing w:after="0" w:line="240" w:lineRule="auto"/>
        <w:jc w:val="both"/>
        <w:rPr>
          <w:rFonts w:ascii="Arial" w:hAnsi="Arial" w:cs="Arial"/>
          <w:b/>
        </w:rPr>
      </w:pPr>
      <w:r w:rsidRPr="00D10D7B">
        <w:rPr>
          <w:rFonts w:ascii="Arial" w:hAnsi="Arial" w:cs="Arial"/>
          <w:b/>
        </w:rPr>
        <w:t>A hátralékok 40%-a a már nem működő, illetve többnyire felszámolás alatt lévő társaságoknál van felhalmozva, ezek megtérülése nem valószínűsíthető.</w:t>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EC2FE2">
      <w:pPr>
        <w:autoSpaceDE w:val="0"/>
        <w:autoSpaceDN w:val="0"/>
        <w:adjustRightInd w:val="0"/>
        <w:spacing w:after="0"/>
        <w:jc w:val="both"/>
        <w:rPr>
          <w:rFonts w:ascii="Arial" w:hAnsi="Arial" w:cs="Arial"/>
        </w:rPr>
      </w:pPr>
      <w:r>
        <w:rPr>
          <w:rFonts w:ascii="Arial" w:hAnsi="Arial" w:cs="Arial"/>
        </w:rPr>
        <w:t xml:space="preserve">A végrehajtás eredményességét és annak folyamatát jelentősen befolyásolja az adós személyének felkutatása, a munkahelyi adatok lekérdezése, és a bankszámlaszámok lekérése. A behajtás sikerességét jelentősen meghatározza, hogy adó személy rendelkezik-e rendszeres jövedelemmel. </w:t>
      </w:r>
      <w:r w:rsidRPr="005E3988">
        <w:rPr>
          <w:rFonts w:ascii="Arial" w:hAnsi="Arial" w:cs="Arial"/>
        </w:rPr>
        <w:t>Egyre</w:t>
      </w:r>
      <w:r>
        <w:rPr>
          <w:rFonts w:ascii="Arial" w:hAnsi="Arial" w:cs="Arial"/>
        </w:rPr>
        <w:t xml:space="preserve"> többen vannak azok, akiknek nincs nyilvántartott jogviszonya, vagyis munkanélküli, feketén foglalkoztatják, illetve külföldön vállalt munkát. </w:t>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861CAB">
      <w:pPr>
        <w:autoSpaceDE w:val="0"/>
        <w:autoSpaceDN w:val="0"/>
        <w:adjustRightInd w:val="0"/>
        <w:spacing w:after="0" w:line="240" w:lineRule="auto"/>
        <w:jc w:val="both"/>
        <w:rPr>
          <w:rFonts w:ascii="Arial" w:hAnsi="Arial" w:cs="Arial"/>
        </w:rPr>
      </w:pPr>
    </w:p>
    <w:tbl>
      <w:tblP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993"/>
        <w:gridCol w:w="2693"/>
        <w:gridCol w:w="2266"/>
      </w:tblGrid>
      <w:tr w:rsidR="00861CAB" w:rsidRPr="00F77459" w:rsidTr="006833A9">
        <w:tc>
          <w:tcPr>
            <w:tcW w:w="3397"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végrehajtási mód</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db</w:t>
            </w:r>
          </w:p>
        </w:tc>
        <w:tc>
          <w:tcPr>
            <w:tcW w:w="2693"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végrehajtás összege</w:t>
            </w:r>
          </w:p>
        </w:tc>
        <w:tc>
          <w:tcPr>
            <w:tcW w:w="2266"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befolyt összeg</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r w:rsidRPr="00323106">
              <w:rPr>
                <w:rFonts w:ascii="Arial" w:hAnsi="Arial" w:cs="Arial"/>
              </w:rPr>
              <w:t>hatósági átutalás</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231</w:t>
            </w:r>
          </w:p>
        </w:tc>
        <w:tc>
          <w:tcPr>
            <w:tcW w:w="2693" w:type="dxa"/>
            <w:shd w:val="clear" w:color="auto" w:fill="auto"/>
            <w:vAlign w:val="center"/>
          </w:tcPr>
          <w:p w:rsidR="00861CAB" w:rsidRPr="00323106" w:rsidRDefault="00861CAB" w:rsidP="006833A9">
            <w:pPr>
              <w:autoSpaceDE w:val="0"/>
              <w:autoSpaceDN w:val="0"/>
              <w:adjustRightInd w:val="0"/>
              <w:jc w:val="right"/>
              <w:rPr>
                <w:rFonts w:ascii="Arial" w:hAnsi="Arial" w:cs="Arial"/>
              </w:rPr>
            </w:pPr>
            <w:r>
              <w:rPr>
                <w:rFonts w:ascii="Arial" w:hAnsi="Arial" w:cs="Arial"/>
              </w:rPr>
              <w:t>29.699.059</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26.032.905</w:t>
            </w:r>
            <w:r w:rsidRPr="00323106">
              <w:rPr>
                <w:rFonts w:ascii="Arial" w:hAnsi="Arial" w:cs="Arial"/>
              </w:rPr>
              <w:t xml:space="preserve"> Ft</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r w:rsidRPr="00323106">
              <w:rPr>
                <w:rFonts w:ascii="Arial" w:hAnsi="Arial" w:cs="Arial"/>
              </w:rPr>
              <w:t>munkabér-nyugdíj letiltás</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49</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2.301.143</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1.919.577</w:t>
            </w:r>
            <w:r w:rsidRPr="00323106">
              <w:rPr>
                <w:rFonts w:ascii="Arial" w:hAnsi="Arial" w:cs="Arial"/>
              </w:rPr>
              <w:t xml:space="preserve"> Ft</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r>
              <w:rPr>
                <w:rFonts w:ascii="Arial" w:hAnsi="Arial" w:cs="Arial"/>
              </w:rPr>
              <w:t>átvezetés</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7</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40.000</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40.00</w:t>
            </w:r>
            <w:r w:rsidR="006833A9">
              <w:rPr>
                <w:rFonts w:ascii="Arial" w:hAnsi="Arial" w:cs="Arial"/>
              </w:rPr>
              <w:t>0</w:t>
            </w:r>
            <w:r w:rsidRPr="00323106">
              <w:rPr>
                <w:rFonts w:ascii="Arial" w:hAnsi="Arial" w:cs="Arial"/>
              </w:rPr>
              <w:t xml:space="preserve"> Ft</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proofErr w:type="spellStart"/>
            <w:r>
              <w:rPr>
                <w:rFonts w:ascii="Arial" w:hAnsi="Arial" w:cs="Arial"/>
              </w:rPr>
              <w:t>Nav-nak</w:t>
            </w:r>
            <w:proofErr w:type="spellEnd"/>
            <w:r>
              <w:rPr>
                <w:rFonts w:ascii="Arial" w:hAnsi="Arial" w:cs="Arial"/>
              </w:rPr>
              <w:t xml:space="preserve"> átadva</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9</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2.488.673</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0</w:t>
            </w:r>
            <w:r w:rsidRPr="00323106">
              <w:rPr>
                <w:rFonts w:ascii="Arial" w:hAnsi="Arial" w:cs="Arial"/>
              </w:rPr>
              <w:t xml:space="preserve"> Ft</w:t>
            </w:r>
          </w:p>
        </w:tc>
      </w:tr>
      <w:tr w:rsidR="00861CAB" w:rsidRPr="004249C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b/>
              </w:rPr>
            </w:pPr>
            <w:r w:rsidRPr="00323106">
              <w:rPr>
                <w:rFonts w:ascii="Arial" w:hAnsi="Arial" w:cs="Arial"/>
                <w:b/>
              </w:rPr>
              <w:t>összesen</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Pr>
                <w:rFonts w:ascii="Arial" w:hAnsi="Arial" w:cs="Arial"/>
                <w:b/>
              </w:rPr>
              <w:t>296</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b/>
              </w:rPr>
            </w:pPr>
            <w:r>
              <w:rPr>
                <w:rFonts w:ascii="Arial" w:hAnsi="Arial" w:cs="Arial"/>
                <w:b/>
              </w:rPr>
              <w:t>31.528.875</w:t>
            </w:r>
            <w:r w:rsidRPr="00323106">
              <w:rPr>
                <w:rFonts w:ascii="Arial" w:hAnsi="Arial" w:cs="Arial"/>
                <w:b/>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b/>
              </w:rPr>
            </w:pPr>
            <w:r>
              <w:rPr>
                <w:rFonts w:ascii="Arial" w:hAnsi="Arial" w:cs="Arial"/>
                <w:b/>
              </w:rPr>
              <w:t>27.992</w:t>
            </w:r>
            <w:r w:rsidR="006833A9">
              <w:rPr>
                <w:rFonts w:ascii="Arial" w:hAnsi="Arial" w:cs="Arial"/>
                <w:b/>
              </w:rPr>
              <w:t>.</w:t>
            </w:r>
            <w:r>
              <w:rPr>
                <w:rFonts w:ascii="Arial" w:hAnsi="Arial" w:cs="Arial"/>
                <w:b/>
              </w:rPr>
              <w:t>482</w:t>
            </w:r>
            <w:r w:rsidRPr="00323106">
              <w:rPr>
                <w:rFonts w:ascii="Arial" w:hAnsi="Arial" w:cs="Arial"/>
                <w:b/>
              </w:rPr>
              <w:t xml:space="preserve"> Ft</w:t>
            </w:r>
          </w:p>
        </w:tc>
      </w:tr>
    </w:tbl>
    <w:p w:rsidR="00861CAB" w:rsidRDefault="00861CAB" w:rsidP="00861CAB">
      <w:pPr>
        <w:autoSpaceDE w:val="0"/>
        <w:autoSpaceDN w:val="0"/>
        <w:adjustRightInd w:val="0"/>
        <w:spacing w:after="0" w:line="240" w:lineRule="auto"/>
        <w:jc w:val="both"/>
        <w:rPr>
          <w:rFonts w:ascii="Arial" w:hAnsi="Arial" w:cs="Arial"/>
        </w:rPr>
      </w:pPr>
    </w:p>
    <w:p w:rsidR="00861CAB" w:rsidRPr="00784674" w:rsidRDefault="00861CAB" w:rsidP="00C36FA4">
      <w:pPr>
        <w:autoSpaceDE w:val="0"/>
        <w:autoSpaceDN w:val="0"/>
        <w:adjustRightInd w:val="0"/>
        <w:spacing w:after="0"/>
        <w:jc w:val="both"/>
        <w:rPr>
          <w:rFonts w:ascii="Arial" w:hAnsi="Arial" w:cs="Arial"/>
          <w:i/>
        </w:rPr>
      </w:pPr>
      <w:r w:rsidRPr="00784674">
        <w:rPr>
          <w:rFonts w:ascii="Arial" w:hAnsi="Arial" w:cs="Arial"/>
          <w:i/>
        </w:rPr>
        <w:t xml:space="preserve">Megjegyzés: A törvény az adós jövedelmének 33%-át </w:t>
      </w:r>
      <w:r w:rsidRPr="00784674">
        <w:rPr>
          <w:rFonts w:ascii="Arial" w:hAnsi="Arial" w:cs="Arial"/>
          <w:bCs/>
          <w:i/>
        </w:rPr>
        <w:t xml:space="preserve">vonhatja le, ezért akár egy adósnak több éven keresztül </w:t>
      </w:r>
      <w:r>
        <w:rPr>
          <w:rFonts w:ascii="Arial" w:hAnsi="Arial" w:cs="Arial"/>
          <w:bCs/>
          <w:i/>
        </w:rPr>
        <w:t xml:space="preserve">is </w:t>
      </w:r>
      <w:r w:rsidRPr="00784674">
        <w:rPr>
          <w:rFonts w:ascii="Arial" w:hAnsi="Arial" w:cs="Arial"/>
          <w:bCs/>
          <w:i/>
        </w:rPr>
        <w:t>vonják munkabéréből, nyugdíjából tartozását.</w:t>
      </w:r>
    </w:p>
    <w:p w:rsidR="00861CAB" w:rsidRDefault="00861CAB" w:rsidP="00C36FA4">
      <w:pPr>
        <w:autoSpaceDE w:val="0"/>
        <w:autoSpaceDN w:val="0"/>
        <w:adjustRightInd w:val="0"/>
        <w:spacing w:after="0"/>
        <w:jc w:val="both"/>
        <w:rPr>
          <w:rFonts w:ascii="Arial" w:hAnsi="Arial" w:cs="Arial"/>
        </w:rPr>
      </w:pPr>
    </w:p>
    <w:p w:rsidR="00861CAB" w:rsidRDefault="00861CAB" w:rsidP="00C36FA4">
      <w:pPr>
        <w:autoSpaceDE w:val="0"/>
        <w:autoSpaceDN w:val="0"/>
        <w:adjustRightInd w:val="0"/>
        <w:spacing w:after="0"/>
        <w:jc w:val="both"/>
        <w:rPr>
          <w:rFonts w:ascii="Arial" w:hAnsi="Arial" w:cs="Arial"/>
        </w:rPr>
      </w:pPr>
      <w:r>
        <w:rPr>
          <w:rFonts w:ascii="Arial" w:hAnsi="Arial" w:cs="Arial"/>
        </w:rPr>
        <w:t>A Zala Megyei Nemzeti Adó- és Vámhivatalt az önkormányzati adóhatóság megkeresheti az őt megillető adótartozások behajtása érdekében a</w:t>
      </w:r>
      <w:r w:rsidRPr="00AB5623">
        <w:rPr>
          <w:rFonts w:ascii="Arial" w:hAnsi="Arial" w:cs="Arial"/>
        </w:rPr>
        <w:t xml:space="preserve">z Art. </w:t>
      </w:r>
      <w:r>
        <w:rPr>
          <w:rFonts w:ascii="Arial" w:hAnsi="Arial" w:cs="Arial"/>
        </w:rPr>
        <w:t>146. § (3) bekezdése és 161/A. § alapján</w:t>
      </w:r>
      <w:r w:rsidRPr="00FF52ED">
        <w:rPr>
          <w:rFonts w:ascii="Arial" w:hAnsi="Arial" w:cs="Arial"/>
        </w:rPr>
        <w:t xml:space="preserve"> </w:t>
      </w:r>
      <w:r>
        <w:rPr>
          <w:rFonts w:ascii="Arial" w:hAnsi="Arial" w:cs="Arial"/>
        </w:rPr>
        <w:t xml:space="preserve">az adózóra illetékes állami adóhatóságot.  A megkeresésünk visszaigazolását követően, az állami adóhatóság végrehajtási eljárása még nem teljesült. </w:t>
      </w:r>
    </w:p>
    <w:p w:rsidR="00861CAB" w:rsidRDefault="00B64A66" w:rsidP="006833A9">
      <w:pPr>
        <w:autoSpaceDE w:val="0"/>
        <w:autoSpaceDN w:val="0"/>
        <w:adjustRightInd w:val="0"/>
        <w:spacing w:after="0"/>
        <w:jc w:val="both"/>
        <w:rPr>
          <w:rFonts w:ascii="Arial" w:hAnsi="Arial" w:cs="Arial"/>
        </w:rPr>
      </w:pPr>
      <w:r>
        <w:rPr>
          <w:rFonts w:ascii="Arial" w:hAnsi="Arial" w:cs="Arial"/>
        </w:rPr>
        <w:t xml:space="preserve">Ez évben a </w:t>
      </w:r>
      <w:r w:rsidR="000542EE">
        <w:rPr>
          <w:rFonts w:ascii="Arial" w:hAnsi="Arial" w:cs="Arial"/>
        </w:rPr>
        <w:t xml:space="preserve">végrehajtási eljárások alkalmával minden esetben a végrehajtási költség </w:t>
      </w:r>
      <w:r w:rsidR="006833A9">
        <w:rPr>
          <w:rFonts w:ascii="Arial" w:hAnsi="Arial" w:cs="Arial"/>
        </w:rPr>
        <w:t>(</w:t>
      </w:r>
      <w:r>
        <w:rPr>
          <w:rFonts w:ascii="Arial" w:hAnsi="Arial" w:cs="Arial"/>
        </w:rPr>
        <w:t>5.000 Ft</w:t>
      </w:r>
      <w:r w:rsidR="006833A9">
        <w:rPr>
          <w:rFonts w:ascii="Arial" w:hAnsi="Arial" w:cs="Arial"/>
        </w:rPr>
        <w:t>)</w:t>
      </w:r>
      <w:r>
        <w:rPr>
          <w:rFonts w:ascii="Arial" w:hAnsi="Arial" w:cs="Arial"/>
        </w:rPr>
        <w:t xml:space="preserve"> is előírásra került, ez öss</w:t>
      </w:r>
      <w:r w:rsidR="00CB1C33">
        <w:rPr>
          <w:rFonts w:ascii="Arial" w:hAnsi="Arial" w:cs="Arial"/>
        </w:rPr>
        <w:t>zesen 685.000 bevételt jelent</w:t>
      </w:r>
      <w:r>
        <w:rPr>
          <w:rFonts w:ascii="Arial" w:hAnsi="Arial" w:cs="Arial"/>
        </w:rPr>
        <w:t>.</w:t>
      </w:r>
    </w:p>
    <w:p w:rsidR="006833A9" w:rsidRDefault="006833A9" w:rsidP="006833A9">
      <w:pPr>
        <w:autoSpaceDE w:val="0"/>
        <w:autoSpaceDN w:val="0"/>
        <w:adjustRightInd w:val="0"/>
        <w:spacing w:after="0"/>
        <w:jc w:val="both"/>
        <w:rPr>
          <w:rFonts w:ascii="Arial" w:hAnsi="Arial" w:cs="Arial"/>
        </w:rPr>
      </w:pPr>
    </w:p>
    <w:p w:rsidR="006833A9" w:rsidRDefault="006833A9" w:rsidP="006833A9">
      <w:pPr>
        <w:autoSpaceDE w:val="0"/>
        <w:autoSpaceDN w:val="0"/>
        <w:adjustRightInd w:val="0"/>
        <w:spacing w:after="0"/>
        <w:jc w:val="both"/>
        <w:rPr>
          <w:rFonts w:ascii="Arial" w:hAnsi="Arial" w:cs="Arial"/>
        </w:rPr>
      </w:pPr>
    </w:p>
    <w:p w:rsidR="006833A9" w:rsidRDefault="006833A9" w:rsidP="006833A9">
      <w:pPr>
        <w:autoSpaceDE w:val="0"/>
        <w:autoSpaceDN w:val="0"/>
        <w:adjustRightInd w:val="0"/>
        <w:spacing w:after="0"/>
        <w:jc w:val="both"/>
        <w:rPr>
          <w:rFonts w:ascii="Arial" w:hAnsi="Arial" w:cs="Arial"/>
        </w:rPr>
      </w:pPr>
    </w:p>
    <w:p w:rsidR="006833A9" w:rsidRDefault="006833A9" w:rsidP="006833A9">
      <w:pPr>
        <w:autoSpaceDE w:val="0"/>
        <w:autoSpaceDN w:val="0"/>
        <w:adjustRightInd w:val="0"/>
        <w:spacing w:after="0"/>
        <w:jc w:val="both"/>
        <w:rPr>
          <w:rFonts w:ascii="Arial" w:hAnsi="Arial" w:cs="Arial"/>
        </w:rPr>
      </w:pPr>
    </w:p>
    <w:p w:rsidR="00861CAB" w:rsidRPr="00C1382E" w:rsidRDefault="00861CAB" w:rsidP="000660BC">
      <w:pPr>
        <w:numPr>
          <w:ilvl w:val="0"/>
          <w:numId w:val="34"/>
        </w:numPr>
        <w:spacing w:before="240" w:after="240"/>
        <w:ind w:left="426" w:hanging="426"/>
        <w:jc w:val="both"/>
        <w:rPr>
          <w:rFonts w:ascii="Arial" w:hAnsi="Arial" w:cs="Arial"/>
          <w:b/>
        </w:rPr>
      </w:pPr>
      <w:r w:rsidRPr="0039063E">
        <w:rPr>
          <w:rFonts w:ascii="Arial" w:hAnsi="Arial" w:cs="Arial"/>
          <w:b/>
        </w:rPr>
        <w:lastRenderedPageBreak/>
        <w:t xml:space="preserve"> </w:t>
      </w:r>
      <w:r w:rsidRPr="00C1382E">
        <w:rPr>
          <w:rFonts w:ascii="Arial" w:hAnsi="Arial" w:cs="Arial"/>
          <w:b/>
        </w:rPr>
        <w:t>Fizetési könnyítéses eljárások</w:t>
      </w:r>
    </w:p>
    <w:p w:rsidR="00861CAB" w:rsidRPr="00C1382E" w:rsidRDefault="00861CAB" w:rsidP="00920033">
      <w:pPr>
        <w:spacing w:after="120"/>
        <w:jc w:val="both"/>
        <w:rPr>
          <w:rFonts w:ascii="Arial" w:hAnsi="Arial" w:cs="Arial"/>
        </w:rPr>
      </w:pPr>
      <w:r w:rsidRPr="00C1382E">
        <w:rPr>
          <w:rFonts w:ascii="Arial" w:hAnsi="Arial" w:cs="Arial"/>
        </w:rPr>
        <w:t xml:space="preserve">Magánszemélyektől 2015-ben 7 db fizetési könnyítésre, illetve adómérséklésre irányuló kérelem érkezett adóhatóságunkhoz. Adómérséklést 299 e Ft összegben engedélyeztünk, egy elutasításra került, mivel a törvényi feltételeknek nem felelt meg. </w:t>
      </w:r>
    </w:p>
    <w:p w:rsidR="00920033" w:rsidRPr="0039063E" w:rsidRDefault="00861CAB" w:rsidP="00C1382E">
      <w:pPr>
        <w:jc w:val="both"/>
        <w:rPr>
          <w:rFonts w:ascii="Arial" w:hAnsi="Arial" w:cs="Arial"/>
        </w:rPr>
      </w:pPr>
      <w:r w:rsidRPr="00C1382E">
        <w:rPr>
          <w:rFonts w:ascii="Arial" w:hAnsi="Arial" w:cs="Arial"/>
        </w:rPr>
        <w:t xml:space="preserve">Gazdasági társaság fizetési halasztás öt esetben kért, két esetben elutasítottuk a kérelmet, mivel törvényi feltételeknek nem feleltek meg, a másik három esetben fizetési halasztást engedélyeztük. </w:t>
      </w:r>
      <w:r w:rsidR="00920033" w:rsidRPr="00C1382E">
        <w:rPr>
          <w:rFonts w:ascii="Arial" w:hAnsi="Arial" w:cs="Arial"/>
        </w:rPr>
        <w:t>A kérelmek elbírálásánál következetesen érvényesíteni szándékoztunk azt az elvet, hogy a fizetési könnyítés nem az adózók likviditási gondjainak rendszeres könnyítésének lehetősége, hanem rendkívüli, egyedi, végleges megoldás a fizetési nehézségbe került adósnak.</w:t>
      </w:r>
    </w:p>
    <w:p w:rsidR="00887DB9" w:rsidRPr="00FB0978" w:rsidRDefault="000660BC" w:rsidP="00887DB9">
      <w:pPr>
        <w:spacing w:before="360" w:after="240"/>
        <w:jc w:val="both"/>
        <w:rPr>
          <w:rFonts w:ascii="Arial" w:hAnsi="Arial" w:cs="Arial"/>
          <w:b/>
        </w:rPr>
      </w:pPr>
      <w:r>
        <w:rPr>
          <w:rFonts w:ascii="Arial" w:hAnsi="Arial" w:cs="Arial"/>
          <w:b/>
        </w:rPr>
        <w:t>6</w:t>
      </w:r>
      <w:r w:rsidR="00887DB9" w:rsidRPr="00FB0978">
        <w:rPr>
          <w:rFonts w:ascii="Arial" w:hAnsi="Arial" w:cs="Arial"/>
          <w:b/>
        </w:rPr>
        <w:t>. 2</w:t>
      </w:r>
      <w:r w:rsidR="00920033">
        <w:rPr>
          <w:rFonts w:ascii="Arial" w:hAnsi="Arial" w:cs="Arial"/>
          <w:b/>
        </w:rPr>
        <w:t>015</w:t>
      </w:r>
      <w:r w:rsidR="00887DB9" w:rsidRPr="00FB0978">
        <w:rPr>
          <w:rFonts w:ascii="Arial" w:hAnsi="Arial" w:cs="Arial"/>
          <w:b/>
        </w:rPr>
        <w:t xml:space="preserve">-es ellenőrzési tevékenység helyi adók vonatkozásában </w:t>
      </w:r>
    </w:p>
    <w:p w:rsidR="00887DB9" w:rsidRPr="000F753F" w:rsidRDefault="00887DB9" w:rsidP="00C1382E">
      <w:pPr>
        <w:spacing w:after="120"/>
        <w:jc w:val="both"/>
        <w:rPr>
          <w:rFonts w:ascii="Arial" w:hAnsi="Arial" w:cs="Arial"/>
        </w:rPr>
      </w:pPr>
      <w:r w:rsidRPr="00FB0978">
        <w:rPr>
          <w:rFonts w:ascii="Arial" w:hAnsi="Arial" w:cs="Arial"/>
        </w:rPr>
        <w:t xml:space="preserve">Az </w:t>
      </w:r>
      <w:r w:rsidR="0062074C" w:rsidRPr="00FB0978">
        <w:rPr>
          <w:rFonts w:ascii="Arial" w:hAnsi="Arial" w:cs="Arial"/>
        </w:rPr>
        <w:t>Art.</w:t>
      </w:r>
      <w:r w:rsidRPr="00FB0978">
        <w:rPr>
          <w:rFonts w:ascii="Arial" w:hAnsi="Arial" w:cs="Arial"/>
        </w:rPr>
        <w:t xml:space="preserve"> 86. §</w:t>
      </w:r>
      <w:proofErr w:type="spellStart"/>
      <w:r w:rsidRPr="00FB0978">
        <w:rPr>
          <w:rFonts w:ascii="Arial" w:hAnsi="Arial" w:cs="Arial"/>
        </w:rPr>
        <w:t>-a</w:t>
      </w:r>
      <w:proofErr w:type="spellEnd"/>
      <w:r w:rsidRPr="00FB0978">
        <w:rPr>
          <w:rFonts w:ascii="Arial" w:hAnsi="Arial" w:cs="Arial"/>
        </w:rPr>
        <w:t xml:space="preserve"> szerint az adóhatóság az adóbevétel megrövidítésének, a költségvetési támogatás, adó-visszaigénylés jogosulatlan igénybevételének megakadályozása érdekében rendszeresen ellenőrzi </w:t>
      </w:r>
      <w:r w:rsidR="0020310B" w:rsidRPr="00FB0978">
        <w:rPr>
          <w:rFonts w:ascii="Arial" w:hAnsi="Arial" w:cs="Arial"/>
        </w:rPr>
        <w:t>azokat az</w:t>
      </w:r>
      <w:r w:rsidRPr="00FB0978">
        <w:rPr>
          <w:rFonts w:ascii="Arial" w:hAnsi="Arial" w:cs="Arial"/>
        </w:rPr>
        <w:t xml:space="preserve"> adózókat és az adózásban részt vevő más személyeket.</w:t>
      </w:r>
      <w:r w:rsidRPr="000F753F">
        <w:rPr>
          <w:rFonts w:ascii="Arial" w:hAnsi="Arial" w:cs="Arial"/>
        </w:rPr>
        <w:t xml:space="preserve"> </w:t>
      </w:r>
    </w:p>
    <w:p w:rsidR="00887DB9" w:rsidRPr="002D2D27" w:rsidRDefault="00887DB9" w:rsidP="00C1382E">
      <w:pPr>
        <w:spacing w:after="120"/>
        <w:jc w:val="both"/>
        <w:rPr>
          <w:rFonts w:ascii="Arial" w:hAnsi="Arial" w:cs="Arial"/>
        </w:rPr>
      </w:pPr>
      <w:r w:rsidRPr="000F753F">
        <w:rPr>
          <w:rFonts w:ascii="Arial" w:hAnsi="Arial" w:cs="Arial"/>
        </w:rPr>
        <w:t>Az ellenőrzés célja az adótörvényekben és más jogszabályokban előírt kötelezettségek teljesítésének vagy megsértésének megállapítása</w:t>
      </w:r>
      <w:r w:rsidRPr="002D2D27">
        <w:rPr>
          <w:rFonts w:ascii="Arial" w:hAnsi="Arial" w:cs="Arial"/>
        </w:rPr>
        <w:t>. Az ellenőrzés során az adóhatóság feltárja és bizonyítja azokat a tényeket, körülményeket, adatokat, amelyek megalapozzák a jogsértés és a joggal való visszaélés megállapítását, és az ezek miatt indított hatósági eljárást.</w:t>
      </w:r>
    </w:p>
    <w:p w:rsidR="00887DB9" w:rsidRPr="002D2D27" w:rsidRDefault="00887DB9" w:rsidP="00C1382E">
      <w:pPr>
        <w:spacing w:after="120"/>
        <w:jc w:val="both"/>
        <w:rPr>
          <w:rFonts w:ascii="Arial" w:hAnsi="Arial" w:cs="Arial"/>
        </w:rPr>
      </w:pPr>
      <w:r w:rsidRPr="002D2D27">
        <w:rPr>
          <w:rFonts w:ascii="Arial" w:hAnsi="Arial" w:cs="Arial"/>
        </w:rPr>
        <w:t xml:space="preserve">Az adóhatóság a célszerűség és gazdaságosság szempontjait érvényre juttatva használja fel erőforrásait. Az ellenőrzési irányokat úgy kell meghatározni, hogy az ellenőrzöttség tudata az adózókat az önkéntes jogkövetésre ösztönözze. Az ellenőrzés hatékonyságának növelése és ezzel együtt az adózó adminisztrációs terheinek mérséklése érdekében az adóhatóságok a hatáskörükbe tartozó ügyekben együttesen, egyidejűleg is folytathatnak ellenőrzést az adózónál. </w:t>
      </w:r>
    </w:p>
    <w:p w:rsidR="004740C0" w:rsidRDefault="00887DB9" w:rsidP="00C1382E">
      <w:pPr>
        <w:spacing w:before="240" w:after="240"/>
        <w:jc w:val="both"/>
        <w:rPr>
          <w:rFonts w:ascii="Arial" w:hAnsi="Arial" w:cs="Arial"/>
        </w:rPr>
      </w:pPr>
      <w:r w:rsidRPr="002D2D27">
        <w:rPr>
          <w:rFonts w:ascii="Arial" w:hAnsi="Arial" w:cs="Arial"/>
        </w:rPr>
        <w:t>A helyi adók szempontjából az ellenőrzés az adókötelezettségek teljesítését az egyes kötelezettségek teljesítését vagy elmulasztását hivatott kontrollálni, szükség esetén szankcionálni.</w:t>
      </w:r>
    </w:p>
    <w:p w:rsidR="004740C0" w:rsidRPr="00996C49" w:rsidRDefault="00887DB9" w:rsidP="004740C0">
      <w:pPr>
        <w:spacing w:before="240" w:after="240"/>
        <w:jc w:val="both"/>
        <w:rPr>
          <w:rFonts w:ascii="Arial" w:hAnsi="Arial" w:cs="Arial"/>
          <w:b/>
        </w:rPr>
      </w:pPr>
      <w:r w:rsidRPr="00FB0978">
        <w:rPr>
          <w:rFonts w:ascii="Arial" w:hAnsi="Arial" w:cs="Arial"/>
        </w:rPr>
        <w:t xml:space="preserve"> </w:t>
      </w:r>
      <w:r w:rsidR="000660BC">
        <w:rPr>
          <w:rFonts w:ascii="Arial" w:hAnsi="Arial" w:cs="Arial"/>
          <w:b/>
        </w:rPr>
        <w:t>6</w:t>
      </w:r>
      <w:r w:rsidR="004740C0" w:rsidRPr="00996C49">
        <w:rPr>
          <w:rFonts w:ascii="Arial" w:hAnsi="Arial" w:cs="Arial"/>
          <w:b/>
        </w:rPr>
        <w:t>.1. Építményadó ellenőrzés</w:t>
      </w:r>
    </w:p>
    <w:p w:rsidR="00205040" w:rsidRPr="00FB0978" w:rsidRDefault="00205040" w:rsidP="00203F1B">
      <w:pPr>
        <w:spacing w:after="120"/>
        <w:jc w:val="both"/>
        <w:rPr>
          <w:rFonts w:ascii="Arial" w:hAnsi="Arial" w:cs="Arial"/>
        </w:rPr>
      </w:pPr>
      <w:r w:rsidRPr="00FB0978">
        <w:rPr>
          <w:rFonts w:ascii="Arial" w:hAnsi="Arial" w:cs="Arial"/>
        </w:rPr>
        <w:t xml:space="preserve">Az építményadó ellenőrzések az adó-feldolgozást végző ügyintézők által kerülnek lefolytatásra. </w:t>
      </w:r>
      <w:r w:rsidRPr="000542EE">
        <w:rPr>
          <w:rFonts w:ascii="Arial" w:hAnsi="Arial" w:cs="Arial"/>
        </w:rPr>
        <w:t>10 db</w:t>
      </w:r>
      <w:r w:rsidRPr="00FB0978">
        <w:rPr>
          <w:rFonts w:ascii="Arial" w:hAnsi="Arial" w:cs="Arial"/>
        </w:rPr>
        <w:t xml:space="preserve"> ellenőrzési eljárás indult, mely </w:t>
      </w:r>
      <w:r w:rsidRPr="000542EE">
        <w:rPr>
          <w:rFonts w:ascii="Arial" w:hAnsi="Arial" w:cs="Arial"/>
        </w:rPr>
        <w:t>27 db</w:t>
      </w:r>
      <w:r w:rsidRPr="00FB0978">
        <w:rPr>
          <w:rFonts w:ascii="Arial" w:hAnsi="Arial" w:cs="Arial"/>
        </w:rPr>
        <w:t xml:space="preserve"> ingatlant érintett, jellemzően olyan esetekben, ahol a nyilvántartásokból megállapítható adóalany a bevallási kötelezettségét elmulasztotta illetve a nyilvántartásban lévő és a tényleges adatok között eltérés volt tapasztalható. Az ellenőrzések alapján az adó-nyilvántartásokban szereplő elavult adóalanyi, adóztatási információk javításra kerültek.</w:t>
      </w:r>
    </w:p>
    <w:p w:rsidR="00205040" w:rsidRPr="00FB0978" w:rsidRDefault="00205040" w:rsidP="00203F1B">
      <w:pPr>
        <w:spacing w:before="120" w:after="0"/>
        <w:jc w:val="both"/>
        <w:rPr>
          <w:rFonts w:ascii="Arial" w:hAnsi="Arial" w:cs="Arial"/>
        </w:rPr>
      </w:pPr>
      <w:r w:rsidRPr="00FB0978">
        <w:rPr>
          <w:rFonts w:ascii="Arial" w:hAnsi="Arial" w:cs="Arial"/>
        </w:rPr>
        <w:t>A közölt táblázatok adatai a helyi adó nyilvántartás 2015. október 19. napi állapotának megfelelően adnak választ a kérdésekre.</w:t>
      </w:r>
    </w:p>
    <w:p w:rsidR="00205040" w:rsidRPr="00FB0978" w:rsidRDefault="00205040" w:rsidP="00203F1B">
      <w:pPr>
        <w:spacing w:after="0"/>
        <w:jc w:val="both"/>
        <w:rPr>
          <w:rFonts w:ascii="Arial" w:hAnsi="Arial" w:cs="Arial"/>
        </w:rPr>
      </w:pPr>
      <w:r w:rsidRPr="00FB0978">
        <w:rPr>
          <w:rFonts w:ascii="Arial" w:hAnsi="Arial" w:cs="Arial"/>
        </w:rPr>
        <w:t>A tényleges értékek meghatározásához a Földhivatal által ingyenesen megküldendő nyilvántartás feldolgozása is szükséges lenne. (belterületi, zártkerti és külterületi ingatlanok vizsgálata az adókötelezettség szempontjából)</w:t>
      </w:r>
    </w:p>
    <w:p w:rsidR="00205040" w:rsidRPr="00FB0978" w:rsidRDefault="00205040" w:rsidP="00203F1B">
      <w:pPr>
        <w:spacing w:after="0"/>
        <w:jc w:val="both"/>
        <w:rPr>
          <w:rFonts w:ascii="Arial" w:hAnsi="Arial" w:cs="Arial"/>
        </w:rPr>
      </w:pPr>
      <w:r w:rsidRPr="00FB0978">
        <w:rPr>
          <w:rFonts w:ascii="Arial" w:hAnsi="Arial" w:cs="Arial"/>
        </w:rPr>
        <w:t>A helyi adó nyilvántartás a korábbi években alkalmazott rögzítések miatt nem teljesen pontos adatokat szolgáltat. A nyilvántartás korrigálása folyamatosan történik.</w:t>
      </w:r>
    </w:p>
    <w:p w:rsidR="00996C49" w:rsidRDefault="00996C49" w:rsidP="00203F1B">
      <w:pPr>
        <w:spacing w:after="0"/>
        <w:rPr>
          <w:rFonts w:ascii="Arial" w:hAnsi="Arial" w:cs="Arial"/>
          <w:b/>
        </w:rPr>
      </w:pPr>
    </w:p>
    <w:p w:rsidR="006833A9" w:rsidRDefault="006833A9" w:rsidP="00203F1B">
      <w:pPr>
        <w:spacing w:after="0"/>
        <w:rPr>
          <w:rFonts w:ascii="Arial" w:hAnsi="Arial" w:cs="Arial"/>
          <w:b/>
        </w:rPr>
      </w:pPr>
    </w:p>
    <w:p w:rsidR="006833A9" w:rsidRDefault="006833A9" w:rsidP="00203F1B">
      <w:pPr>
        <w:spacing w:after="0"/>
        <w:rPr>
          <w:rFonts w:ascii="Arial" w:hAnsi="Arial" w:cs="Arial"/>
          <w:b/>
        </w:rPr>
      </w:pPr>
    </w:p>
    <w:p w:rsidR="006833A9" w:rsidRDefault="006833A9" w:rsidP="00203F1B">
      <w:pPr>
        <w:spacing w:after="0"/>
        <w:rPr>
          <w:rFonts w:ascii="Arial" w:hAnsi="Arial" w:cs="Arial"/>
          <w:b/>
        </w:rPr>
      </w:pPr>
    </w:p>
    <w:p w:rsidR="006833A9" w:rsidRDefault="006833A9" w:rsidP="00203F1B">
      <w:pPr>
        <w:spacing w:after="0"/>
        <w:rPr>
          <w:rFonts w:ascii="Arial" w:hAnsi="Arial" w:cs="Arial"/>
          <w:b/>
        </w:rPr>
      </w:pPr>
    </w:p>
    <w:p w:rsidR="00FB0978" w:rsidRPr="00FB0978" w:rsidRDefault="000660BC" w:rsidP="00996C49">
      <w:pPr>
        <w:spacing w:after="0" w:line="240" w:lineRule="auto"/>
        <w:rPr>
          <w:rFonts w:ascii="Arial" w:hAnsi="Arial" w:cs="Arial"/>
          <w:b/>
        </w:rPr>
      </w:pPr>
      <w:r>
        <w:rPr>
          <w:rFonts w:ascii="Arial" w:hAnsi="Arial" w:cs="Arial"/>
          <w:b/>
        </w:rPr>
        <w:lastRenderedPageBreak/>
        <w:t>6</w:t>
      </w:r>
      <w:r w:rsidR="00996C49">
        <w:rPr>
          <w:rFonts w:ascii="Arial" w:hAnsi="Arial" w:cs="Arial"/>
          <w:b/>
        </w:rPr>
        <w:t xml:space="preserve">.2. </w:t>
      </w:r>
      <w:r w:rsidR="00FB0978" w:rsidRPr="00FB0978">
        <w:rPr>
          <w:rFonts w:ascii="Arial" w:hAnsi="Arial" w:cs="Arial"/>
          <w:b/>
        </w:rPr>
        <w:t>Idegenforgalmi adóellenőrzés</w:t>
      </w:r>
    </w:p>
    <w:p w:rsidR="00FB0978" w:rsidRPr="00FB0978" w:rsidRDefault="00FB0978" w:rsidP="00FB0978">
      <w:pPr>
        <w:spacing w:after="0" w:line="240" w:lineRule="auto"/>
        <w:jc w:val="both"/>
        <w:rPr>
          <w:rFonts w:ascii="Arial" w:hAnsi="Arial" w:cs="Arial"/>
        </w:rPr>
      </w:pPr>
    </w:p>
    <w:p w:rsidR="00FB0978" w:rsidRPr="00694C7A" w:rsidRDefault="00FB0978" w:rsidP="00A360CD">
      <w:pPr>
        <w:spacing w:after="0"/>
        <w:jc w:val="both"/>
        <w:rPr>
          <w:rFonts w:ascii="Arial" w:hAnsi="Arial" w:cs="Arial"/>
        </w:rPr>
      </w:pPr>
      <w:r w:rsidRPr="00FB0978">
        <w:rPr>
          <w:rFonts w:ascii="Arial" w:hAnsi="Arial" w:cs="Arial"/>
        </w:rPr>
        <w:t xml:space="preserve">Az idei évben eddig 205 alkalommal történt </w:t>
      </w:r>
      <w:r w:rsidRPr="00FB0978">
        <w:rPr>
          <w:rFonts w:ascii="Arial" w:hAnsi="Arial" w:cs="Arial"/>
          <w:i/>
          <w:u w:val="single"/>
        </w:rPr>
        <w:t>idegenforgalmi adókötelezettség teljesítésének helyszíni ellenőrzése</w:t>
      </w:r>
      <w:r w:rsidRPr="00FB0978">
        <w:rPr>
          <w:rFonts w:ascii="Arial" w:hAnsi="Arial" w:cs="Arial"/>
        </w:rPr>
        <w:t>, ebből 24 esetben jogszabálysértés került megállapításra. Az alábbi táblázat szemlélteti a kereskedelmi és egyéb</w:t>
      </w:r>
      <w:r w:rsidRPr="00694C7A">
        <w:rPr>
          <w:rFonts w:ascii="Arial" w:hAnsi="Arial" w:cs="Arial"/>
        </w:rPr>
        <w:t xml:space="preserve"> szálláshelyek ellenőrzéseinek </w:t>
      </w:r>
      <w:r>
        <w:rPr>
          <w:rFonts w:ascii="Arial" w:hAnsi="Arial" w:cs="Arial"/>
        </w:rPr>
        <w:t>megoszlását.</w:t>
      </w:r>
    </w:p>
    <w:p w:rsidR="00FB0978" w:rsidRDefault="00FB0978" w:rsidP="006833A9">
      <w:pPr>
        <w:spacing w:after="0"/>
        <w:jc w:val="center"/>
        <w:rPr>
          <w:rFonts w:ascii="Arial" w:hAnsi="Arial" w:cs="Arial"/>
        </w:rPr>
      </w:pPr>
    </w:p>
    <w:tbl>
      <w:tblPr>
        <w:tblW w:w="8620" w:type="dxa"/>
        <w:jc w:val="center"/>
        <w:tblCellMar>
          <w:left w:w="70" w:type="dxa"/>
          <w:right w:w="70" w:type="dxa"/>
        </w:tblCellMar>
        <w:tblLook w:val="04A0" w:firstRow="1" w:lastRow="0" w:firstColumn="1" w:lastColumn="0" w:noHBand="0" w:noVBand="1"/>
      </w:tblPr>
      <w:tblGrid>
        <w:gridCol w:w="3060"/>
        <w:gridCol w:w="1720"/>
        <w:gridCol w:w="1660"/>
        <w:gridCol w:w="2180"/>
      </w:tblGrid>
      <w:tr w:rsidR="00FB0978" w:rsidRPr="00F86074" w:rsidTr="006833A9">
        <w:trPr>
          <w:trHeight w:val="968"/>
          <w:jc w:val="center"/>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978" w:rsidRPr="00F86074" w:rsidRDefault="00FB0978" w:rsidP="00A360CD">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Megnevezés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FB0978" w:rsidRPr="00F86074" w:rsidRDefault="00FB0978" w:rsidP="00A360CD">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Ellenőrzések száma</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B0978" w:rsidRPr="00F86074" w:rsidRDefault="00FB0978" w:rsidP="00A360CD">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Jogszabály-sértések száma</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FB0978" w:rsidRPr="00CC6768" w:rsidRDefault="00FB0978" w:rsidP="00A360CD">
            <w:pPr>
              <w:spacing w:after="0"/>
              <w:jc w:val="center"/>
              <w:rPr>
                <w:rFonts w:ascii="Arial" w:eastAsia="Times New Roman" w:hAnsi="Arial" w:cs="Arial"/>
                <w:color w:val="000000"/>
                <w:sz w:val="20"/>
                <w:szCs w:val="20"/>
                <w:lang w:eastAsia="hu-HU"/>
              </w:rPr>
            </w:pPr>
            <w:r w:rsidRPr="00CC6768">
              <w:rPr>
                <w:rFonts w:ascii="Arial" w:eastAsia="Times New Roman" w:hAnsi="Arial" w:cs="Arial"/>
                <w:color w:val="000000"/>
                <w:sz w:val="20"/>
                <w:szCs w:val="20"/>
                <w:lang w:eastAsia="hu-HU"/>
              </w:rPr>
              <w:t>Az ellenőrzések számához viszonyítva a jogszabálysértések aránya</w:t>
            </w:r>
          </w:p>
        </w:tc>
      </w:tr>
      <w:tr w:rsidR="00FB0978" w:rsidRPr="00F86074" w:rsidTr="006833A9">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FB0978" w:rsidRPr="00F86074" w:rsidRDefault="00FB0978" w:rsidP="00A360CD">
            <w:pPr>
              <w:spacing w:after="0"/>
              <w:rPr>
                <w:rFonts w:ascii="Arial" w:eastAsia="Times New Roman" w:hAnsi="Arial" w:cs="Arial"/>
                <w:color w:val="000000"/>
                <w:lang w:eastAsia="hu-HU"/>
              </w:rPr>
            </w:pPr>
            <w:r w:rsidRPr="00F86074">
              <w:rPr>
                <w:rFonts w:ascii="Arial" w:eastAsia="Times New Roman" w:hAnsi="Arial" w:cs="Arial"/>
                <w:color w:val="000000"/>
                <w:lang w:eastAsia="hu-HU"/>
              </w:rPr>
              <w:t>Kereskedelmi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34</w:t>
            </w:r>
          </w:p>
        </w:tc>
        <w:tc>
          <w:tcPr>
            <w:tcW w:w="166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7</w:t>
            </w:r>
          </w:p>
        </w:tc>
        <w:tc>
          <w:tcPr>
            <w:tcW w:w="218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21%</w:t>
            </w:r>
          </w:p>
        </w:tc>
      </w:tr>
      <w:tr w:rsidR="00FB0978" w:rsidRPr="00F86074" w:rsidTr="006833A9">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B0978" w:rsidRPr="00F86074" w:rsidRDefault="00FB0978" w:rsidP="00A360CD">
            <w:pPr>
              <w:spacing w:after="0"/>
              <w:rPr>
                <w:rFonts w:ascii="Arial" w:eastAsia="Times New Roman" w:hAnsi="Arial" w:cs="Arial"/>
                <w:color w:val="000000"/>
                <w:lang w:eastAsia="hu-HU"/>
              </w:rPr>
            </w:pPr>
            <w:r w:rsidRPr="00F86074">
              <w:rPr>
                <w:rFonts w:ascii="Arial" w:eastAsia="Times New Roman" w:hAnsi="Arial" w:cs="Arial"/>
                <w:color w:val="000000"/>
                <w:lang w:eastAsia="hu-HU"/>
              </w:rPr>
              <w:t>Egyéb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171</w:t>
            </w:r>
          </w:p>
        </w:tc>
        <w:tc>
          <w:tcPr>
            <w:tcW w:w="166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w:t>
            </w:r>
          </w:p>
        </w:tc>
        <w:tc>
          <w:tcPr>
            <w:tcW w:w="218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10%</w:t>
            </w:r>
          </w:p>
        </w:tc>
      </w:tr>
      <w:tr w:rsidR="00FB0978" w:rsidRPr="00F86074" w:rsidTr="006833A9">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B0978" w:rsidRPr="00F86074" w:rsidRDefault="00FB0978" w:rsidP="00A360CD">
            <w:pPr>
              <w:spacing w:after="0"/>
              <w:rPr>
                <w:rFonts w:ascii="Arial" w:eastAsia="Times New Roman" w:hAnsi="Arial" w:cs="Arial"/>
                <w:color w:val="000000"/>
                <w:lang w:eastAsia="hu-HU"/>
              </w:rPr>
            </w:pPr>
            <w:r w:rsidRPr="00F86074">
              <w:rPr>
                <w:rFonts w:ascii="Arial" w:eastAsia="Times New Roman" w:hAnsi="Arial" w:cs="Arial"/>
                <w:color w:val="000000"/>
                <w:lang w:eastAsia="hu-HU"/>
              </w:rPr>
              <w:t>Összesen</w:t>
            </w:r>
          </w:p>
        </w:tc>
        <w:tc>
          <w:tcPr>
            <w:tcW w:w="172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205</w:t>
            </w:r>
          </w:p>
        </w:tc>
        <w:tc>
          <w:tcPr>
            <w:tcW w:w="166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24</w:t>
            </w:r>
          </w:p>
        </w:tc>
        <w:tc>
          <w:tcPr>
            <w:tcW w:w="218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12%</w:t>
            </w:r>
          </w:p>
        </w:tc>
      </w:tr>
    </w:tbl>
    <w:p w:rsidR="00FB0978" w:rsidRPr="00694C7A" w:rsidRDefault="00FB0978" w:rsidP="00A360CD">
      <w:pPr>
        <w:spacing w:after="0"/>
        <w:jc w:val="both"/>
        <w:rPr>
          <w:rFonts w:ascii="Arial" w:hAnsi="Arial" w:cs="Arial"/>
        </w:rPr>
      </w:pPr>
    </w:p>
    <w:p w:rsidR="00FB0978" w:rsidRPr="00694C7A" w:rsidRDefault="00FB0978" w:rsidP="00A360CD">
      <w:pPr>
        <w:spacing w:after="0"/>
        <w:jc w:val="both"/>
        <w:rPr>
          <w:rFonts w:ascii="Arial" w:hAnsi="Arial" w:cs="Arial"/>
          <w:u w:val="single"/>
        </w:rPr>
      </w:pPr>
      <w:r w:rsidRPr="00694C7A">
        <w:rPr>
          <w:rFonts w:ascii="Arial" w:hAnsi="Arial" w:cs="Arial"/>
          <w:u w:val="single"/>
        </w:rPr>
        <w:t>Egyéb szálláshely:</w:t>
      </w:r>
    </w:p>
    <w:p w:rsidR="00FB0978" w:rsidRDefault="00FB0978" w:rsidP="00A360CD">
      <w:pPr>
        <w:spacing w:after="0"/>
        <w:jc w:val="both"/>
        <w:rPr>
          <w:rFonts w:ascii="Arial" w:hAnsi="Arial" w:cs="Arial"/>
        </w:rPr>
      </w:pPr>
      <w:r w:rsidRPr="00694C7A">
        <w:rPr>
          <w:rFonts w:ascii="Arial" w:hAnsi="Arial" w:cs="Arial"/>
        </w:rPr>
        <w:t>3 adóbeszedésre kötelezett kapott a jegyzőkönyv alapján jogszabálysértő gyakorlat me</w:t>
      </w:r>
      <w:r>
        <w:rPr>
          <w:rFonts w:ascii="Arial" w:hAnsi="Arial" w:cs="Arial"/>
        </w:rPr>
        <w:t>gszüntetésére szóló felhívást, 14</w:t>
      </w:r>
      <w:r w:rsidRPr="00694C7A">
        <w:rPr>
          <w:rFonts w:ascii="Arial" w:hAnsi="Arial" w:cs="Arial"/>
        </w:rPr>
        <w:t xml:space="preserve"> esetben került mulasztási bírság kiszabásra összesen </w:t>
      </w:r>
      <w:r>
        <w:rPr>
          <w:rFonts w:ascii="Arial" w:hAnsi="Arial" w:cs="Arial"/>
        </w:rPr>
        <w:t>208.000</w:t>
      </w:r>
      <w:r w:rsidRPr="00694C7A">
        <w:rPr>
          <w:rFonts w:ascii="Arial" w:hAnsi="Arial" w:cs="Arial"/>
        </w:rPr>
        <w:t xml:space="preserve"> Ft (átlagosan </w:t>
      </w:r>
      <w:r>
        <w:rPr>
          <w:rFonts w:ascii="Arial" w:hAnsi="Arial" w:cs="Arial"/>
        </w:rPr>
        <w:t>14.800</w:t>
      </w:r>
      <w:r w:rsidRPr="00694C7A">
        <w:rPr>
          <w:rFonts w:ascii="Arial" w:hAnsi="Arial" w:cs="Arial"/>
        </w:rPr>
        <w:t xml:space="preserve"> Ft) összegben. </w:t>
      </w:r>
    </w:p>
    <w:p w:rsidR="00FB0978" w:rsidRPr="00694C7A" w:rsidRDefault="00FB0978" w:rsidP="00A360CD">
      <w:pPr>
        <w:spacing w:after="0"/>
        <w:jc w:val="both"/>
        <w:rPr>
          <w:rFonts w:ascii="Arial" w:hAnsi="Arial" w:cs="Arial"/>
        </w:rPr>
      </w:pPr>
      <w:r>
        <w:rPr>
          <w:rFonts w:ascii="Arial" w:hAnsi="Arial" w:cs="Arial"/>
        </w:rPr>
        <w:t>Az ellenőrzési jegyzőkönyvekben összesen 39 vendég IFA könyvbe történő bejegyzésének hiányát állapítottuk meg.</w:t>
      </w:r>
    </w:p>
    <w:p w:rsidR="00FB0978" w:rsidRDefault="00FB0978" w:rsidP="00A360CD">
      <w:pPr>
        <w:spacing w:after="0"/>
        <w:jc w:val="both"/>
        <w:rPr>
          <w:rFonts w:ascii="Arial" w:hAnsi="Arial" w:cs="Arial"/>
        </w:rPr>
      </w:pPr>
    </w:p>
    <w:p w:rsidR="00FB0978" w:rsidRPr="00694C7A" w:rsidRDefault="00FB0978" w:rsidP="00A360CD">
      <w:pPr>
        <w:spacing w:after="0"/>
        <w:jc w:val="both"/>
        <w:rPr>
          <w:rFonts w:ascii="Arial" w:hAnsi="Arial" w:cs="Arial"/>
          <w:u w:val="single"/>
        </w:rPr>
      </w:pPr>
      <w:r w:rsidRPr="00694C7A">
        <w:rPr>
          <w:rFonts w:ascii="Arial" w:hAnsi="Arial" w:cs="Arial"/>
          <w:u w:val="single"/>
        </w:rPr>
        <w:t>Kereskedelmi szálláshely:</w:t>
      </w:r>
    </w:p>
    <w:p w:rsidR="00FB0978" w:rsidRDefault="00FB0978" w:rsidP="00A360CD">
      <w:pPr>
        <w:spacing w:after="0"/>
        <w:jc w:val="both"/>
        <w:rPr>
          <w:rFonts w:ascii="Arial" w:hAnsi="Arial" w:cs="Arial"/>
        </w:rPr>
      </w:pPr>
      <w:r>
        <w:rPr>
          <w:rFonts w:ascii="Arial" w:hAnsi="Arial" w:cs="Arial"/>
        </w:rPr>
        <w:t>7</w:t>
      </w:r>
      <w:r w:rsidRPr="00694C7A">
        <w:rPr>
          <w:rFonts w:ascii="Arial" w:hAnsi="Arial" w:cs="Arial"/>
        </w:rPr>
        <w:t xml:space="preserve"> esetben került mulaszt</w:t>
      </w:r>
      <w:r>
        <w:rPr>
          <w:rFonts w:ascii="Arial" w:hAnsi="Arial" w:cs="Arial"/>
        </w:rPr>
        <w:t>ási bírság kiszabásra összesen 250.000</w:t>
      </w:r>
      <w:r w:rsidR="006833A9">
        <w:rPr>
          <w:rFonts w:ascii="Arial" w:hAnsi="Arial" w:cs="Arial"/>
        </w:rPr>
        <w:t xml:space="preserve"> </w:t>
      </w:r>
      <w:r>
        <w:rPr>
          <w:rFonts w:ascii="Arial" w:hAnsi="Arial" w:cs="Arial"/>
        </w:rPr>
        <w:t>Ft (átlagosan 35</w:t>
      </w:r>
      <w:r w:rsidRPr="00694C7A">
        <w:rPr>
          <w:rFonts w:ascii="Arial" w:hAnsi="Arial" w:cs="Arial"/>
        </w:rPr>
        <w:t>.</w:t>
      </w:r>
      <w:r>
        <w:rPr>
          <w:rFonts w:ascii="Arial" w:hAnsi="Arial" w:cs="Arial"/>
        </w:rPr>
        <w:t>7</w:t>
      </w:r>
      <w:r w:rsidRPr="00694C7A">
        <w:rPr>
          <w:rFonts w:ascii="Arial" w:hAnsi="Arial" w:cs="Arial"/>
        </w:rPr>
        <w:t xml:space="preserve">00 Ft) összegben. </w:t>
      </w:r>
      <w:r>
        <w:rPr>
          <w:rFonts w:ascii="Arial" w:hAnsi="Arial" w:cs="Arial"/>
        </w:rPr>
        <w:t xml:space="preserve">3 esetben a szálláshelyen nem volt fellelhető az IFA nyilvántartó könyv, </w:t>
      </w:r>
      <w:r w:rsidRPr="00C27F11">
        <w:rPr>
          <w:rFonts w:ascii="Arial" w:hAnsi="Arial" w:cs="Arial"/>
        </w:rPr>
        <w:t xml:space="preserve">emiatt </w:t>
      </w:r>
      <w:r>
        <w:rPr>
          <w:rFonts w:ascii="Arial" w:hAnsi="Arial" w:cs="Arial"/>
        </w:rPr>
        <w:t xml:space="preserve">szabtunk ki büntetést, így a be nem írt vendégek száma pontosan nem állapítható meg. </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A helyszíni ellenőrzéseken kívül 5 esetben – konkrét személyre, illetve gazdasági társaságra vonatkozó megbízólevél alapján - </w:t>
      </w:r>
      <w:r w:rsidRPr="00270D33">
        <w:rPr>
          <w:rFonts w:ascii="Arial" w:hAnsi="Arial" w:cs="Arial"/>
          <w:i/>
          <w:u w:val="single"/>
        </w:rPr>
        <w:t>Idegenforgalmi adóbevallások utólagos ellenőrzésére és idegenforgalmi adó kötelezettség teljesítésére irányuló ellenőrzés</w:t>
      </w:r>
      <w:r>
        <w:rPr>
          <w:rFonts w:ascii="Arial" w:hAnsi="Arial" w:cs="Arial"/>
        </w:rPr>
        <w:t>t folytattunk le.</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Idén augusztus óta adóhatóságunk figyelemmel kíséri a különböző szálláshely-szolgáltatásokat hirdető elektronikus felületeket. A hirdetések alapján adóellenőrzési eljárás keretében utólagos adó megállapításokra, adóbírságok, késedelmi pótlékok kiszabására került sor. </w:t>
      </w:r>
    </w:p>
    <w:p w:rsidR="00FB0978" w:rsidRDefault="00FB0978" w:rsidP="00A360CD">
      <w:pPr>
        <w:spacing w:after="0"/>
        <w:jc w:val="both"/>
        <w:rPr>
          <w:rFonts w:ascii="Arial" w:hAnsi="Arial" w:cs="Arial"/>
        </w:rPr>
      </w:pPr>
      <w:r>
        <w:rPr>
          <w:rFonts w:ascii="Arial" w:hAnsi="Arial" w:cs="Arial"/>
        </w:rPr>
        <w:t>Ezen felületek által nyert információknak köszönhetően utólagos adóbevallásokra, adóbefizetésekre is sor került. Utólagosan megállapított adó, illetve utólagosan bevallott adó ebben az évben eddig 1.450.000 Ft. Megállapított adóbírság összege 175.600 Ft.</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Számos engedély nélkül működő, idegenforgalmi adót be nem szedő, illetve az önkormányzathoz be nem fizető szálláshely ügyében, az ingatlanok pontos beazonosítását követően – a szabad emberi erőforrás kapacitásának függvényében - adóellenőrzési eljárás indítását tervezzük. </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Az idei évben az idegenforgalmi adóellenőrzési tevékenységet a hatósági osztály dolgozói egyéb munkaköri feladatuk ellátása mellett végezték. </w:t>
      </w:r>
    </w:p>
    <w:p w:rsidR="00FB0978" w:rsidRDefault="00FB0978" w:rsidP="00A360CD">
      <w:pPr>
        <w:spacing w:after="0"/>
        <w:jc w:val="both"/>
        <w:rPr>
          <w:rFonts w:ascii="Arial" w:hAnsi="Arial" w:cs="Arial"/>
        </w:rPr>
      </w:pPr>
    </w:p>
    <w:p w:rsidR="004740C0" w:rsidRDefault="000660BC" w:rsidP="00A360CD">
      <w:pPr>
        <w:spacing w:before="240" w:after="240"/>
        <w:jc w:val="both"/>
        <w:rPr>
          <w:rFonts w:ascii="Arial" w:hAnsi="Arial" w:cs="Arial"/>
          <w:b/>
        </w:rPr>
      </w:pPr>
      <w:r>
        <w:rPr>
          <w:rFonts w:ascii="Arial" w:hAnsi="Arial" w:cs="Arial"/>
          <w:b/>
        </w:rPr>
        <w:t>6</w:t>
      </w:r>
      <w:r w:rsidR="004740C0">
        <w:rPr>
          <w:rFonts w:ascii="Arial" w:hAnsi="Arial" w:cs="Arial"/>
          <w:b/>
        </w:rPr>
        <w:t>.3. Iparűzési adó ellenőrzés</w:t>
      </w:r>
    </w:p>
    <w:p w:rsidR="004740C0" w:rsidRDefault="00417A6E" w:rsidP="00A360CD">
      <w:pPr>
        <w:spacing w:after="0"/>
        <w:jc w:val="both"/>
        <w:rPr>
          <w:rFonts w:ascii="Arial" w:hAnsi="Arial" w:cs="Arial"/>
          <w:iCs/>
        </w:rPr>
      </w:pPr>
      <w:r>
        <w:rPr>
          <w:rFonts w:ascii="Arial" w:hAnsi="Arial" w:cs="Arial"/>
          <w:iCs/>
        </w:rPr>
        <w:t>2015</w:t>
      </w:r>
      <w:r w:rsidR="004740C0">
        <w:rPr>
          <w:rFonts w:ascii="Arial" w:hAnsi="Arial" w:cs="Arial"/>
          <w:iCs/>
        </w:rPr>
        <w:t xml:space="preserve">-ben helyszíni ellenőrzésre nem került sor. A bevallások feldolgozásával egyidejűleg folyamatosan történt az adózók ellenőrzése. </w:t>
      </w:r>
      <w:r>
        <w:rPr>
          <w:rFonts w:ascii="Arial" w:hAnsi="Arial" w:cs="Arial"/>
          <w:iCs/>
        </w:rPr>
        <w:t xml:space="preserve">Ez évben került sor első ízben a bevallást nem teljesítők felszólítására, illetve az ÖNADO nyilvántartásunk felülvizsgálatára, amely eredményeként 3.465 ezer forint utólagos bevételt eredményezett. Jelenleg </w:t>
      </w:r>
      <w:r w:rsidR="000542EE">
        <w:rPr>
          <w:rFonts w:ascii="Arial" w:hAnsi="Arial" w:cs="Arial"/>
          <w:iCs/>
        </w:rPr>
        <w:t xml:space="preserve">folyamatban van az </w:t>
      </w:r>
      <w:r w:rsidR="000542EE">
        <w:rPr>
          <w:rFonts w:ascii="Arial" w:hAnsi="Arial" w:cs="Arial"/>
          <w:iCs/>
        </w:rPr>
        <w:lastRenderedPageBreak/>
        <w:t>elmúlt évben feltöltési kötelezettséget</w:t>
      </w:r>
      <w:r>
        <w:rPr>
          <w:rFonts w:ascii="Arial" w:hAnsi="Arial" w:cs="Arial"/>
          <w:iCs/>
        </w:rPr>
        <w:t xml:space="preserve"> elmulasztó</w:t>
      </w:r>
      <w:r w:rsidR="00EC682F">
        <w:rPr>
          <w:rFonts w:ascii="Arial" w:hAnsi="Arial" w:cs="Arial"/>
          <w:iCs/>
        </w:rPr>
        <w:t>,</w:t>
      </w:r>
      <w:r>
        <w:rPr>
          <w:rFonts w:ascii="Arial" w:hAnsi="Arial" w:cs="Arial"/>
          <w:iCs/>
        </w:rPr>
        <w:t xml:space="preserve"> </w:t>
      </w:r>
      <w:r w:rsidR="000542EE">
        <w:rPr>
          <w:rFonts w:ascii="Arial" w:hAnsi="Arial" w:cs="Arial"/>
          <w:iCs/>
        </w:rPr>
        <w:t xml:space="preserve">arra kötelezett </w:t>
      </w:r>
      <w:r>
        <w:rPr>
          <w:rFonts w:ascii="Arial" w:hAnsi="Arial" w:cs="Arial"/>
          <w:iCs/>
        </w:rPr>
        <w:t xml:space="preserve">adózók </w:t>
      </w:r>
      <w:r w:rsidR="000542EE">
        <w:rPr>
          <w:rFonts w:ascii="Arial" w:hAnsi="Arial" w:cs="Arial"/>
          <w:iCs/>
        </w:rPr>
        <w:t>felszólí</w:t>
      </w:r>
      <w:r w:rsidR="00CC5701">
        <w:rPr>
          <w:rFonts w:ascii="Arial" w:hAnsi="Arial" w:cs="Arial"/>
          <w:iCs/>
        </w:rPr>
        <w:t>tása</w:t>
      </w:r>
      <w:r>
        <w:rPr>
          <w:rFonts w:ascii="Arial" w:hAnsi="Arial" w:cs="Arial"/>
          <w:iCs/>
        </w:rPr>
        <w:t xml:space="preserve"> jogszabályi kötelezettségükről.</w:t>
      </w:r>
    </w:p>
    <w:p w:rsidR="00BA5BD4" w:rsidRDefault="00BA5BD4" w:rsidP="00A360CD">
      <w:pPr>
        <w:spacing w:after="0"/>
        <w:jc w:val="both"/>
        <w:rPr>
          <w:rFonts w:ascii="Arial" w:hAnsi="Arial" w:cs="Arial"/>
          <w:b/>
          <w:iCs/>
        </w:rPr>
      </w:pPr>
    </w:p>
    <w:p w:rsidR="00334062" w:rsidRDefault="00334062" w:rsidP="00A360CD">
      <w:pPr>
        <w:numPr>
          <w:ilvl w:val="0"/>
          <w:numId w:val="35"/>
        </w:numPr>
        <w:spacing w:after="0"/>
        <w:ind w:left="284" w:hanging="284"/>
        <w:jc w:val="both"/>
        <w:rPr>
          <w:rFonts w:ascii="Arial" w:hAnsi="Arial" w:cs="Arial"/>
          <w:b/>
          <w:iCs/>
        </w:rPr>
      </w:pPr>
      <w:r w:rsidRPr="00334062">
        <w:rPr>
          <w:rFonts w:ascii="Arial" w:hAnsi="Arial" w:cs="Arial"/>
          <w:b/>
          <w:iCs/>
        </w:rPr>
        <w:t>Jogorvoslati eljárás</w:t>
      </w:r>
    </w:p>
    <w:p w:rsidR="00FB0978" w:rsidRDefault="00FB0978" w:rsidP="00A360CD">
      <w:pPr>
        <w:spacing w:after="0"/>
        <w:jc w:val="both"/>
        <w:rPr>
          <w:rFonts w:ascii="Arial" w:hAnsi="Arial" w:cs="Arial"/>
          <w:b/>
          <w:iCs/>
        </w:rPr>
      </w:pPr>
    </w:p>
    <w:p w:rsidR="00FB0978" w:rsidRPr="00FB0978" w:rsidRDefault="00FB0978" w:rsidP="00A360CD">
      <w:pPr>
        <w:spacing w:after="0"/>
        <w:jc w:val="both"/>
        <w:rPr>
          <w:rFonts w:ascii="Arial" w:hAnsi="Arial" w:cs="Arial"/>
          <w:iCs/>
        </w:rPr>
      </w:pPr>
      <w:r w:rsidRPr="00FB0978">
        <w:rPr>
          <w:rFonts w:ascii="Arial" w:hAnsi="Arial" w:cs="Arial"/>
          <w:iCs/>
        </w:rPr>
        <w:t xml:space="preserve">Az osztályon végzett munka jogszerűségét nagymértékben alátámasztja, hogy a kibocsátott határozatok ellen minimális számú </w:t>
      </w:r>
      <w:r w:rsidR="00E20DE5">
        <w:rPr>
          <w:rFonts w:ascii="Arial" w:hAnsi="Arial" w:cs="Arial"/>
          <w:iCs/>
        </w:rPr>
        <w:t xml:space="preserve">(összesen 5 estben) </w:t>
      </w:r>
      <w:r w:rsidRPr="00FB0978">
        <w:rPr>
          <w:rFonts w:ascii="Arial" w:hAnsi="Arial" w:cs="Arial"/>
          <w:iCs/>
        </w:rPr>
        <w:t>fellebbezés benyújtására került sor.</w:t>
      </w:r>
    </w:p>
    <w:p w:rsidR="00417A6E" w:rsidRPr="006D0C2A" w:rsidRDefault="00417A6E" w:rsidP="00A360CD">
      <w:pPr>
        <w:spacing w:after="0"/>
        <w:jc w:val="both"/>
        <w:rPr>
          <w:rFonts w:ascii="Arial" w:hAnsi="Arial" w:cs="Arial"/>
        </w:rPr>
      </w:pPr>
      <w:r w:rsidRPr="006D0C2A">
        <w:rPr>
          <w:rFonts w:ascii="Arial" w:hAnsi="Arial" w:cs="Arial"/>
        </w:rPr>
        <w:t xml:space="preserve">Építményadóval kapcsolatos eljárásban 2 </w:t>
      </w:r>
      <w:r w:rsidR="00E20DE5">
        <w:rPr>
          <w:rFonts w:ascii="Arial" w:hAnsi="Arial" w:cs="Arial"/>
        </w:rPr>
        <w:t>ügyféltől</w:t>
      </w:r>
      <w:r w:rsidRPr="006D0C2A">
        <w:rPr>
          <w:rFonts w:ascii="Arial" w:hAnsi="Arial" w:cs="Arial"/>
        </w:rPr>
        <w:t xml:space="preserve"> érkezett fellebbezés.</w:t>
      </w:r>
      <w:r w:rsidR="00E20DE5">
        <w:rPr>
          <w:rFonts w:ascii="Arial" w:hAnsi="Arial" w:cs="Arial"/>
        </w:rPr>
        <w:t xml:space="preserve"> Első alkalommal a</w:t>
      </w:r>
      <w:r w:rsidRPr="006D0C2A">
        <w:rPr>
          <w:rFonts w:ascii="Arial" w:hAnsi="Arial" w:cs="Arial"/>
        </w:rPr>
        <w:t xml:space="preserve"> fellebbezés határidőn túl érkezett, mely a késedelem ellenére felterjesztésre került. A II. fokú hatóság a fellebbezés határidőn túli benyújtására hivatkozva új eljárást rendelt el, egyben felhívta a figyelmet, hogy a fellebbezést a határidő lejárta miatt saját hatáskörben kellett volna elutasítani. A lefolytatott eljárásban hozott újabb döntés ellen ismételt fellebbezéssel éltek. A II. fokú hatóság a fellebbezést megvizsgálta és az I. fokú határozatot helybenhagyta. Az ügyekben további jogorvoslatra nem került sor.</w:t>
      </w:r>
    </w:p>
    <w:p w:rsidR="00FB0978" w:rsidRDefault="00FB0978" w:rsidP="00A360CD">
      <w:pPr>
        <w:spacing w:after="0"/>
        <w:jc w:val="both"/>
        <w:rPr>
          <w:rFonts w:ascii="Arial" w:hAnsi="Arial" w:cs="Arial"/>
        </w:rPr>
      </w:pPr>
      <w:r w:rsidRPr="006D0C2A">
        <w:rPr>
          <w:rFonts w:ascii="Arial" w:hAnsi="Arial" w:cs="Arial"/>
        </w:rPr>
        <w:t>Idegenforgalmi adóval kapcsolatos mulasztási bírság megállapításáról szóló határozat ellen 1 esetben került fellebbezés benyújtásra. A jogorvoslati eljárás eredményeként a Zala Megyei Kormányhivatal a megfellebbezet</w:t>
      </w:r>
      <w:r w:rsidR="005F5EBB">
        <w:rPr>
          <w:rFonts w:ascii="Arial" w:hAnsi="Arial" w:cs="Arial"/>
        </w:rPr>
        <w:t>t</w:t>
      </w:r>
      <w:r w:rsidRPr="006D0C2A">
        <w:rPr>
          <w:rFonts w:ascii="Arial" w:hAnsi="Arial" w:cs="Arial"/>
        </w:rPr>
        <w:t xml:space="preserve"> határozat egy részét megváltoztatta.</w:t>
      </w:r>
    </w:p>
    <w:p w:rsidR="00334062" w:rsidRDefault="00334062" w:rsidP="00A360CD">
      <w:pPr>
        <w:spacing w:after="0"/>
        <w:jc w:val="both"/>
        <w:rPr>
          <w:rFonts w:ascii="Arial" w:hAnsi="Arial" w:cs="Arial"/>
          <w:iCs/>
        </w:rPr>
      </w:pPr>
    </w:p>
    <w:p w:rsidR="00FB0978" w:rsidRDefault="00FB0978" w:rsidP="00A360CD">
      <w:pPr>
        <w:spacing w:after="0"/>
        <w:jc w:val="both"/>
        <w:rPr>
          <w:rFonts w:ascii="Arial" w:hAnsi="Arial" w:cs="Arial"/>
          <w:iCs/>
        </w:rPr>
      </w:pPr>
      <w:r>
        <w:rPr>
          <w:rFonts w:ascii="Arial" w:hAnsi="Arial" w:cs="Arial"/>
          <w:iCs/>
        </w:rPr>
        <w:t>Végrehajtási kifogás az év során ez idáig nem volt.</w:t>
      </w:r>
    </w:p>
    <w:p w:rsidR="003A06EF" w:rsidRDefault="003A06EF" w:rsidP="00A360CD">
      <w:pPr>
        <w:spacing w:after="0"/>
        <w:jc w:val="both"/>
        <w:rPr>
          <w:rFonts w:ascii="Arial" w:hAnsi="Arial" w:cs="Arial"/>
          <w:iCs/>
        </w:rPr>
      </w:pPr>
    </w:p>
    <w:p w:rsidR="004538E0" w:rsidRDefault="004538E0" w:rsidP="00A360CD">
      <w:pPr>
        <w:tabs>
          <w:tab w:val="center" w:pos="7088"/>
          <w:tab w:val="left" w:pos="7788"/>
          <w:tab w:val="left" w:pos="8496"/>
        </w:tabs>
        <w:suppressAutoHyphens/>
        <w:spacing w:after="0"/>
        <w:jc w:val="both"/>
        <w:rPr>
          <w:rFonts w:ascii="Arial" w:hAnsi="Arial" w:cs="Arial"/>
          <w:b/>
          <w:iCs/>
        </w:rPr>
      </w:pPr>
      <w:r w:rsidRPr="002830E0">
        <w:rPr>
          <w:rFonts w:ascii="Arial" w:hAnsi="Arial" w:cs="Arial"/>
          <w:b/>
          <w:iCs/>
        </w:rPr>
        <w:t>Tisztelt Képviselő-testületet!</w:t>
      </w:r>
    </w:p>
    <w:p w:rsidR="004538E0" w:rsidRPr="002830E0" w:rsidRDefault="004538E0" w:rsidP="00A360CD">
      <w:pPr>
        <w:tabs>
          <w:tab w:val="center" w:pos="7088"/>
          <w:tab w:val="left" w:pos="7788"/>
          <w:tab w:val="left" w:pos="8496"/>
        </w:tabs>
        <w:suppressAutoHyphens/>
        <w:spacing w:after="0"/>
        <w:jc w:val="both"/>
        <w:rPr>
          <w:rFonts w:ascii="Arial" w:eastAsia="MS Mincho" w:hAnsi="Arial" w:cs="Arial"/>
          <w:b/>
          <w:color w:val="000000"/>
          <w:lang w:eastAsia="hu-HU"/>
        </w:rPr>
      </w:pPr>
    </w:p>
    <w:p w:rsidR="004538E0" w:rsidRDefault="004538E0" w:rsidP="00A360CD">
      <w:pPr>
        <w:spacing w:after="0"/>
        <w:jc w:val="both"/>
        <w:rPr>
          <w:rFonts w:ascii="Arial" w:hAnsi="Arial" w:cs="Arial"/>
          <w:iCs/>
        </w:rPr>
      </w:pPr>
      <w:r>
        <w:rPr>
          <w:rFonts w:ascii="Arial" w:hAnsi="Arial" w:cs="Arial"/>
          <w:iCs/>
        </w:rPr>
        <w:t>Kérem az előterjesztést megvitatását.</w:t>
      </w:r>
      <w:r w:rsidR="00735D46">
        <w:rPr>
          <w:rFonts w:ascii="Arial" w:hAnsi="Arial" w:cs="Arial"/>
          <w:iCs/>
        </w:rPr>
        <w:t xml:space="preserve"> </w:t>
      </w:r>
      <w:r>
        <w:rPr>
          <w:rFonts w:ascii="Arial" w:hAnsi="Arial" w:cs="Arial"/>
          <w:iCs/>
        </w:rPr>
        <w:t>A döntés egyszerű szótöbbséget igényel.</w:t>
      </w:r>
    </w:p>
    <w:p w:rsidR="004538E0" w:rsidRDefault="004538E0" w:rsidP="00A360CD">
      <w:pPr>
        <w:spacing w:after="0"/>
        <w:jc w:val="both"/>
        <w:rPr>
          <w:rFonts w:ascii="Arial" w:hAnsi="Arial" w:cs="Arial"/>
          <w:iCs/>
        </w:rPr>
      </w:pPr>
    </w:p>
    <w:p w:rsidR="004538E0" w:rsidRDefault="004538E0" w:rsidP="00A360CD">
      <w:pPr>
        <w:spacing w:after="0"/>
        <w:jc w:val="both"/>
        <w:rPr>
          <w:rFonts w:ascii="Arial" w:hAnsi="Arial" w:cs="Arial"/>
          <w:iCs/>
        </w:rPr>
      </w:pPr>
    </w:p>
    <w:p w:rsidR="004740C0" w:rsidRDefault="00157B65" w:rsidP="00A360CD">
      <w:pPr>
        <w:spacing w:after="0"/>
        <w:jc w:val="both"/>
        <w:rPr>
          <w:rFonts w:ascii="Arial" w:hAnsi="Arial" w:cs="Arial"/>
          <w:iCs/>
        </w:rPr>
      </w:pPr>
      <w:r>
        <w:rPr>
          <w:rFonts w:ascii="Arial" w:hAnsi="Arial" w:cs="Arial"/>
          <w:iCs/>
        </w:rPr>
        <w:br w:type="page"/>
      </w:r>
    </w:p>
    <w:p w:rsidR="002830E0" w:rsidRDefault="002830E0" w:rsidP="007A5695">
      <w:pPr>
        <w:spacing w:after="0" w:line="240" w:lineRule="auto"/>
        <w:jc w:val="center"/>
        <w:rPr>
          <w:rFonts w:ascii="Arial" w:hAnsi="Arial" w:cs="Arial"/>
          <w:b/>
          <w:sz w:val="24"/>
          <w:szCs w:val="24"/>
        </w:rPr>
      </w:pPr>
      <w:r>
        <w:rPr>
          <w:rFonts w:ascii="Arial" w:hAnsi="Arial" w:cs="Arial"/>
          <w:b/>
          <w:sz w:val="24"/>
          <w:szCs w:val="24"/>
        </w:rPr>
        <w:lastRenderedPageBreak/>
        <w:t>2.</w:t>
      </w:r>
    </w:p>
    <w:p w:rsidR="00735D46" w:rsidRDefault="00735D46" w:rsidP="007A5695">
      <w:pPr>
        <w:spacing w:after="0" w:line="240" w:lineRule="auto"/>
        <w:jc w:val="center"/>
        <w:rPr>
          <w:rFonts w:ascii="Arial" w:hAnsi="Arial" w:cs="Arial"/>
          <w:b/>
          <w:sz w:val="24"/>
          <w:szCs w:val="24"/>
        </w:rPr>
      </w:pPr>
    </w:p>
    <w:p w:rsidR="00735D46" w:rsidRPr="009126C2" w:rsidRDefault="00735D46" w:rsidP="007A5695">
      <w:pPr>
        <w:spacing w:after="0" w:line="240" w:lineRule="auto"/>
        <w:jc w:val="center"/>
        <w:rPr>
          <w:rFonts w:ascii="Arial" w:hAnsi="Arial" w:cs="Arial"/>
          <w:b/>
          <w:sz w:val="24"/>
          <w:szCs w:val="24"/>
        </w:rPr>
      </w:pPr>
      <w:r w:rsidRPr="009126C2">
        <w:rPr>
          <w:rFonts w:ascii="Arial" w:hAnsi="Arial" w:cs="Arial"/>
          <w:b/>
          <w:sz w:val="24"/>
          <w:szCs w:val="24"/>
        </w:rPr>
        <w:t>Határozati javaslat</w:t>
      </w:r>
    </w:p>
    <w:p w:rsidR="002830E0" w:rsidRPr="009126C2" w:rsidRDefault="002830E0" w:rsidP="007A5695">
      <w:pPr>
        <w:spacing w:after="0" w:line="240" w:lineRule="auto"/>
        <w:jc w:val="center"/>
        <w:rPr>
          <w:rFonts w:ascii="Arial" w:hAnsi="Arial" w:cs="Arial"/>
          <w:sz w:val="24"/>
          <w:szCs w:val="24"/>
        </w:rPr>
      </w:pPr>
    </w:p>
    <w:p w:rsidR="002830E0" w:rsidRDefault="002830E0" w:rsidP="002830E0">
      <w:pPr>
        <w:spacing w:after="0" w:line="240" w:lineRule="auto"/>
        <w:rPr>
          <w:rFonts w:ascii="Arial" w:hAnsi="Arial" w:cs="Arial"/>
        </w:rPr>
      </w:pPr>
      <w:r w:rsidRPr="009126C2">
        <w:rPr>
          <w:rFonts w:ascii="Arial" w:hAnsi="Arial" w:cs="Arial"/>
        </w:rPr>
        <w:t>Hévíz Város Önkormá</w:t>
      </w:r>
      <w:r w:rsidR="00205040">
        <w:rPr>
          <w:rFonts w:ascii="Arial" w:hAnsi="Arial" w:cs="Arial"/>
        </w:rPr>
        <w:t>nyzat Képviselő-testülete a 2015</w:t>
      </w:r>
      <w:r w:rsidRPr="009126C2">
        <w:rPr>
          <w:rFonts w:ascii="Arial" w:hAnsi="Arial" w:cs="Arial"/>
        </w:rPr>
        <w:t>. évi adóigazgatási tevékenységről szóló beszámoló elfogadja.</w:t>
      </w:r>
    </w:p>
    <w:p w:rsidR="003A06EF" w:rsidRPr="009126C2" w:rsidRDefault="003A06EF" w:rsidP="002830E0">
      <w:pPr>
        <w:spacing w:after="0" w:line="240" w:lineRule="auto"/>
        <w:rPr>
          <w:rFonts w:ascii="Arial" w:hAnsi="Arial" w:cs="Arial"/>
        </w:rPr>
      </w:pPr>
    </w:p>
    <w:p w:rsidR="002830E0" w:rsidRPr="009126C2" w:rsidRDefault="002830E0" w:rsidP="002830E0">
      <w:pPr>
        <w:spacing w:after="0" w:line="240" w:lineRule="auto"/>
        <w:rPr>
          <w:rFonts w:ascii="Arial" w:hAnsi="Arial" w:cs="Arial"/>
        </w:rPr>
      </w:pPr>
      <w:r w:rsidRPr="009126C2">
        <w:rPr>
          <w:rFonts w:ascii="Arial" w:hAnsi="Arial" w:cs="Arial"/>
        </w:rPr>
        <w:t>Felelős:</w:t>
      </w:r>
      <w:r w:rsidR="00735D46" w:rsidRPr="009126C2">
        <w:rPr>
          <w:rFonts w:ascii="Arial" w:hAnsi="Arial" w:cs="Arial"/>
        </w:rPr>
        <w:t xml:space="preserve"> dr. Tüske Róbert jegyző</w:t>
      </w:r>
    </w:p>
    <w:p w:rsidR="002830E0" w:rsidRPr="009126C2" w:rsidRDefault="002830E0" w:rsidP="002830E0">
      <w:pPr>
        <w:spacing w:after="0" w:line="240" w:lineRule="auto"/>
        <w:rPr>
          <w:rFonts w:ascii="Arial" w:hAnsi="Arial" w:cs="Arial"/>
        </w:rPr>
      </w:pPr>
      <w:r w:rsidRPr="009126C2">
        <w:rPr>
          <w:rFonts w:ascii="Arial" w:hAnsi="Arial" w:cs="Arial"/>
        </w:rPr>
        <w:t xml:space="preserve">Határidő: </w:t>
      </w:r>
      <w:r w:rsidR="00205040">
        <w:rPr>
          <w:rFonts w:ascii="Arial" w:hAnsi="Arial" w:cs="Arial"/>
        </w:rPr>
        <w:t>2015</w:t>
      </w:r>
      <w:r w:rsidR="00735D46" w:rsidRPr="009126C2">
        <w:rPr>
          <w:rFonts w:ascii="Arial" w:hAnsi="Arial" w:cs="Arial"/>
        </w:rPr>
        <w:t xml:space="preserve">. november </w:t>
      </w:r>
      <w:r w:rsidR="00205040">
        <w:rPr>
          <w:rFonts w:ascii="Arial" w:hAnsi="Arial" w:cs="Arial"/>
        </w:rPr>
        <w:t>30.</w:t>
      </w:r>
    </w:p>
    <w:p w:rsidR="007A5695" w:rsidRDefault="00157B65" w:rsidP="007A5695">
      <w:pPr>
        <w:spacing w:after="0" w:line="240" w:lineRule="auto"/>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3.</w:t>
      </w:r>
    </w:p>
    <w:p w:rsidR="007A5695" w:rsidRDefault="007A5695" w:rsidP="007A5695">
      <w:pPr>
        <w:spacing w:after="0" w:line="240" w:lineRule="auto"/>
        <w:jc w:val="center"/>
        <w:rPr>
          <w:rFonts w:ascii="Arial" w:hAnsi="Arial" w:cs="Arial"/>
          <w:b/>
          <w:sz w:val="24"/>
          <w:szCs w:val="24"/>
        </w:rPr>
      </w:pPr>
    </w:p>
    <w:p w:rsidR="007A5695" w:rsidRDefault="007A5695" w:rsidP="007A5695">
      <w:pPr>
        <w:spacing w:after="0" w:line="240" w:lineRule="auto"/>
        <w:jc w:val="center"/>
        <w:rPr>
          <w:rFonts w:ascii="Arial" w:hAnsi="Arial" w:cs="Arial"/>
          <w:b/>
          <w:sz w:val="24"/>
          <w:szCs w:val="24"/>
        </w:rPr>
      </w:pPr>
      <w:r>
        <w:rPr>
          <w:rFonts w:ascii="Arial" w:hAnsi="Arial" w:cs="Arial"/>
          <w:b/>
          <w:sz w:val="24"/>
          <w:szCs w:val="24"/>
        </w:rPr>
        <w:t>Bizottsági állásfoglalás</w:t>
      </w:r>
    </w:p>
    <w:p w:rsidR="008254F0" w:rsidRDefault="008254F0" w:rsidP="007A5695">
      <w:pPr>
        <w:spacing w:after="0" w:line="240" w:lineRule="auto"/>
        <w:jc w:val="center"/>
        <w:rPr>
          <w:rFonts w:ascii="Arial" w:hAnsi="Arial" w:cs="Arial"/>
          <w:b/>
          <w:sz w:val="24"/>
          <w:szCs w:val="24"/>
        </w:rPr>
      </w:pPr>
    </w:p>
    <w:p w:rsidR="008254F0" w:rsidRDefault="008254F0" w:rsidP="008254F0"/>
    <w:tbl>
      <w:tblPr>
        <w:tblW w:w="0" w:type="auto"/>
        <w:tblInd w:w="-128" w:type="dxa"/>
        <w:tblLayout w:type="fixed"/>
        <w:tblCellMar>
          <w:left w:w="0" w:type="dxa"/>
          <w:right w:w="0" w:type="dxa"/>
        </w:tblCellMar>
        <w:tblLook w:val="0000" w:firstRow="0" w:lastRow="0" w:firstColumn="0" w:lastColumn="0" w:noHBand="0" w:noVBand="0"/>
      </w:tblPr>
      <w:tblGrid>
        <w:gridCol w:w="2625"/>
        <w:gridCol w:w="1284"/>
        <w:gridCol w:w="1439"/>
        <w:gridCol w:w="1417"/>
        <w:gridCol w:w="2846"/>
        <w:gridCol w:w="25"/>
        <w:gridCol w:w="10"/>
      </w:tblGrid>
      <w:tr w:rsidR="008254F0" w:rsidTr="00A05F86">
        <w:trPr>
          <w:gridAfter w:val="1"/>
          <w:wAfter w:w="10" w:type="dxa"/>
          <w:trHeight w:val="869"/>
        </w:trPr>
        <w:tc>
          <w:tcPr>
            <w:tcW w:w="9611" w:type="dxa"/>
            <w:gridSpan w:val="5"/>
            <w:tcBorders>
              <w:top w:val="single" w:sz="4" w:space="0" w:color="000000"/>
              <w:left w:val="single" w:sz="4" w:space="0" w:color="000000"/>
              <w:bottom w:val="single" w:sz="4" w:space="0" w:color="000000"/>
            </w:tcBorders>
            <w:shd w:val="clear" w:color="auto" w:fill="auto"/>
          </w:tcPr>
          <w:p w:rsidR="008254F0" w:rsidRDefault="008254F0" w:rsidP="00A05F86">
            <w:pPr>
              <w:spacing w:after="0" w:line="100" w:lineRule="atLeast"/>
              <w:rPr>
                <w:rFonts w:ascii="Arial" w:hAnsi="Arial" w:cs="Arial"/>
                <w:szCs w:val="20"/>
              </w:rPr>
            </w:pPr>
            <w:r>
              <w:rPr>
                <w:rFonts w:ascii="Arial" w:hAnsi="Arial" w:cs="Arial"/>
                <w:b/>
                <w:szCs w:val="20"/>
              </w:rPr>
              <w:t xml:space="preserve">Előterjesztés tárgya: </w:t>
            </w:r>
          </w:p>
          <w:p w:rsidR="008254F0" w:rsidRDefault="008254F0" w:rsidP="00A05F86">
            <w:pPr>
              <w:spacing w:after="0" w:line="100" w:lineRule="atLeast"/>
              <w:rPr>
                <w:rFonts w:ascii="Arial" w:hAnsi="Arial" w:cs="Arial"/>
                <w:szCs w:val="20"/>
              </w:rPr>
            </w:pPr>
          </w:p>
          <w:p w:rsidR="008254F0" w:rsidRPr="002A7DD0" w:rsidRDefault="008254F0" w:rsidP="00A05F86">
            <w:pPr>
              <w:pStyle w:val="Szvegtrzs3"/>
              <w:jc w:val="both"/>
              <w:rPr>
                <w:rFonts w:ascii="Arial" w:hAnsi="Arial" w:cs="Arial"/>
                <w:sz w:val="22"/>
                <w:szCs w:val="22"/>
              </w:rPr>
            </w:pPr>
            <w:r>
              <w:rPr>
                <w:rFonts w:ascii="Arial" w:hAnsi="Arial" w:cs="Arial"/>
                <w:sz w:val="22"/>
                <w:szCs w:val="22"/>
              </w:rPr>
              <w:t>Beszámoló a Hévízi Polgármesteri Hivatal 2015. évi adóigazgatási tevékenységéről</w:t>
            </w:r>
          </w:p>
          <w:p w:rsidR="008254F0" w:rsidRDefault="008254F0" w:rsidP="00A05F86">
            <w:pPr>
              <w:pStyle w:val="Szvegtrzs33"/>
              <w:suppressAutoHyphens w:val="0"/>
              <w:spacing w:after="0" w:line="240" w:lineRule="auto"/>
              <w:jc w:val="both"/>
              <w:rPr>
                <w:rFonts w:ascii="Arial" w:hAnsi="Arial" w:cs="Arial"/>
                <w:b/>
                <w:sz w:val="20"/>
                <w:szCs w:val="20"/>
              </w:rPr>
            </w:pPr>
          </w:p>
        </w:tc>
        <w:tc>
          <w:tcPr>
            <w:tcW w:w="25" w:type="dxa"/>
            <w:tcBorders>
              <w:left w:val="single" w:sz="4" w:space="0" w:color="000000"/>
            </w:tcBorders>
            <w:shd w:val="clear" w:color="auto" w:fill="auto"/>
          </w:tcPr>
          <w:p w:rsidR="008254F0" w:rsidRDefault="008254F0" w:rsidP="00A05F86">
            <w:pPr>
              <w:snapToGrid w:val="0"/>
              <w:rPr>
                <w:rFonts w:ascii="Arial" w:hAnsi="Arial" w:cs="Arial"/>
                <w:b/>
                <w:sz w:val="20"/>
                <w:szCs w:val="20"/>
              </w:rPr>
            </w:pPr>
          </w:p>
        </w:tc>
      </w:tr>
      <w:tr w:rsidR="008254F0" w:rsidTr="00A05F86">
        <w:tblPrEx>
          <w:tblCellMar>
            <w:left w:w="108" w:type="dxa"/>
            <w:right w:w="108" w:type="dxa"/>
          </w:tblCellMar>
        </w:tblPrEx>
        <w:trPr>
          <w:trHeight w:val="1268"/>
        </w:trPr>
        <w:tc>
          <w:tcPr>
            <w:tcW w:w="2625" w:type="dxa"/>
            <w:tcBorders>
              <w:top w:val="single" w:sz="4" w:space="0" w:color="000000"/>
              <w:left w:val="single" w:sz="4" w:space="0" w:color="000000"/>
              <w:bottom w:val="single" w:sz="4" w:space="0" w:color="000000"/>
            </w:tcBorders>
            <w:shd w:val="clear" w:color="auto" w:fill="auto"/>
          </w:tcPr>
          <w:p w:rsidR="008254F0" w:rsidRDefault="008254F0" w:rsidP="00A05F86">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8254F0" w:rsidRDefault="008254F0" w:rsidP="00A05F86">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8254F0" w:rsidRDefault="008254F0" w:rsidP="00A05F86">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8254F0" w:rsidRDefault="008254F0" w:rsidP="00A05F86">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54F0" w:rsidRDefault="008254F0" w:rsidP="00A05F86">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8254F0" w:rsidTr="00A05F86">
        <w:tblPrEx>
          <w:tblCellMar>
            <w:left w:w="108" w:type="dxa"/>
            <w:right w:w="108" w:type="dxa"/>
          </w:tblCellMar>
        </w:tblPrEx>
        <w:trPr>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8254F0" w:rsidRDefault="008254F0" w:rsidP="00A05F86">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4" w:type="dxa"/>
            <w:tcBorders>
              <w:top w:val="single" w:sz="4" w:space="0" w:color="000000"/>
              <w:left w:val="single" w:sz="4" w:space="0" w:color="000000"/>
              <w:bottom w:val="single" w:sz="4" w:space="0" w:color="000000"/>
            </w:tcBorders>
            <w:shd w:val="clear" w:color="auto" w:fill="auto"/>
            <w:vAlign w:val="center"/>
          </w:tcPr>
          <w:p w:rsidR="008254F0" w:rsidRDefault="008254F0" w:rsidP="00A05F86">
            <w:pPr>
              <w:spacing w:after="0" w:line="100" w:lineRule="atLeast"/>
              <w:rPr>
                <w:rFonts w:ascii="Arial" w:hAnsi="Arial" w:cs="Arial"/>
                <w:sz w:val="20"/>
                <w:szCs w:val="20"/>
              </w:rPr>
            </w:pPr>
            <w:r>
              <w:rPr>
                <w:rFonts w:ascii="Arial" w:hAnsi="Arial" w:cs="Arial"/>
                <w:sz w:val="20"/>
                <w:szCs w:val="20"/>
              </w:rPr>
              <w:t>2015. november 19.</w:t>
            </w:r>
          </w:p>
        </w:tc>
        <w:tc>
          <w:tcPr>
            <w:tcW w:w="1439" w:type="dxa"/>
            <w:tcBorders>
              <w:top w:val="single" w:sz="4" w:space="0" w:color="000000"/>
              <w:left w:val="single" w:sz="4" w:space="0" w:color="000000"/>
              <w:bottom w:val="single" w:sz="4" w:space="0" w:color="000000"/>
            </w:tcBorders>
            <w:shd w:val="clear" w:color="auto" w:fill="auto"/>
            <w:vAlign w:val="center"/>
          </w:tcPr>
          <w:p w:rsidR="008254F0" w:rsidRDefault="008254F0" w:rsidP="00A05F86">
            <w:pPr>
              <w:spacing w:after="0" w:line="100" w:lineRule="atLeast"/>
              <w:rPr>
                <w:rFonts w:ascii="Arial" w:hAnsi="Arial" w:cs="Arial"/>
                <w:sz w:val="20"/>
                <w:szCs w:val="20"/>
              </w:rPr>
            </w:pPr>
            <w:r>
              <w:rPr>
                <w:rFonts w:ascii="Arial" w:hAnsi="Arial" w:cs="Arial"/>
                <w:sz w:val="20"/>
                <w:szCs w:val="20"/>
              </w:rPr>
              <w:t>215/2015. (XI.19.) PTVB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8254F0" w:rsidRDefault="008254F0" w:rsidP="00A05F86">
            <w:pPr>
              <w:snapToGrid w:val="0"/>
              <w:spacing w:after="0" w:line="100" w:lineRule="atLeast"/>
              <w:rPr>
                <w:rFonts w:ascii="Arial" w:hAnsi="Arial" w:cs="Arial"/>
                <w:sz w:val="20"/>
                <w:szCs w:val="20"/>
              </w:rPr>
            </w:pPr>
            <w:r>
              <w:rPr>
                <w:rFonts w:ascii="Arial" w:hAnsi="Arial" w:cs="Arial"/>
                <w:sz w:val="20"/>
                <w:szCs w:val="20"/>
              </w:rPr>
              <w:t>4 igen szavazat</w:t>
            </w:r>
          </w:p>
        </w:tc>
        <w:tc>
          <w:tcPr>
            <w:tcW w:w="28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54F0" w:rsidRDefault="008254F0" w:rsidP="00A05F86">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8254F0" w:rsidRDefault="008254F0" w:rsidP="008254F0">
      <w:pPr>
        <w:spacing w:after="0" w:line="100" w:lineRule="atLeast"/>
      </w:pPr>
    </w:p>
    <w:p w:rsidR="008254F0" w:rsidRDefault="008254F0" w:rsidP="008254F0">
      <w:pPr>
        <w:spacing w:after="0" w:line="100" w:lineRule="atLeast"/>
        <w:jc w:val="center"/>
      </w:pPr>
    </w:p>
    <w:p w:rsidR="008254F0" w:rsidRDefault="008254F0" w:rsidP="008254F0">
      <w:pPr>
        <w:spacing w:after="0" w:line="100" w:lineRule="atLeast"/>
        <w:jc w:val="center"/>
      </w:pPr>
    </w:p>
    <w:p w:rsidR="008254F0" w:rsidRDefault="008254F0" w:rsidP="008254F0">
      <w:pPr>
        <w:spacing w:after="0" w:line="100" w:lineRule="atLeast"/>
        <w:jc w:val="center"/>
      </w:pPr>
    </w:p>
    <w:p w:rsidR="008254F0" w:rsidRDefault="008254F0" w:rsidP="007A5695">
      <w:pPr>
        <w:spacing w:after="0" w:line="240" w:lineRule="auto"/>
        <w:jc w:val="center"/>
        <w:rPr>
          <w:rFonts w:ascii="Arial" w:hAnsi="Arial" w:cs="Arial"/>
          <w:b/>
          <w:sz w:val="24"/>
          <w:szCs w:val="24"/>
        </w:rPr>
      </w:pPr>
    </w:p>
    <w:p w:rsidR="008254F0" w:rsidRPr="00F7042A" w:rsidRDefault="00157B65" w:rsidP="008254F0">
      <w:pPr>
        <w:jc w:val="center"/>
        <w:rPr>
          <w:rFonts w:ascii="Arial" w:hAnsi="Arial" w:cs="Arial"/>
          <w:b/>
          <w:sz w:val="24"/>
          <w:szCs w:val="24"/>
        </w:rPr>
      </w:pPr>
      <w:r>
        <w:rPr>
          <w:rFonts w:ascii="Arial" w:hAnsi="Arial" w:cs="Arial"/>
          <w:b/>
          <w:sz w:val="24"/>
          <w:szCs w:val="24"/>
        </w:rPr>
        <w:br w:type="page"/>
      </w:r>
      <w:bookmarkStart w:id="0" w:name="_GoBack"/>
      <w:bookmarkEnd w:id="0"/>
    </w:p>
    <w:p w:rsidR="00157B65" w:rsidRPr="00F7042A" w:rsidRDefault="00157B65" w:rsidP="00157B65">
      <w:pPr>
        <w:spacing w:after="0" w:line="240" w:lineRule="auto"/>
        <w:jc w:val="center"/>
        <w:rPr>
          <w:rFonts w:ascii="Arial" w:hAnsi="Arial" w:cs="Arial"/>
          <w:b/>
          <w:sz w:val="24"/>
          <w:szCs w:val="24"/>
        </w:rPr>
      </w:pPr>
      <w:r w:rsidRPr="00F7042A">
        <w:rPr>
          <w:rFonts w:ascii="Arial" w:hAnsi="Arial" w:cs="Arial"/>
          <w:b/>
          <w:sz w:val="24"/>
          <w:szCs w:val="24"/>
        </w:rPr>
        <w:lastRenderedPageBreak/>
        <w:t xml:space="preserve"> </w:t>
      </w:r>
    </w:p>
    <w:p w:rsidR="00E03983" w:rsidRDefault="00157B65" w:rsidP="00F7042A">
      <w:pPr>
        <w:spacing w:after="0" w:line="240" w:lineRule="auto"/>
        <w:jc w:val="center"/>
        <w:rPr>
          <w:rFonts w:ascii="Arial" w:hAnsi="Arial" w:cs="Arial"/>
          <w:b/>
          <w:sz w:val="24"/>
          <w:szCs w:val="24"/>
        </w:rPr>
      </w:pPr>
      <w:r>
        <w:rPr>
          <w:rFonts w:ascii="Arial" w:hAnsi="Arial" w:cs="Arial"/>
          <w:b/>
          <w:sz w:val="24"/>
          <w:szCs w:val="24"/>
        </w:rPr>
        <w:t>5</w:t>
      </w:r>
      <w:r w:rsidR="00F7042A">
        <w:rPr>
          <w:rFonts w:ascii="Arial" w:hAnsi="Arial" w:cs="Arial"/>
          <w:b/>
          <w:sz w:val="24"/>
          <w:szCs w:val="24"/>
        </w:rPr>
        <w:t>.</w:t>
      </w:r>
    </w:p>
    <w:p w:rsidR="00F7042A" w:rsidRPr="00F7042A" w:rsidRDefault="00F7042A" w:rsidP="00F7042A">
      <w:pPr>
        <w:spacing w:after="0" w:line="240" w:lineRule="auto"/>
        <w:jc w:val="center"/>
        <w:rPr>
          <w:rFonts w:ascii="Arial" w:hAnsi="Arial" w:cs="Arial"/>
          <w:b/>
          <w:sz w:val="24"/>
          <w:szCs w:val="24"/>
        </w:rPr>
      </w:pPr>
    </w:p>
    <w:p w:rsidR="006D22ED" w:rsidRDefault="006D22ED" w:rsidP="00F7042A">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tc>
          <w:tcPr>
            <w:tcW w:w="9959"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trPr>
          <w:trHeight w:val="422"/>
        </w:trPr>
        <w:tc>
          <w:tcPr>
            <w:tcW w:w="230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név </w:t>
            </w:r>
          </w:p>
        </w:tc>
        <w:tc>
          <w:tcPr>
            <w:tcW w:w="248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beosztás/feladat</w:t>
            </w:r>
          </w:p>
        </w:tc>
        <w:tc>
          <w:tcPr>
            <w:tcW w:w="184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aláírás </w:t>
            </w:r>
          </w:p>
        </w:tc>
        <w:tc>
          <w:tcPr>
            <w:tcW w:w="333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0812FC" w:rsidRPr="00054B8A">
        <w:trPr>
          <w:trHeight w:val="697"/>
        </w:trPr>
        <w:tc>
          <w:tcPr>
            <w:tcW w:w="2303" w:type="dxa"/>
          </w:tcPr>
          <w:p w:rsidR="000812FC" w:rsidRPr="00054B8A" w:rsidRDefault="00310FAB" w:rsidP="00233937">
            <w:pPr>
              <w:spacing w:after="0" w:line="240" w:lineRule="auto"/>
              <w:rPr>
                <w:rFonts w:ascii="Arial" w:hAnsi="Arial" w:cs="Arial"/>
                <w:b/>
              </w:rPr>
            </w:pPr>
            <w:r>
              <w:rPr>
                <w:rFonts w:ascii="Arial" w:hAnsi="Arial" w:cs="Arial"/>
                <w:b/>
              </w:rPr>
              <w:t>Fábiánné Hoffman Márta</w:t>
            </w:r>
          </w:p>
        </w:tc>
        <w:tc>
          <w:tcPr>
            <w:tcW w:w="2483" w:type="dxa"/>
          </w:tcPr>
          <w:p w:rsidR="000812FC" w:rsidRPr="00054B8A" w:rsidRDefault="00C91785" w:rsidP="00C91785">
            <w:pPr>
              <w:spacing w:after="0" w:line="240" w:lineRule="auto"/>
              <w:rPr>
                <w:rFonts w:ascii="Arial" w:hAnsi="Arial" w:cs="Arial"/>
                <w:b/>
              </w:rPr>
            </w:pPr>
            <w:r>
              <w:rPr>
                <w:rFonts w:ascii="Arial" w:hAnsi="Arial" w:cs="Arial"/>
                <w:b/>
              </w:rPr>
              <w:t xml:space="preserve">mb. </w:t>
            </w:r>
            <w:r w:rsidR="000812FC" w:rsidRPr="00054B8A">
              <w:rPr>
                <w:rFonts w:ascii="Arial" w:hAnsi="Arial" w:cs="Arial"/>
                <w:b/>
              </w:rPr>
              <w:t>hatósági osztályvezető</w:t>
            </w:r>
          </w:p>
        </w:tc>
        <w:tc>
          <w:tcPr>
            <w:tcW w:w="1843" w:type="dxa"/>
          </w:tcPr>
          <w:p w:rsidR="000812FC" w:rsidRPr="00054B8A" w:rsidRDefault="000812FC" w:rsidP="00233937">
            <w:pPr>
              <w:spacing w:after="0" w:line="240" w:lineRule="auto"/>
              <w:rPr>
                <w:rFonts w:ascii="Arial" w:hAnsi="Arial" w:cs="Arial"/>
                <w:b/>
              </w:rPr>
            </w:pPr>
          </w:p>
        </w:tc>
        <w:tc>
          <w:tcPr>
            <w:tcW w:w="3330" w:type="dxa"/>
          </w:tcPr>
          <w:p w:rsidR="000812FC" w:rsidRPr="00054B8A" w:rsidRDefault="000812FC" w:rsidP="00233937">
            <w:pPr>
              <w:spacing w:after="0" w:line="240" w:lineRule="auto"/>
              <w:rPr>
                <w:rFonts w:ascii="Arial" w:hAnsi="Arial" w:cs="Arial"/>
                <w:b/>
              </w:rPr>
            </w:pPr>
          </w:p>
        </w:tc>
      </w:tr>
      <w:tr w:rsidR="00267CD8" w:rsidRPr="00054B8A">
        <w:trPr>
          <w:trHeight w:val="697"/>
        </w:trPr>
        <w:tc>
          <w:tcPr>
            <w:tcW w:w="2303" w:type="dxa"/>
          </w:tcPr>
          <w:p w:rsidR="00267CD8" w:rsidRDefault="00A25494" w:rsidP="00233937">
            <w:pPr>
              <w:spacing w:after="0" w:line="240" w:lineRule="auto"/>
              <w:rPr>
                <w:rFonts w:ascii="Arial" w:hAnsi="Arial" w:cs="Arial"/>
                <w:b/>
              </w:rPr>
            </w:pPr>
            <w:r>
              <w:rPr>
                <w:rFonts w:ascii="Arial" w:hAnsi="Arial" w:cs="Arial"/>
                <w:b/>
              </w:rPr>
              <w:t>Dr. Vértesaljainé Halami Katalin</w:t>
            </w:r>
          </w:p>
          <w:p w:rsidR="00267CD8" w:rsidRDefault="00267CD8" w:rsidP="00233937">
            <w:pPr>
              <w:spacing w:after="0" w:line="240" w:lineRule="auto"/>
              <w:rPr>
                <w:rFonts w:ascii="Arial" w:hAnsi="Arial" w:cs="Arial"/>
                <w:b/>
              </w:rPr>
            </w:pPr>
          </w:p>
        </w:tc>
        <w:tc>
          <w:tcPr>
            <w:tcW w:w="2483" w:type="dxa"/>
          </w:tcPr>
          <w:p w:rsidR="00267CD8" w:rsidRPr="00054B8A" w:rsidRDefault="00A25494" w:rsidP="00233937">
            <w:pPr>
              <w:spacing w:after="0" w:line="240" w:lineRule="auto"/>
              <w:rPr>
                <w:rFonts w:ascii="Arial" w:hAnsi="Arial" w:cs="Arial"/>
                <w:b/>
              </w:rPr>
            </w:pPr>
            <w:r>
              <w:rPr>
                <w:rFonts w:ascii="Arial" w:hAnsi="Arial" w:cs="Arial"/>
                <w:b/>
              </w:rPr>
              <w:t>gépjárműadó és behajtási ügyintéző</w:t>
            </w:r>
          </w:p>
        </w:tc>
        <w:tc>
          <w:tcPr>
            <w:tcW w:w="1843" w:type="dxa"/>
          </w:tcPr>
          <w:p w:rsidR="00267CD8" w:rsidRPr="00054B8A" w:rsidRDefault="00267CD8" w:rsidP="00233937">
            <w:pPr>
              <w:spacing w:after="0" w:line="240" w:lineRule="auto"/>
              <w:rPr>
                <w:rFonts w:ascii="Arial" w:hAnsi="Arial" w:cs="Arial"/>
                <w:b/>
              </w:rPr>
            </w:pPr>
          </w:p>
        </w:tc>
        <w:tc>
          <w:tcPr>
            <w:tcW w:w="3330" w:type="dxa"/>
          </w:tcPr>
          <w:p w:rsidR="00267CD8" w:rsidRPr="00054B8A" w:rsidRDefault="00267CD8"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Pángerné Toplak Éva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idegenforgalmi adóügyintéző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5F5EBB" w:rsidRPr="00054B8A">
        <w:trPr>
          <w:trHeight w:val="697"/>
        </w:trPr>
        <w:tc>
          <w:tcPr>
            <w:tcW w:w="2303" w:type="dxa"/>
          </w:tcPr>
          <w:p w:rsidR="005F5EBB" w:rsidRDefault="005F5EBB" w:rsidP="00233937">
            <w:pPr>
              <w:spacing w:after="0" w:line="240" w:lineRule="auto"/>
              <w:rPr>
                <w:rFonts w:ascii="Arial" w:hAnsi="Arial" w:cs="Arial"/>
                <w:b/>
              </w:rPr>
            </w:pPr>
            <w:r>
              <w:rPr>
                <w:rFonts w:ascii="Arial" w:hAnsi="Arial" w:cs="Arial"/>
                <w:b/>
              </w:rPr>
              <w:t>Panka-Kovács Melinda</w:t>
            </w:r>
          </w:p>
        </w:tc>
        <w:tc>
          <w:tcPr>
            <w:tcW w:w="2483" w:type="dxa"/>
          </w:tcPr>
          <w:p w:rsidR="005F5EBB" w:rsidRDefault="005F5EBB" w:rsidP="00233937">
            <w:pPr>
              <w:spacing w:after="0" w:line="240" w:lineRule="auto"/>
              <w:rPr>
                <w:rFonts w:ascii="Arial" w:hAnsi="Arial" w:cs="Arial"/>
                <w:b/>
              </w:rPr>
            </w:pPr>
            <w:r>
              <w:rPr>
                <w:rFonts w:ascii="Arial" w:hAnsi="Arial" w:cs="Arial"/>
                <w:b/>
              </w:rPr>
              <w:t>hatósági ügyintéző</w:t>
            </w:r>
          </w:p>
        </w:tc>
        <w:tc>
          <w:tcPr>
            <w:tcW w:w="1843" w:type="dxa"/>
          </w:tcPr>
          <w:p w:rsidR="005F5EBB" w:rsidRPr="00054B8A" w:rsidRDefault="005F5EBB" w:rsidP="00233937">
            <w:pPr>
              <w:spacing w:after="0" w:line="240" w:lineRule="auto"/>
              <w:rPr>
                <w:rFonts w:ascii="Arial" w:hAnsi="Arial" w:cs="Arial"/>
                <w:b/>
              </w:rPr>
            </w:pPr>
          </w:p>
        </w:tc>
        <w:tc>
          <w:tcPr>
            <w:tcW w:w="3330" w:type="dxa"/>
          </w:tcPr>
          <w:p w:rsidR="005F5EBB" w:rsidRPr="00054B8A" w:rsidRDefault="005F5EBB"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Szörényi László</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adóügyi és építményadó 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Szűrösné Németh Hajnalka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adóellenőr</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7A5695" w:rsidRPr="00054B8A">
        <w:trPr>
          <w:trHeight w:val="573"/>
        </w:trPr>
        <w:tc>
          <w:tcPr>
            <w:tcW w:w="2303" w:type="dxa"/>
          </w:tcPr>
          <w:p w:rsidR="007A5695" w:rsidRPr="00054B8A" w:rsidRDefault="005F5EBB" w:rsidP="00267CD8">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pénzügyi ellenőrzés </w:t>
            </w: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r w:rsidR="007A5695" w:rsidRPr="00054B8A">
        <w:tc>
          <w:tcPr>
            <w:tcW w:w="2303" w:type="dxa"/>
          </w:tcPr>
          <w:p w:rsidR="007A5695" w:rsidRPr="00054B8A" w:rsidRDefault="007A5695" w:rsidP="00476DD3">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476DD3">
            <w:pPr>
              <w:spacing w:after="0" w:line="240" w:lineRule="auto"/>
              <w:rPr>
                <w:rFonts w:ascii="Arial" w:hAnsi="Arial" w:cs="Arial"/>
                <w:b/>
              </w:rPr>
            </w:pP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bl>
    <w:p w:rsidR="007A5695" w:rsidRPr="00054B8A" w:rsidRDefault="007A5695" w:rsidP="007A5695">
      <w:pPr>
        <w:jc w:val="center"/>
        <w:rPr>
          <w:rFonts w:ascii="Arial" w:hAnsi="Arial" w:cs="Arial"/>
          <w:b/>
        </w:rPr>
      </w:pPr>
    </w:p>
    <w:p w:rsidR="007A5695" w:rsidRPr="00054B8A"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trPr>
          <w:trHeight w:val="277"/>
        </w:trPr>
        <w:tc>
          <w:tcPr>
            <w:tcW w:w="10008"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trPr>
          <w:trHeight w:val="277"/>
        </w:trPr>
        <w:tc>
          <w:tcPr>
            <w:tcW w:w="268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Név</w:t>
            </w:r>
          </w:p>
        </w:tc>
        <w:tc>
          <w:tcPr>
            <w:tcW w:w="239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w:t>
            </w:r>
          </w:p>
        </w:tc>
        <w:tc>
          <w:tcPr>
            <w:tcW w:w="176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aláírás</w:t>
            </w:r>
          </w:p>
        </w:tc>
        <w:tc>
          <w:tcPr>
            <w:tcW w:w="317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7A5695" w:rsidRPr="00054B8A">
        <w:trPr>
          <w:trHeight w:val="277"/>
        </w:trPr>
        <w:tc>
          <w:tcPr>
            <w:tcW w:w="2684" w:type="dxa"/>
          </w:tcPr>
          <w:p w:rsidR="007A5695" w:rsidRPr="00054B8A" w:rsidRDefault="007A5695" w:rsidP="002339CB">
            <w:pPr>
              <w:spacing w:after="0" w:line="240" w:lineRule="auto"/>
              <w:jc w:val="center"/>
              <w:rPr>
                <w:rFonts w:ascii="Arial" w:hAnsi="Arial" w:cs="Arial"/>
                <w:b/>
              </w:rPr>
            </w:pPr>
          </w:p>
        </w:tc>
        <w:tc>
          <w:tcPr>
            <w:tcW w:w="2390" w:type="dxa"/>
          </w:tcPr>
          <w:p w:rsidR="007A5695" w:rsidRPr="00054B8A" w:rsidRDefault="007A5695" w:rsidP="00476DD3">
            <w:pPr>
              <w:spacing w:after="0" w:line="240" w:lineRule="auto"/>
              <w:jc w:val="center"/>
              <w:rPr>
                <w:rFonts w:ascii="Arial" w:hAnsi="Arial" w:cs="Arial"/>
                <w:b/>
              </w:rPr>
            </w:pPr>
          </w:p>
        </w:tc>
        <w:tc>
          <w:tcPr>
            <w:tcW w:w="1760" w:type="dxa"/>
          </w:tcPr>
          <w:p w:rsidR="007A5695" w:rsidRPr="00054B8A" w:rsidRDefault="007A5695" w:rsidP="00476DD3">
            <w:pPr>
              <w:spacing w:after="0" w:line="240" w:lineRule="auto"/>
              <w:jc w:val="center"/>
              <w:rPr>
                <w:rFonts w:ascii="Arial" w:hAnsi="Arial" w:cs="Arial"/>
                <w:b/>
              </w:rPr>
            </w:pPr>
          </w:p>
        </w:tc>
        <w:tc>
          <w:tcPr>
            <w:tcW w:w="3174" w:type="dxa"/>
          </w:tcPr>
          <w:p w:rsidR="007A5695" w:rsidRPr="00054B8A" w:rsidRDefault="007A5695" w:rsidP="00476DD3">
            <w:pPr>
              <w:spacing w:after="0" w:line="240" w:lineRule="auto"/>
              <w:jc w:val="center"/>
              <w:rPr>
                <w:rFonts w:ascii="Arial" w:hAnsi="Arial" w:cs="Arial"/>
                <w:b/>
              </w:rPr>
            </w:pPr>
          </w:p>
        </w:tc>
      </w:tr>
      <w:tr w:rsidR="00F7042A" w:rsidRPr="00054B8A">
        <w:trPr>
          <w:trHeight w:val="277"/>
        </w:trPr>
        <w:tc>
          <w:tcPr>
            <w:tcW w:w="2684" w:type="dxa"/>
          </w:tcPr>
          <w:p w:rsidR="00F7042A" w:rsidRDefault="00F7042A" w:rsidP="00476DD3">
            <w:pPr>
              <w:spacing w:after="0" w:line="240" w:lineRule="auto"/>
              <w:jc w:val="center"/>
              <w:rPr>
                <w:rFonts w:ascii="Arial" w:hAnsi="Arial" w:cs="Arial"/>
                <w:b/>
              </w:rPr>
            </w:pPr>
          </w:p>
        </w:tc>
        <w:tc>
          <w:tcPr>
            <w:tcW w:w="2390" w:type="dxa"/>
          </w:tcPr>
          <w:p w:rsidR="00F7042A" w:rsidRDefault="00F7042A" w:rsidP="008549E4">
            <w:pPr>
              <w:spacing w:after="0" w:line="240" w:lineRule="auto"/>
              <w:jc w:val="center"/>
              <w:rPr>
                <w:rFonts w:ascii="Arial" w:hAnsi="Arial" w:cs="Arial"/>
                <w:b/>
              </w:rPr>
            </w:pPr>
          </w:p>
        </w:tc>
        <w:tc>
          <w:tcPr>
            <w:tcW w:w="1760" w:type="dxa"/>
          </w:tcPr>
          <w:p w:rsidR="00F7042A" w:rsidRPr="00054B8A" w:rsidRDefault="00F7042A" w:rsidP="00476DD3">
            <w:pPr>
              <w:spacing w:after="0" w:line="240" w:lineRule="auto"/>
              <w:jc w:val="center"/>
              <w:rPr>
                <w:rFonts w:ascii="Arial" w:hAnsi="Arial" w:cs="Arial"/>
                <w:b/>
              </w:rPr>
            </w:pPr>
          </w:p>
        </w:tc>
        <w:tc>
          <w:tcPr>
            <w:tcW w:w="3174" w:type="dxa"/>
          </w:tcPr>
          <w:p w:rsidR="00F7042A" w:rsidRPr="00054B8A" w:rsidRDefault="00F7042A" w:rsidP="00476DD3">
            <w:pPr>
              <w:spacing w:after="0" w:line="240" w:lineRule="auto"/>
              <w:jc w:val="center"/>
              <w:rPr>
                <w:rFonts w:ascii="Arial" w:hAnsi="Arial" w:cs="Arial"/>
                <w:b/>
              </w:rPr>
            </w:pPr>
          </w:p>
        </w:tc>
      </w:tr>
    </w:tbl>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EC17CA" w:rsidRPr="00843DC2" w:rsidRDefault="00EC17CA" w:rsidP="00EC17CA">
      <w:pPr>
        <w:jc w:val="center"/>
        <w:rPr>
          <w:rFonts w:ascii="Arial" w:hAnsi="Arial" w:cs="Arial"/>
          <w:b/>
          <w:sz w:val="24"/>
          <w:szCs w:val="24"/>
        </w:rPr>
      </w:pPr>
    </w:p>
    <w:sectPr w:rsidR="00EC17CA" w:rsidRPr="00843DC2" w:rsidSect="00E63E43">
      <w:footerReference w:type="even" r:id="rId10"/>
      <w:footerReference w:type="default" r:id="rId11"/>
      <w:headerReference w:type="first" r:id="rId12"/>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C5C" w:rsidRDefault="009B6C5C" w:rsidP="00980239">
      <w:pPr>
        <w:spacing w:after="0" w:line="240" w:lineRule="auto"/>
      </w:pPr>
      <w:r>
        <w:separator/>
      </w:r>
    </w:p>
  </w:endnote>
  <w:endnote w:type="continuationSeparator" w:id="0">
    <w:p w:rsidR="009B6C5C" w:rsidRDefault="009B6C5C"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2D" w:rsidRDefault="00C81C2D"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81C2D" w:rsidRDefault="00C81C2D">
    <w:pPr>
      <w:pStyle w:val="llb"/>
    </w:pPr>
  </w:p>
  <w:p w:rsidR="00C81C2D" w:rsidRDefault="00C81C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2D" w:rsidRDefault="00C81C2D"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8254F0">
      <w:rPr>
        <w:rStyle w:val="Oldalszm"/>
        <w:noProof/>
      </w:rPr>
      <w:t>14</w:t>
    </w:r>
    <w:r>
      <w:rPr>
        <w:rStyle w:val="Oldalszm"/>
      </w:rPr>
      <w:fldChar w:fldCharType="end"/>
    </w:r>
  </w:p>
  <w:p w:rsidR="00C81C2D" w:rsidRDefault="00C81C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C5C" w:rsidRDefault="009B6C5C" w:rsidP="00980239">
      <w:pPr>
        <w:spacing w:after="0" w:line="240" w:lineRule="auto"/>
      </w:pPr>
      <w:r>
        <w:separator/>
      </w:r>
    </w:p>
  </w:footnote>
  <w:footnote w:type="continuationSeparator" w:id="0">
    <w:p w:rsidR="009B6C5C" w:rsidRDefault="009B6C5C"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2D" w:rsidRDefault="00C81C2D"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1C2D" w:rsidRDefault="00C81C2D" w:rsidP="00B12CDF">
    <w:pPr>
      <w:pStyle w:val="lfej"/>
      <w:tabs>
        <w:tab w:val="clear" w:pos="4536"/>
        <w:tab w:val="clear" w:pos="9072"/>
      </w:tabs>
    </w:pPr>
  </w:p>
  <w:p w:rsidR="00C81C2D" w:rsidRDefault="00C81C2D" w:rsidP="00B12CDF">
    <w:pPr>
      <w:pStyle w:val="lfej"/>
      <w:tabs>
        <w:tab w:val="clear" w:pos="4536"/>
        <w:tab w:val="clear" w:pos="9072"/>
      </w:tabs>
    </w:pPr>
  </w:p>
  <w:p w:rsidR="00C81C2D" w:rsidRDefault="00C81C2D"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1C2D" w:rsidRPr="00C05199" w:rsidRDefault="00C81C2D"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C81C2D" w:rsidRDefault="00C81C2D"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C81C2D" w:rsidRDefault="00C81C2D"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C81C2D" w:rsidRPr="00AB14F3">
                            <w:trPr>
                              <w:trHeight w:val="1531"/>
                            </w:trPr>
                            <w:tc>
                              <w:tcPr>
                                <w:tcW w:w="3685" w:type="dxa"/>
                              </w:tcPr>
                              <w:p w:rsidR="00C81C2D" w:rsidRPr="00A101F2" w:rsidRDefault="00C81C2D" w:rsidP="00A101F2">
                                <w:pPr>
                                  <w:spacing w:before="57" w:after="0" w:line="240" w:lineRule="auto"/>
                                  <w:ind w:right="227"/>
                                  <w:rPr>
                                    <w:rFonts w:ascii="ScalaSans" w:hAnsi="ScalaSans"/>
                                    <w:color w:val="808080"/>
                                    <w:spacing w:val="6"/>
                                  </w:rPr>
                                </w:pPr>
                              </w:p>
                              <w:p w:rsidR="00C81C2D" w:rsidRPr="00D15388" w:rsidRDefault="00C81C2D" w:rsidP="00A101F2">
                                <w:pPr>
                                  <w:spacing w:before="57" w:after="0" w:line="240" w:lineRule="auto"/>
                                  <w:ind w:right="227"/>
                                  <w:rPr>
                                    <w:rFonts w:ascii="ScalaSans" w:hAnsi="ScalaSans" w:cs="ScalaSans"/>
                                    <w:color w:val="808080"/>
                                    <w:spacing w:val="6"/>
                                  </w:rPr>
                                </w:pPr>
                              </w:p>
                            </w:tc>
                            <w:tc>
                              <w:tcPr>
                                <w:tcW w:w="4535" w:type="dxa"/>
                              </w:tcPr>
                              <w:p w:rsidR="00C81C2D" w:rsidRPr="00D15388" w:rsidRDefault="00C81C2D" w:rsidP="00A101F2">
                                <w:pPr>
                                  <w:spacing w:before="57" w:after="0" w:line="240" w:lineRule="auto"/>
                                  <w:rPr>
                                    <w:rFonts w:ascii="ScalaSans" w:hAnsi="ScalaSans" w:cs="ScalaSans"/>
                                    <w:color w:val="808080"/>
                                    <w:spacing w:val="2"/>
                                    <w:sz w:val="24"/>
                                    <w:szCs w:val="24"/>
                                  </w:rPr>
                                </w:pPr>
                              </w:p>
                            </w:tc>
                          </w:tr>
                        </w:tbl>
                        <w:p w:rsidR="00C81C2D" w:rsidRDefault="00C81C2D" w:rsidP="00B12CDF">
                          <w:pPr>
                            <w:pStyle w:val="BasicParagraph"/>
                            <w:spacing w:line="240" w:lineRule="auto"/>
                            <w:rPr>
                              <w:rFonts w:ascii="ScalaSans" w:hAnsi="ScalaSans" w:cs="ScalaSans"/>
                              <w:color w:val="auto"/>
                              <w:spacing w:val="7"/>
                            </w:rPr>
                          </w:pPr>
                        </w:p>
                        <w:p w:rsidR="00C81C2D" w:rsidRPr="00763423" w:rsidRDefault="00C81C2D"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C81C2D" w:rsidRPr="00C05199" w:rsidRDefault="00C81C2D"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C81C2D" w:rsidRDefault="00C81C2D"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C81C2D" w:rsidRDefault="00C81C2D"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C81C2D" w:rsidRPr="00AB14F3">
                      <w:trPr>
                        <w:trHeight w:val="1531"/>
                      </w:trPr>
                      <w:tc>
                        <w:tcPr>
                          <w:tcW w:w="3685" w:type="dxa"/>
                        </w:tcPr>
                        <w:p w:rsidR="00C81C2D" w:rsidRPr="00A101F2" w:rsidRDefault="00C81C2D" w:rsidP="00A101F2">
                          <w:pPr>
                            <w:spacing w:before="57" w:after="0" w:line="240" w:lineRule="auto"/>
                            <w:ind w:right="227"/>
                            <w:rPr>
                              <w:rFonts w:ascii="ScalaSans" w:hAnsi="ScalaSans"/>
                              <w:color w:val="808080"/>
                              <w:spacing w:val="6"/>
                            </w:rPr>
                          </w:pPr>
                        </w:p>
                        <w:p w:rsidR="00C81C2D" w:rsidRPr="00D15388" w:rsidRDefault="00C81C2D" w:rsidP="00A101F2">
                          <w:pPr>
                            <w:spacing w:before="57" w:after="0" w:line="240" w:lineRule="auto"/>
                            <w:ind w:right="227"/>
                            <w:rPr>
                              <w:rFonts w:ascii="ScalaSans" w:hAnsi="ScalaSans" w:cs="ScalaSans"/>
                              <w:color w:val="808080"/>
                              <w:spacing w:val="6"/>
                            </w:rPr>
                          </w:pPr>
                        </w:p>
                      </w:tc>
                      <w:tc>
                        <w:tcPr>
                          <w:tcW w:w="4535" w:type="dxa"/>
                        </w:tcPr>
                        <w:p w:rsidR="00C81C2D" w:rsidRPr="00D15388" w:rsidRDefault="00C81C2D" w:rsidP="00A101F2">
                          <w:pPr>
                            <w:spacing w:before="57" w:after="0" w:line="240" w:lineRule="auto"/>
                            <w:rPr>
                              <w:rFonts w:ascii="ScalaSans" w:hAnsi="ScalaSans" w:cs="ScalaSans"/>
                              <w:color w:val="808080"/>
                              <w:spacing w:val="2"/>
                              <w:sz w:val="24"/>
                              <w:szCs w:val="24"/>
                            </w:rPr>
                          </w:pPr>
                        </w:p>
                      </w:tc>
                    </w:tr>
                  </w:tbl>
                  <w:p w:rsidR="00C81C2D" w:rsidRDefault="00C81C2D" w:rsidP="00B12CDF">
                    <w:pPr>
                      <w:pStyle w:val="BasicParagraph"/>
                      <w:spacing w:line="240" w:lineRule="auto"/>
                      <w:rPr>
                        <w:rFonts w:ascii="ScalaSans" w:hAnsi="ScalaSans" w:cs="ScalaSans"/>
                        <w:color w:val="auto"/>
                        <w:spacing w:val="7"/>
                      </w:rPr>
                    </w:pPr>
                  </w:p>
                  <w:p w:rsidR="00C81C2D" w:rsidRPr="00763423" w:rsidRDefault="00C81C2D"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C81C2D" w:rsidRDefault="00C81C2D"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24EC94C"/>
    <w:multiLevelType w:val="hybridMultilevel"/>
    <w:tmpl w:val="C397FE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020C5"/>
    <w:multiLevelType w:val="hybridMultilevel"/>
    <w:tmpl w:val="995E4A3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733E3"/>
    <w:multiLevelType w:val="hybridMultilevel"/>
    <w:tmpl w:val="B354342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1A5AC5"/>
    <w:multiLevelType w:val="hybridMultilevel"/>
    <w:tmpl w:val="509026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9244124"/>
    <w:multiLevelType w:val="hybridMultilevel"/>
    <w:tmpl w:val="A6208AF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19980E3D"/>
    <w:multiLevelType w:val="hybridMultilevel"/>
    <w:tmpl w:val="DDACADB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0405F"/>
    <w:multiLevelType w:val="hybridMultilevel"/>
    <w:tmpl w:val="0F48A692"/>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D10D58"/>
    <w:multiLevelType w:val="hybridMultilevel"/>
    <w:tmpl w:val="20A82BC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4AF19C4"/>
    <w:multiLevelType w:val="hybridMultilevel"/>
    <w:tmpl w:val="4BBCF3D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8025D9"/>
    <w:multiLevelType w:val="hybridMultilevel"/>
    <w:tmpl w:val="00F03A7A"/>
    <w:lvl w:ilvl="0" w:tplc="BC98CCDC">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1" w15:restartNumberingAfterBreak="0">
    <w:nsid w:val="2720358B"/>
    <w:multiLevelType w:val="multilevel"/>
    <w:tmpl w:val="88A46BE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8254553"/>
    <w:multiLevelType w:val="hybridMultilevel"/>
    <w:tmpl w:val="9078B69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273828"/>
    <w:multiLevelType w:val="hybridMultilevel"/>
    <w:tmpl w:val="3C8EA19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946343"/>
    <w:multiLevelType w:val="hybridMultilevel"/>
    <w:tmpl w:val="EF60C5E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31B52FDE"/>
    <w:multiLevelType w:val="hybridMultilevel"/>
    <w:tmpl w:val="157CA39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CA5B13"/>
    <w:multiLevelType w:val="hybridMultilevel"/>
    <w:tmpl w:val="4830D24C"/>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2F288C"/>
    <w:multiLevelType w:val="hybridMultilevel"/>
    <w:tmpl w:val="760AB90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E127AB"/>
    <w:multiLevelType w:val="hybridMultilevel"/>
    <w:tmpl w:val="BCC8B8B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404316E1"/>
    <w:multiLevelType w:val="hybridMultilevel"/>
    <w:tmpl w:val="B57611D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210D47"/>
    <w:multiLevelType w:val="multilevel"/>
    <w:tmpl w:val="24623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223AA3"/>
    <w:multiLevelType w:val="hybridMultilevel"/>
    <w:tmpl w:val="858CD1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3C10155"/>
    <w:multiLevelType w:val="hybridMultilevel"/>
    <w:tmpl w:val="9DAC7D5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32864"/>
    <w:multiLevelType w:val="hybridMultilevel"/>
    <w:tmpl w:val="911A249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80AE6"/>
    <w:multiLevelType w:val="hybridMultilevel"/>
    <w:tmpl w:val="736EACBC"/>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FA35836"/>
    <w:multiLevelType w:val="hybridMultilevel"/>
    <w:tmpl w:val="D6E80AAE"/>
    <w:lvl w:ilvl="0" w:tplc="5DD08BAE">
      <w:start w:val="1"/>
      <w:numFmt w:val="bullet"/>
      <w:lvlText w:val="-"/>
      <w:lvlJc w:val="left"/>
      <w:pPr>
        <w:tabs>
          <w:tab w:val="num" w:pos="740"/>
        </w:tabs>
        <w:ind w:left="740" w:hanging="360"/>
      </w:pPr>
      <w:rPr>
        <w:rFonts w:ascii="Arial" w:hAnsi="Arial" w:hint="default"/>
      </w:rPr>
    </w:lvl>
    <w:lvl w:ilvl="1" w:tplc="040E0003" w:tentative="1">
      <w:start w:val="1"/>
      <w:numFmt w:val="bullet"/>
      <w:lvlText w:val="o"/>
      <w:lvlJc w:val="left"/>
      <w:pPr>
        <w:tabs>
          <w:tab w:val="num" w:pos="1460"/>
        </w:tabs>
        <w:ind w:left="1460" w:hanging="360"/>
      </w:pPr>
      <w:rPr>
        <w:rFonts w:ascii="Courier New" w:hAnsi="Courier New" w:cs="Courier New" w:hint="default"/>
      </w:rPr>
    </w:lvl>
    <w:lvl w:ilvl="2" w:tplc="040E0005" w:tentative="1">
      <w:start w:val="1"/>
      <w:numFmt w:val="bullet"/>
      <w:lvlText w:val=""/>
      <w:lvlJc w:val="left"/>
      <w:pPr>
        <w:tabs>
          <w:tab w:val="num" w:pos="2180"/>
        </w:tabs>
        <w:ind w:left="2180" w:hanging="360"/>
      </w:pPr>
      <w:rPr>
        <w:rFonts w:ascii="Wingdings" w:hAnsi="Wingdings" w:hint="default"/>
      </w:rPr>
    </w:lvl>
    <w:lvl w:ilvl="3" w:tplc="040E0001" w:tentative="1">
      <w:start w:val="1"/>
      <w:numFmt w:val="bullet"/>
      <w:lvlText w:val=""/>
      <w:lvlJc w:val="left"/>
      <w:pPr>
        <w:tabs>
          <w:tab w:val="num" w:pos="2900"/>
        </w:tabs>
        <w:ind w:left="2900" w:hanging="360"/>
      </w:pPr>
      <w:rPr>
        <w:rFonts w:ascii="Symbol" w:hAnsi="Symbol" w:hint="default"/>
      </w:rPr>
    </w:lvl>
    <w:lvl w:ilvl="4" w:tplc="040E0003" w:tentative="1">
      <w:start w:val="1"/>
      <w:numFmt w:val="bullet"/>
      <w:lvlText w:val="o"/>
      <w:lvlJc w:val="left"/>
      <w:pPr>
        <w:tabs>
          <w:tab w:val="num" w:pos="3620"/>
        </w:tabs>
        <w:ind w:left="3620" w:hanging="360"/>
      </w:pPr>
      <w:rPr>
        <w:rFonts w:ascii="Courier New" w:hAnsi="Courier New" w:cs="Courier New" w:hint="default"/>
      </w:rPr>
    </w:lvl>
    <w:lvl w:ilvl="5" w:tplc="040E0005" w:tentative="1">
      <w:start w:val="1"/>
      <w:numFmt w:val="bullet"/>
      <w:lvlText w:val=""/>
      <w:lvlJc w:val="left"/>
      <w:pPr>
        <w:tabs>
          <w:tab w:val="num" w:pos="4340"/>
        </w:tabs>
        <w:ind w:left="4340" w:hanging="360"/>
      </w:pPr>
      <w:rPr>
        <w:rFonts w:ascii="Wingdings" w:hAnsi="Wingdings" w:hint="default"/>
      </w:rPr>
    </w:lvl>
    <w:lvl w:ilvl="6" w:tplc="040E0001" w:tentative="1">
      <w:start w:val="1"/>
      <w:numFmt w:val="bullet"/>
      <w:lvlText w:val=""/>
      <w:lvlJc w:val="left"/>
      <w:pPr>
        <w:tabs>
          <w:tab w:val="num" w:pos="5060"/>
        </w:tabs>
        <w:ind w:left="5060" w:hanging="360"/>
      </w:pPr>
      <w:rPr>
        <w:rFonts w:ascii="Symbol" w:hAnsi="Symbol" w:hint="default"/>
      </w:rPr>
    </w:lvl>
    <w:lvl w:ilvl="7" w:tplc="040E0003" w:tentative="1">
      <w:start w:val="1"/>
      <w:numFmt w:val="bullet"/>
      <w:lvlText w:val="o"/>
      <w:lvlJc w:val="left"/>
      <w:pPr>
        <w:tabs>
          <w:tab w:val="num" w:pos="5780"/>
        </w:tabs>
        <w:ind w:left="5780" w:hanging="360"/>
      </w:pPr>
      <w:rPr>
        <w:rFonts w:ascii="Courier New" w:hAnsi="Courier New" w:cs="Courier New" w:hint="default"/>
      </w:rPr>
    </w:lvl>
    <w:lvl w:ilvl="8" w:tplc="040E0005" w:tentative="1">
      <w:start w:val="1"/>
      <w:numFmt w:val="bullet"/>
      <w:lvlText w:val=""/>
      <w:lvlJc w:val="left"/>
      <w:pPr>
        <w:tabs>
          <w:tab w:val="num" w:pos="6500"/>
        </w:tabs>
        <w:ind w:left="6500" w:hanging="360"/>
      </w:pPr>
      <w:rPr>
        <w:rFonts w:ascii="Wingdings" w:hAnsi="Wingdings" w:hint="default"/>
      </w:rPr>
    </w:lvl>
  </w:abstractNum>
  <w:abstractNum w:abstractNumId="26" w15:restartNumberingAfterBreak="0">
    <w:nsid w:val="55AD152E"/>
    <w:multiLevelType w:val="hybridMultilevel"/>
    <w:tmpl w:val="A4C00D94"/>
    <w:lvl w:ilvl="0" w:tplc="4DAE6D4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55D46BBF"/>
    <w:multiLevelType w:val="hybridMultilevel"/>
    <w:tmpl w:val="01D2566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565E266B"/>
    <w:multiLevelType w:val="hybridMultilevel"/>
    <w:tmpl w:val="0BA8A8E4"/>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121B42"/>
    <w:multiLevelType w:val="hybridMultilevel"/>
    <w:tmpl w:val="C1C2BBA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083838"/>
    <w:multiLevelType w:val="hybridMultilevel"/>
    <w:tmpl w:val="46187846"/>
    <w:lvl w:ilvl="0" w:tplc="087482E6">
      <w:start w:val="1"/>
      <w:numFmt w:val="lowerLetter"/>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A173944"/>
    <w:multiLevelType w:val="hybridMultilevel"/>
    <w:tmpl w:val="6E9AA14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8541F6"/>
    <w:multiLevelType w:val="hybridMultilevel"/>
    <w:tmpl w:val="64DCAB6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C65E3E"/>
    <w:multiLevelType w:val="hybridMultilevel"/>
    <w:tmpl w:val="70A2954A"/>
    <w:lvl w:ilvl="0" w:tplc="54DC068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num w:numId="1">
    <w:abstractNumId w:val="26"/>
  </w:num>
  <w:num w:numId="2">
    <w:abstractNumId w:val="10"/>
  </w:num>
  <w:num w:numId="3">
    <w:abstractNumId w:val="0"/>
  </w:num>
  <w:num w:numId="4">
    <w:abstractNumId w:val="16"/>
  </w:num>
  <w:num w:numId="5">
    <w:abstractNumId w:val="6"/>
  </w:num>
  <w:num w:numId="6">
    <w:abstractNumId w:val="34"/>
  </w:num>
  <w:num w:numId="7">
    <w:abstractNumId w:val="18"/>
  </w:num>
  <w:num w:numId="8">
    <w:abstractNumId w:val="27"/>
  </w:num>
  <w:num w:numId="9">
    <w:abstractNumId w:val="9"/>
  </w:num>
  <w:num w:numId="10">
    <w:abstractNumId w:val="23"/>
  </w:num>
  <w:num w:numId="11">
    <w:abstractNumId w:val="7"/>
  </w:num>
  <w:num w:numId="12">
    <w:abstractNumId w:val="32"/>
  </w:num>
  <w:num w:numId="13">
    <w:abstractNumId w:val="11"/>
  </w:num>
  <w:num w:numId="14">
    <w:abstractNumId w:val="13"/>
  </w:num>
  <w:num w:numId="15">
    <w:abstractNumId w:val="22"/>
  </w:num>
  <w:num w:numId="16">
    <w:abstractNumId w:val="1"/>
  </w:num>
  <w:num w:numId="17">
    <w:abstractNumId w:val="17"/>
  </w:num>
  <w:num w:numId="18">
    <w:abstractNumId w:val="5"/>
  </w:num>
  <w:num w:numId="19">
    <w:abstractNumId w:val="15"/>
  </w:num>
  <w:num w:numId="20">
    <w:abstractNumId w:val="14"/>
  </w:num>
  <w:num w:numId="21">
    <w:abstractNumId w:val="28"/>
  </w:num>
  <w:num w:numId="22">
    <w:abstractNumId w:val="31"/>
  </w:num>
  <w:num w:numId="23">
    <w:abstractNumId w:val="19"/>
  </w:num>
  <w:num w:numId="24">
    <w:abstractNumId w:val="25"/>
  </w:num>
  <w:num w:numId="25">
    <w:abstractNumId w:val="29"/>
  </w:num>
  <w:num w:numId="26">
    <w:abstractNumId w:val="12"/>
  </w:num>
  <w:num w:numId="27">
    <w:abstractNumId w:val="2"/>
  </w:num>
  <w:num w:numId="28">
    <w:abstractNumId w:val="3"/>
  </w:num>
  <w:num w:numId="29">
    <w:abstractNumId w:val="30"/>
  </w:num>
  <w:num w:numId="30">
    <w:abstractNumId w:val="21"/>
  </w:num>
  <w:num w:numId="31">
    <w:abstractNumId w:val="4"/>
  </w:num>
  <w:num w:numId="32">
    <w:abstractNumId w:val="20"/>
  </w:num>
  <w:num w:numId="33">
    <w:abstractNumId w:val="33"/>
  </w:num>
  <w:num w:numId="34">
    <w:abstractNumId w:val="24"/>
  </w:num>
  <w:num w:numId="35">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74EF"/>
    <w:rsid w:val="000241F8"/>
    <w:rsid w:val="000267B9"/>
    <w:rsid w:val="00036C0F"/>
    <w:rsid w:val="00046E13"/>
    <w:rsid w:val="000542EE"/>
    <w:rsid w:val="00054B8A"/>
    <w:rsid w:val="000550DD"/>
    <w:rsid w:val="00061317"/>
    <w:rsid w:val="00065464"/>
    <w:rsid w:val="000660BC"/>
    <w:rsid w:val="00067C84"/>
    <w:rsid w:val="00080171"/>
    <w:rsid w:val="000804B3"/>
    <w:rsid w:val="000812FC"/>
    <w:rsid w:val="00085129"/>
    <w:rsid w:val="00096CEA"/>
    <w:rsid w:val="000A0CA6"/>
    <w:rsid w:val="000A3591"/>
    <w:rsid w:val="000A5CBB"/>
    <w:rsid w:val="000D5866"/>
    <w:rsid w:val="000E4C5D"/>
    <w:rsid w:val="000F190C"/>
    <w:rsid w:val="000F753F"/>
    <w:rsid w:val="00100C93"/>
    <w:rsid w:val="00104A07"/>
    <w:rsid w:val="00113CBB"/>
    <w:rsid w:val="00126B56"/>
    <w:rsid w:val="00134427"/>
    <w:rsid w:val="0013487C"/>
    <w:rsid w:val="00136334"/>
    <w:rsid w:val="001410DC"/>
    <w:rsid w:val="00141493"/>
    <w:rsid w:val="00150F54"/>
    <w:rsid w:val="00155238"/>
    <w:rsid w:val="001557C6"/>
    <w:rsid w:val="00157B65"/>
    <w:rsid w:val="00162823"/>
    <w:rsid w:val="0016436E"/>
    <w:rsid w:val="001728AE"/>
    <w:rsid w:val="001729A0"/>
    <w:rsid w:val="001805A0"/>
    <w:rsid w:val="00183CC1"/>
    <w:rsid w:val="001871B5"/>
    <w:rsid w:val="00187CCB"/>
    <w:rsid w:val="00194223"/>
    <w:rsid w:val="00194B82"/>
    <w:rsid w:val="001A0FA3"/>
    <w:rsid w:val="001A2530"/>
    <w:rsid w:val="001B1145"/>
    <w:rsid w:val="001B35E5"/>
    <w:rsid w:val="001C18D0"/>
    <w:rsid w:val="001D009A"/>
    <w:rsid w:val="001D2FEF"/>
    <w:rsid w:val="001D34E7"/>
    <w:rsid w:val="001E00D4"/>
    <w:rsid w:val="001E2B7D"/>
    <w:rsid w:val="001E6D84"/>
    <w:rsid w:val="00202025"/>
    <w:rsid w:val="0020310B"/>
    <w:rsid w:val="00203DDF"/>
    <w:rsid w:val="00203F1B"/>
    <w:rsid w:val="00205040"/>
    <w:rsid w:val="00205E44"/>
    <w:rsid w:val="00220CA0"/>
    <w:rsid w:val="00222F9C"/>
    <w:rsid w:val="0022472D"/>
    <w:rsid w:val="00227CE7"/>
    <w:rsid w:val="0023059D"/>
    <w:rsid w:val="002311B0"/>
    <w:rsid w:val="00233246"/>
    <w:rsid w:val="00233492"/>
    <w:rsid w:val="00233937"/>
    <w:rsid w:val="002339CB"/>
    <w:rsid w:val="0023721A"/>
    <w:rsid w:val="00246B3E"/>
    <w:rsid w:val="00250A8C"/>
    <w:rsid w:val="002566B7"/>
    <w:rsid w:val="00263FDA"/>
    <w:rsid w:val="00264A7E"/>
    <w:rsid w:val="0026793D"/>
    <w:rsid w:val="00267CD8"/>
    <w:rsid w:val="00271301"/>
    <w:rsid w:val="00272531"/>
    <w:rsid w:val="00273AA1"/>
    <w:rsid w:val="002830E0"/>
    <w:rsid w:val="00284834"/>
    <w:rsid w:val="00287240"/>
    <w:rsid w:val="00293921"/>
    <w:rsid w:val="00295741"/>
    <w:rsid w:val="002C1DC6"/>
    <w:rsid w:val="002C7472"/>
    <w:rsid w:val="002D13A9"/>
    <w:rsid w:val="002D2D27"/>
    <w:rsid w:val="002D30F1"/>
    <w:rsid w:val="002D48E6"/>
    <w:rsid w:val="002D4BC8"/>
    <w:rsid w:val="002E28A0"/>
    <w:rsid w:val="002E2C07"/>
    <w:rsid w:val="002E382B"/>
    <w:rsid w:val="002F1734"/>
    <w:rsid w:val="002F2A5F"/>
    <w:rsid w:val="002F6B2E"/>
    <w:rsid w:val="002F753E"/>
    <w:rsid w:val="002F7754"/>
    <w:rsid w:val="00301B74"/>
    <w:rsid w:val="00301D08"/>
    <w:rsid w:val="00310FAB"/>
    <w:rsid w:val="00311CFA"/>
    <w:rsid w:val="00313F0B"/>
    <w:rsid w:val="00316E5E"/>
    <w:rsid w:val="00321437"/>
    <w:rsid w:val="00323106"/>
    <w:rsid w:val="003275ED"/>
    <w:rsid w:val="00330729"/>
    <w:rsid w:val="0033152D"/>
    <w:rsid w:val="003315DD"/>
    <w:rsid w:val="00334062"/>
    <w:rsid w:val="00336F0D"/>
    <w:rsid w:val="00361BEF"/>
    <w:rsid w:val="00363CAA"/>
    <w:rsid w:val="00366CD9"/>
    <w:rsid w:val="00372B12"/>
    <w:rsid w:val="00373EF5"/>
    <w:rsid w:val="00377B85"/>
    <w:rsid w:val="00380396"/>
    <w:rsid w:val="003816EC"/>
    <w:rsid w:val="0039063E"/>
    <w:rsid w:val="00397D06"/>
    <w:rsid w:val="003A06EF"/>
    <w:rsid w:val="003A7928"/>
    <w:rsid w:val="003B16A1"/>
    <w:rsid w:val="003B4F7E"/>
    <w:rsid w:val="003C7E03"/>
    <w:rsid w:val="003D22D3"/>
    <w:rsid w:val="003D5C9B"/>
    <w:rsid w:val="003E329B"/>
    <w:rsid w:val="003F4419"/>
    <w:rsid w:val="004035AC"/>
    <w:rsid w:val="00404B69"/>
    <w:rsid w:val="00404CB2"/>
    <w:rsid w:val="004070E4"/>
    <w:rsid w:val="00416625"/>
    <w:rsid w:val="00417A6E"/>
    <w:rsid w:val="00425B50"/>
    <w:rsid w:val="00430653"/>
    <w:rsid w:val="00433A8D"/>
    <w:rsid w:val="0043410F"/>
    <w:rsid w:val="00435BC8"/>
    <w:rsid w:val="0043730F"/>
    <w:rsid w:val="004406A2"/>
    <w:rsid w:val="00446E47"/>
    <w:rsid w:val="00447CC7"/>
    <w:rsid w:val="004538E0"/>
    <w:rsid w:val="00454601"/>
    <w:rsid w:val="00455198"/>
    <w:rsid w:val="004630B0"/>
    <w:rsid w:val="00463DE9"/>
    <w:rsid w:val="004643E5"/>
    <w:rsid w:val="004740C0"/>
    <w:rsid w:val="00476DD3"/>
    <w:rsid w:val="00483308"/>
    <w:rsid w:val="00493C37"/>
    <w:rsid w:val="004B34DE"/>
    <w:rsid w:val="004B3870"/>
    <w:rsid w:val="004C5C4B"/>
    <w:rsid w:val="004C6329"/>
    <w:rsid w:val="004D1381"/>
    <w:rsid w:val="004D4D8B"/>
    <w:rsid w:val="004D69EE"/>
    <w:rsid w:val="004E1A59"/>
    <w:rsid w:val="004E3182"/>
    <w:rsid w:val="004F003C"/>
    <w:rsid w:val="004F2B70"/>
    <w:rsid w:val="004F37C2"/>
    <w:rsid w:val="004F4B68"/>
    <w:rsid w:val="004F705E"/>
    <w:rsid w:val="004F761B"/>
    <w:rsid w:val="0050698C"/>
    <w:rsid w:val="00520498"/>
    <w:rsid w:val="00520613"/>
    <w:rsid w:val="0052542B"/>
    <w:rsid w:val="0052586D"/>
    <w:rsid w:val="00526985"/>
    <w:rsid w:val="00530B99"/>
    <w:rsid w:val="0054315A"/>
    <w:rsid w:val="00546EBF"/>
    <w:rsid w:val="005477C3"/>
    <w:rsid w:val="00555F70"/>
    <w:rsid w:val="00557692"/>
    <w:rsid w:val="00572ECF"/>
    <w:rsid w:val="0057493C"/>
    <w:rsid w:val="00581F3E"/>
    <w:rsid w:val="00582DB0"/>
    <w:rsid w:val="00583421"/>
    <w:rsid w:val="00586684"/>
    <w:rsid w:val="0059067F"/>
    <w:rsid w:val="005A0F3A"/>
    <w:rsid w:val="005A18C5"/>
    <w:rsid w:val="005A32CA"/>
    <w:rsid w:val="005A4B5C"/>
    <w:rsid w:val="005B34CD"/>
    <w:rsid w:val="005D2532"/>
    <w:rsid w:val="005D3A98"/>
    <w:rsid w:val="005E3988"/>
    <w:rsid w:val="005E54AA"/>
    <w:rsid w:val="005F1BAC"/>
    <w:rsid w:val="005F4770"/>
    <w:rsid w:val="005F5282"/>
    <w:rsid w:val="005F5EBB"/>
    <w:rsid w:val="006017E2"/>
    <w:rsid w:val="00601809"/>
    <w:rsid w:val="00605CFE"/>
    <w:rsid w:val="0062074C"/>
    <w:rsid w:val="00626241"/>
    <w:rsid w:val="00632522"/>
    <w:rsid w:val="00637421"/>
    <w:rsid w:val="0064283F"/>
    <w:rsid w:val="006552B8"/>
    <w:rsid w:val="00662918"/>
    <w:rsid w:val="00664269"/>
    <w:rsid w:val="00666A1B"/>
    <w:rsid w:val="00677896"/>
    <w:rsid w:val="006833A9"/>
    <w:rsid w:val="0068568C"/>
    <w:rsid w:val="006908A6"/>
    <w:rsid w:val="006938D7"/>
    <w:rsid w:val="00697BEB"/>
    <w:rsid w:val="006A1891"/>
    <w:rsid w:val="006A3F95"/>
    <w:rsid w:val="006B24FC"/>
    <w:rsid w:val="006C4C08"/>
    <w:rsid w:val="006C5A42"/>
    <w:rsid w:val="006C74B5"/>
    <w:rsid w:val="006D0C2A"/>
    <w:rsid w:val="006D22ED"/>
    <w:rsid w:val="006D26AD"/>
    <w:rsid w:val="006D2CE0"/>
    <w:rsid w:val="006D533A"/>
    <w:rsid w:val="006E395B"/>
    <w:rsid w:val="006E4422"/>
    <w:rsid w:val="006F1727"/>
    <w:rsid w:val="00700097"/>
    <w:rsid w:val="007015D6"/>
    <w:rsid w:val="00703463"/>
    <w:rsid w:val="007111E6"/>
    <w:rsid w:val="00720021"/>
    <w:rsid w:val="00720FB6"/>
    <w:rsid w:val="00723C3E"/>
    <w:rsid w:val="00724786"/>
    <w:rsid w:val="00731291"/>
    <w:rsid w:val="00735D46"/>
    <w:rsid w:val="007364EB"/>
    <w:rsid w:val="007422F8"/>
    <w:rsid w:val="00743668"/>
    <w:rsid w:val="00762A6A"/>
    <w:rsid w:val="00762B24"/>
    <w:rsid w:val="00763423"/>
    <w:rsid w:val="00770339"/>
    <w:rsid w:val="00772B13"/>
    <w:rsid w:val="00775173"/>
    <w:rsid w:val="007779BD"/>
    <w:rsid w:val="00786E79"/>
    <w:rsid w:val="007907F8"/>
    <w:rsid w:val="00795CCB"/>
    <w:rsid w:val="007A1B50"/>
    <w:rsid w:val="007A37E1"/>
    <w:rsid w:val="007A5695"/>
    <w:rsid w:val="007A7944"/>
    <w:rsid w:val="007B2C40"/>
    <w:rsid w:val="007B6CC4"/>
    <w:rsid w:val="007C289A"/>
    <w:rsid w:val="007C55BF"/>
    <w:rsid w:val="007D41EC"/>
    <w:rsid w:val="007D44A1"/>
    <w:rsid w:val="007E593D"/>
    <w:rsid w:val="007E6A63"/>
    <w:rsid w:val="007F01AB"/>
    <w:rsid w:val="008111B2"/>
    <w:rsid w:val="008132C6"/>
    <w:rsid w:val="00822C61"/>
    <w:rsid w:val="00824411"/>
    <w:rsid w:val="00824F19"/>
    <w:rsid w:val="008254F0"/>
    <w:rsid w:val="008415CA"/>
    <w:rsid w:val="00844886"/>
    <w:rsid w:val="008456A6"/>
    <w:rsid w:val="00850CC7"/>
    <w:rsid w:val="008549E4"/>
    <w:rsid w:val="00861CAB"/>
    <w:rsid w:val="00866490"/>
    <w:rsid w:val="00867227"/>
    <w:rsid w:val="00871057"/>
    <w:rsid w:val="00871885"/>
    <w:rsid w:val="00883778"/>
    <w:rsid w:val="00885B29"/>
    <w:rsid w:val="00887DB9"/>
    <w:rsid w:val="008A522E"/>
    <w:rsid w:val="008A6E90"/>
    <w:rsid w:val="008B1381"/>
    <w:rsid w:val="008B4A96"/>
    <w:rsid w:val="008C36B1"/>
    <w:rsid w:val="008C5149"/>
    <w:rsid w:val="008C6691"/>
    <w:rsid w:val="008C7CEC"/>
    <w:rsid w:val="008D4BC9"/>
    <w:rsid w:val="008E0A38"/>
    <w:rsid w:val="008E41AD"/>
    <w:rsid w:val="008E46E6"/>
    <w:rsid w:val="008E6B86"/>
    <w:rsid w:val="008F017B"/>
    <w:rsid w:val="008F033F"/>
    <w:rsid w:val="008F0B6B"/>
    <w:rsid w:val="008F377A"/>
    <w:rsid w:val="008F4B60"/>
    <w:rsid w:val="009036D6"/>
    <w:rsid w:val="009065D0"/>
    <w:rsid w:val="009072F6"/>
    <w:rsid w:val="00907553"/>
    <w:rsid w:val="00911205"/>
    <w:rsid w:val="009126C2"/>
    <w:rsid w:val="00913F8D"/>
    <w:rsid w:val="00920033"/>
    <w:rsid w:val="009239CE"/>
    <w:rsid w:val="00924E29"/>
    <w:rsid w:val="00927A5C"/>
    <w:rsid w:val="00934518"/>
    <w:rsid w:val="00946175"/>
    <w:rsid w:val="00946343"/>
    <w:rsid w:val="00956A08"/>
    <w:rsid w:val="00960B80"/>
    <w:rsid w:val="0096423F"/>
    <w:rsid w:val="00972562"/>
    <w:rsid w:val="00973809"/>
    <w:rsid w:val="00980239"/>
    <w:rsid w:val="00983FD5"/>
    <w:rsid w:val="009903B7"/>
    <w:rsid w:val="009917C1"/>
    <w:rsid w:val="009940AD"/>
    <w:rsid w:val="00996C49"/>
    <w:rsid w:val="009A72DF"/>
    <w:rsid w:val="009B3A61"/>
    <w:rsid w:val="009B4EE1"/>
    <w:rsid w:val="009B50C6"/>
    <w:rsid w:val="009B5665"/>
    <w:rsid w:val="009B61E2"/>
    <w:rsid w:val="009B6612"/>
    <w:rsid w:val="009B6C5C"/>
    <w:rsid w:val="009C15FC"/>
    <w:rsid w:val="009D0B86"/>
    <w:rsid w:val="009E4B8E"/>
    <w:rsid w:val="009E5D92"/>
    <w:rsid w:val="009F2871"/>
    <w:rsid w:val="009F7F0B"/>
    <w:rsid w:val="00A0729A"/>
    <w:rsid w:val="00A101F2"/>
    <w:rsid w:val="00A21B4B"/>
    <w:rsid w:val="00A25494"/>
    <w:rsid w:val="00A257D3"/>
    <w:rsid w:val="00A2795D"/>
    <w:rsid w:val="00A33858"/>
    <w:rsid w:val="00A33D06"/>
    <w:rsid w:val="00A360CD"/>
    <w:rsid w:val="00A3685C"/>
    <w:rsid w:val="00A5159D"/>
    <w:rsid w:val="00A54FCC"/>
    <w:rsid w:val="00A5780C"/>
    <w:rsid w:val="00A628A2"/>
    <w:rsid w:val="00A66B99"/>
    <w:rsid w:val="00A66DB3"/>
    <w:rsid w:val="00A73E5C"/>
    <w:rsid w:val="00A83674"/>
    <w:rsid w:val="00A8453C"/>
    <w:rsid w:val="00AA14B4"/>
    <w:rsid w:val="00AB14F3"/>
    <w:rsid w:val="00AB2763"/>
    <w:rsid w:val="00AC481D"/>
    <w:rsid w:val="00AD3150"/>
    <w:rsid w:val="00AD759D"/>
    <w:rsid w:val="00AF168B"/>
    <w:rsid w:val="00AF310F"/>
    <w:rsid w:val="00B03B76"/>
    <w:rsid w:val="00B114BE"/>
    <w:rsid w:val="00B11776"/>
    <w:rsid w:val="00B12CDF"/>
    <w:rsid w:val="00B1697C"/>
    <w:rsid w:val="00B22E2F"/>
    <w:rsid w:val="00B30FB7"/>
    <w:rsid w:val="00B36B5B"/>
    <w:rsid w:val="00B40D4B"/>
    <w:rsid w:val="00B417EA"/>
    <w:rsid w:val="00B42B93"/>
    <w:rsid w:val="00B45EEA"/>
    <w:rsid w:val="00B45FCC"/>
    <w:rsid w:val="00B5063B"/>
    <w:rsid w:val="00B51EE9"/>
    <w:rsid w:val="00B5468C"/>
    <w:rsid w:val="00B57260"/>
    <w:rsid w:val="00B638A6"/>
    <w:rsid w:val="00B64A66"/>
    <w:rsid w:val="00B774E9"/>
    <w:rsid w:val="00B839F0"/>
    <w:rsid w:val="00B860C3"/>
    <w:rsid w:val="00B96242"/>
    <w:rsid w:val="00BA5BD4"/>
    <w:rsid w:val="00BB3CD1"/>
    <w:rsid w:val="00BB3EC7"/>
    <w:rsid w:val="00BB72F5"/>
    <w:rsid w:val="00BB7DB2"/>
    <w:rsid w:val="00BC3769"/>
    <w:rsid w:val="00BC70D6"/>
    <w:rsid w:val="00BD4BD3"/>
    <w:rsid w:val="00BD4D1E"/>
    <w:rsid w:val="00BD6670"/>
    <w:rsid w:val="00BE10CE"/>
    <w:rsid w:val="00BF1CFD"/>
    <w:rsid w:val="00BF3A06"/>
    <w:rsid w:val="00BF65BC"/>
    <w:rsid w:val="00BF75BD"/>
    <w:rsid w:val="00BF779B"/>
    <w:rsid w:val="00C01A30"/>
    <w:rsid w:val="00C02529"/>
    <w:rsid w:val="00C03A15"/>
    <w:rsid w:val="00C04242"/>
    <w:rsid w:val="00C04FA9"/>
    <w:rsid w:val="00C05199"/>
    <w:rsid w:val="00C118CA"/>
    <w:rsid w:val="00C1382E"/>
    <w:rsid w:val="00C16205"/>
    <w:rsid w:val="00C3046E"/>
    <w:rsid w:val="00C31D1C"/>
    <w:rsid w:val="00C36FA4"/>
    <w:rsid w:val="00C42108"/>
    <w:rsid w:val="00C479D8"/>
    <w:rsid w:val="00C60D01"/>
    <w:rsid w:val="00C623BE"/>
    <w:rsid w:val="00C67F67"/>
    <w:rsid w:val="00C71FF8"/>
    <w:rsid w:val="00C81C2D"/>
    <w:rsid w:val="00C87FF3"/>
    <w:rsid w:val="00C90854"/>
    <w:rsid w:val="00C91785"/>
    <w:rsid w:val="00CA2D61"/>
    <w:rsid w:val="00CA61EA"/>
    <w:rsid w:val="00CB19DC"/>
    <w:rsid w:val="00CB1C33"/>
    <w:rsid w:val="00CB2E6A"/>
    <w:rsid w:val="00CC496E"/>
    <w:rsid w:val="00CC4BD7"/>
    <w:rsid w:val="00CC5701"/>
    <w:rsid w:val="00CC5A82"/>
    <w:rsid w:val="00CC7862"/>
    <w:rsid w:val="00CD5E97"/>
    <w:rsid w:val="00CD6A41"/>
    <w:rsid w:val="00CD6E7F"/>
    <w:rsid w:val="00CE0F23"/>
    <w:rsid w:val="00CE1179"/>
    <w:rsid w:val="00CE141F"/>
    <w:rsid w:val="00CF630C"/>
    <w:rsid w:val="00D10705"/>
    <w:rsid w:val="00D15388"/>
    <w:rsid w:val="00D17D48"/>
    <w:rsid w:val="00D20E67"/>
    <w:rsid w:val="00D2479B"/>
    <w:rsid w:val="00D312EE"/>
    <w:rsid w:val="00D33A5A"/>
    <w:rsid w:val="00D36799"/>
    <w:rsid w:val="00D37C2C"/>
    <w:rsid w:val="00D4255F"/>
    <w:rsid w:val="00D519D3"/>
    <w:rsid w:val="00D54A4B"/>
    <w:rsid w:val="00D567B6"/>
    <w:rsid w:val="00D57C60"/>
    <w:rsid w:val="00D63B36"/>
    <w:rsid w:val="00D70B40"/>
    <w:rsid w:val="00D73566"/>
    <w:rsid w:val="00DA0557"/>
    <w:rsid w:val="00DA3E24"/>
    <w:rsid w:val="00DC3D50"/>
    <w:rsid w:val="00DD0D10"/>
    <w:rsid w:val="00DD1AD2"/>
    <w:rsid w:val="00DD1E0C"/>
    <w:rsid w:val="00DD6789"/>
    <w:rsid w:val="00DE2206"/>
    <w:rsid w:val="00DF7763"/>
    <w:rsid w:val="00E012A4"/>
    <w:rsid w:val="00E01EDD"/>
    <w:rsid w:val="00E03983"/>
    <w:rsid w:val="00E06B90"/>
    <w:rsid w:val="00E16447"/>
    <w:rsid w:val="00E17E1E"/>
    <w:rsid w:val="00E20DE5"/>
    <w:rsid w:val="00E2663F"/>
    <w:rsid w:val="00E330CA"/>
    <w:rsid w:val="00E334B8"/>
    <w:rsid w:val="00E34331"/>
    <w:rsid w:val="00E3639C"/>
    <w:rsid w:val="00E37367"/>
    <w:rsid w:val="00E4261F"/>
    <w:rsid w:val="00E47133"/>
    <w:rsid w:val="00E50514"/>
    <w:rsid w:val="00E56586"/>
    <w:rsid w:val="00E63E43"/>
    <w:rsid w:val="00E6487C"/>
    <w:rsid w:val="00E729AE"/>
    <w:rsid w:val="00E744AE"/>
    <w:rsid w:val="00E76864"/>
    <w:rsid w:val="00E81B63"/>
    <w:rsid w:val="00E81D29"/>
    <w:rsid w:val="00E90B4A"/>
    <w:rsid w:val="00E9139C"/>
    <w:rsid w:val="00E92D39"/>
    <w:rsid w:val="00E968A0"/>
    <w:rsid w:val="00EA50A4"/>
    <w:rsid w:val="00EB5AF0"/>
    <w:rsid w:val="00EC17CA"/>
    <w:rsid w:val="00EC2FE2"/>
    <w:rsid w:val="00EC682F"/>
    <w:rsid w:val="00ED2B37"/>
    <w:rsid w:val="00ED3DFE"/>
    <w:rsid w:val="00ED4236"/>
    <w:rsid w:val="00ED6AEE"/>
    <w:rsid w:val="00ED766E"/>
    <w:rsid w:val="00EE7ACC"/>
    <w:rsid w:val="00EF0F22"/>
    <w:rsid w:val="00EF2357"/>
    <w:rsid w:val="00EF2B64"/>
    <w:rsid w:val="00EF47ED"/>
    <w:rsid w:val="00EF4D8F"/>
    <w:rsid w:val="00F05284"/>
    <w:rsid w:val="00F07241"/>
    <w:rsid w:val="00F117EF"/>
    <w:rsid w:val="00F22DF9"/>
    <w:rsid w:val="00F26987"/>
    <w:rsid w:val="00F31BCB"/>
    <w:rsid w:val="00F474E1"/>
    <w:rsid w:val="00F50400"/>
    <w:rsid w:val="00F541E0"/>
    <w:rsid w:val="00F612AA"/>
    <w:rsid w:val="00F7042A"/>
    <w:rsid w:val="00F709AC"/>
    <w:rsid w:val="00F76875"/>
    <w:rsid w:val="00F77002"/>
    <w:rsid w:val="00F8256F"/>
    <w:rsid w:val="00F832B7"/>
    <w:rsid w:val="00F83C96"/>
    <w:rsid w:val="00F97467"/>
    <w:rsid w:val="00FA2BBD"/>
    <w:rsid w:val="00FA33D8"/>
    <w:rsid w:val="00FA76B8"/>
    <w:rsid w:val="00FB0978"/>
    <w:rsid w:val="00FC26C7"/>
    <w:rsid w:val="00FC3C77"/>
    <w:rsid w:val="00FC64A8"/>
    <w:rsid w:val="00FD03B8"/>
    <w:rsid w:val="00FD7353"/>
    <w:rsid w:val="00FE2A2D"/>
    <w:rsid w:val="00FF2B4B"/>
    <w:rsid w:val="00FF4148"/>
    <w:rsid w:val="00FF4EB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paragraph" w:customStyle="1" w:styleId="Szvegtrzs33">
    <w:name w:val="Szövegtörzs 33"/>
    <w:basedOn w:val="Norml"/>
    <w:rsid w:val="008254F0"/>
    <w:pPr>
      <w:suppressAutoHyphens/>
      <w:spacing w:after="120"/>
    </w:pPr>
    <w:rPr>
      <w:rFonts w:eastAsia="Times New Roman" w:cs="Calibri"/>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munkalap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munkalap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333333"/>
                </a:solidFill>
                <a:latin typeface="Calibri"/>
                <a:ea typeface="Calibri"/>
                <a:cs typeface="Calibri"/>
              </a:defRPr>
            </a:pPr>
            <a:r>
              <a:rPr lang="hu-HU"/>
              <a:t>Befizetett idegenforgalmi adó havi megoszlása </a:t>
            </a:r>
          </a:p>
          <a:p>
            <a:pPr>
              <a:defRPr sz="1400" b="0" i="0" u="none" strike="noStrike" baseline="0">
                <a:solidFill>
                  <a:srgbClr val="333333"/>
                </a:solidFill>
                <a:latin typeface="Calibri"/>
                <a:ea typeface="Calibri"/>
                <a:cs typeface="Calibri"/>
              </a:defRPr>
            </a:pPr>
            <a:r>
              <a:rPr lang="hu-HU"/>
              <a:t>2010-2015. években</a:t>
            </a:r>
          </a:p>
        </c:rich>
      </c:tx>
      <c:layout>
        <c:manualLayout>
          <c:xMode val="edge"/>
          <c:yMode val="edge"/>
          <c:x val="0.18473801894349487"/>
          <c:y val="3.0826085200888351E-2"/>
        </c:manualLayout>
      </c:layout>
      <c:overlay val="0"/>
      <c:spPr>
        <a:noFill/>
        <a:ln w="25400">
          <a:noFill/>
        </a:ln>
      </c:spPr>
    </c:title>
    <c:autoTitleDeleted val="0"/>
    <c:plotArea>
      <c:layout/>
      <c:barChart>
        <c:barDir val="col"/>
        <c:grouping val="clustered"/>
        <c:varyColors val="0"/>
        <c:ser>
          <c:idx val="0"/>
          <c:order val="0"/>
          <c:tx>
            <c:strRef>
              <c:f>befizetések!$A$5</c:f>
              <c:strCache>
                <c:ptCount val="1"/>
                <c:pt idx="0">
                  <c:v>2010</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18862</c:v>
                </c:pt>
                <c:pt idx="1">
                  <c:v>25006</c:v>
                </c:pt>
                <c:pt idx="2">
                  <c:v>27876</c:v>
                </c:pt>
                <c:pt idx="3">
                  <c:v>33156</c:v>
                </c:pt>
                <c:pt idx="4">
                  <c:v>27884</c:v>
                </c:pt>
                <c:pt idx="5">
                  <c:v>33767</c:v>
                </c:pt>
                <c:pt idx="6">
                  <c:v>33015</c:v>
                </c:pt>
                <c:pt idx="7">
                  <c:v>43533</c:v>
                </c:pt>
                <c:pt idx="8">
                  <c:v>47094</c:v>
                </c:pt>
                <c:pt idx="9">
                  <c:v>45827</c:v>
                </c:pt>
                <c:pt idx="10">
                  <c:v>38666</c:v>
                </c:pt>
                <c:pt idx="11">
                  <c:v>33306</c:v>
                </c:pt>
              </c:numCache>
            </c:numRef>
          </c:val>
        </c:ser>
        <c:ser>
          <c:idx val="1"/>
          <c:order val="1"/>
          <c:tx>
            <c:strRef>
              <c:f>befizetések!$A$6</c:f>
              <c:strCache>
                <c:ptCount val="1"/>
                <c:pt idx="0">
                  <c:v>2011</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17005</c:v>
                </c:pt>
                <c:pt idx="1">
                  <c:v>24400</c:v>
                </c:pt>
                <c:pt idx="2">
                  <c:v>26599</c:v>
                </c:pt>
                <c:pt idx="3">
                  <c:v>29266</c:v>
                </c:pt>
                <c:pt idx="4">
                  <c:v>31688</c:v>
                </c:pt>
                <c:pt idx="5">
                  <c:v>39607</c:v>
                </c:pt>
                <c:pt idx="6">
                  <c:v>37443</c:v>
                </c:pt>
                <c:pt idx="7">
                  <c:v>50573</c:v>
                </c:pt>
                <c:pt idx="8">
                  <c:v>60846</c:v>
                </c:pt>
                <c:pt idx="9">
                  <c:v>46412</c:v>
                </c:pt>
                <c:pt idx="10">
                  <c:v>41815</c:v>
                </c:pt>
                <c:pt idx="11">
                  <c:v>35267</c:v>
                </c:pt>
              </c:numCache>
            </c:numRef>
          </c:val>
        </c:ser>
        <c:ser>
          <c:idx val="2"/>
          <c:order val="2"/>
          <c:tx>
            <c:strRef>
              <c:f>befizetések!$A$7</c:f>
              <c:strCache>
                <c:ptCount val="1"/>
                <c:pt idx="0">
                  <c:v>2012</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22174</c:v>
                </c:pt>
                <c:pt idx="1">
                  <c:v>27463</c:v>
                </c:pt>
                <c:pt idx="2">
                  <c:v>25396</c:v>
                </c:pt>
                <c:pt idx="3">
                  <c:v>32631</c:v>
                </c:pt>
                <c:pt idx="4">
                  <c:v>32940</c:v>
                </c:pt>
                <c:pt idx="5">
                  <c:v>40371</c:v>
                </c:pt>
                <c:pt idx="6">
                  <c:v>41958</c:v>
                </c:pt>
                <c:pt idx="7">
                  <c:v>45766</c:v>
                </c:pt>
                <c:pt idx="8">
                  <c:v>53588</c:v>
                </c:pt>
                <c:pt idx="9">
                  <c:v>50700</c:v>
                </c:pt>
                <c:pt idx="10">
                  <c:v>44622</c:v>
                </c:pt>
                <c:pt idx="11">
                  <c:v>35252</c:v>
                </c:pt>
              </c:numCache>
            </c:numRef>
          </c:val>
        </c:ser>
        <c:ser>
          <c:idx val="3"/>
          <c:order val="3"/>
          <c:tx>
            <c:strRef>
              <c:f>befizetések!$A$8</c:f>
              <c:strCache>
                <c:ptCount val="1"/>
                <c:pt idx="0">
                  <c:v>2013</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23573</c:v>
                </c:pt>
                <c:pt idx="1">
                  <c:v>27581</c:v>
                </c:pt>
                <c:pt idx="2">
                  <c:v>27205</c:v>
                </c:pt>
                <c:pt idx="3">
                  <c:v>36481</c:v>
                </c:pt>
                <c:pt idx="4">
                  <c:v>32883</c:v>
                </c:pt>
                <c:pt idx="5">
                  <c:v>47163</c:v>
                </c:pt>
                <c:pt idx="6">
                  <c:v>45777</c:v>
                </c:pt>
                <c:pt idx="7">
                  <c:v>48604</c:v>
                </c:pt>
                <c:pt idx="8">
                  <c:v>56230</c:v>
                </c:pt>
                <c:pt idx="9">
                  <c:v>52220</c:v>
                </c:pt>
                <c:pt idx="10">
                  <c:v>53150</c:v>
                </c:pt>
                <c:pt idx="11">
                  <c:v>36654</c:v>
                </c:pt>
              </c:numCache>
            </c:numRef>
          </c:val>
        </c:ser>
        <c:ser>
          <c:idx val="4"/>
          <c:order val="4"/>
          <c:tx>
            <c:strRef>
              <c:f>befizetések!$A$9</c:f>
              <c:strCache>
                <c:ptCount val="1"/>
                <c:pt idx="0">
                  <c:v>2014</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38251</c:v>
                </c:pt>
              </c:numCache>
            </c:numRef>
          </c:val>
        </c:ser>
        <c:ser>
          <c:idx val="5"/>
          <c:order val="5"/>
          <c:tx>
            <c:strRef>
              <c:f>befizetések!$A$10</c:f>
              <c:strCache>
                <c:ptCount val="1"/>
                <c:pt idx="0">
                  <c:v>2015</c:v>
                </c:pt>
              </c:strCache>
            </c:strRef>
          </c:tx>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befizetések!$B$10:$M$10</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numCache>
            </c:numRef>
          </c:val>
        </c:ser>
        <c:dLbls>
          <c:showLegendKey val="0"/>
          <c:showVal val="0"/>
          <c:showCatName val="0"/>
          <c:showSerName val="0"/>
          <c:showPercent val="0"/>
          <c:showBubbleSize val="0"/>
        </c:dLbls>
        <c:gapWidth val="219"/>
        <c:overlap val="-27"/>
        <c:axId val="144344592"/>
        <c:axId val="144344200"/>
      </c:barChart>
      <c:catAx>
        <c:axId val="144344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vert="horz"/>
          <a:lstStyle/>
          <a:p>
            <a:pPr>
              <a:defRPr sz="900" b="0" i="0" u="none" strike="noStrike" baseline="0">
                <a:solidFill>
                  <a:srgbClr val="333333"/>
                </a:solidFill>
                <a:latin typeface="Calibri"/>
                <a:ea typeface="Calibri"/>
                <a:cs typeface="Calibri"/>
              </a:defRPr>
            </a:pPr>
            <a:endParaRPr lang="hu-HU"/>
          </a:p>
        </c:txPr>
        <c:crossAx val="144344200"/>
        <c:crosses val="autoZero"/>
        <c:auto val="1"/>
        <c:lblAlgn val="ctr"/>
        <c:lblOffset val="100"/>
        <c:noMultiLvlLbl val="0"/>
      </c:catAx>
      <c:valAx>
        <c:axId val="1443442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144344592"/>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7" b="0" i="0" u="none" strike="noStrike" kern="1200" spc="0" baseline="0">
                <a:solidFill>
                  <a:schemeClr val="tx1">
                    <a:lumMod val="65000"/>
                    <a:lumOff val="35000"/>
                  </a:schemeClr>
                </a:solidFill>
                <a:latin typeface="+mn-lt"/>
                <a:ea typeface="+mn-ea"/>
                <a:cs typeface="+mn-cs"/>
              </a:defRPr>
            </a:pPr>
            <a:r>
              <a:rPr lang="hu-HU" sz="1199"/>
              <a:t>Helyi adóhátralék megoszlása felszámolás alatt lévő, illetve már nem működő gazdasági társaságok és</a:t>
            </a:r>
          </a:p>
          <a:p>
            <a:pPr>
              <a:defRPr sz="1397" b="0" i="0" u="none" strike="noStrike" kern="1200" spc="0" baseline="0">
                <a:solidFill>
                  <a:schemeClr val="tx1">
                    <a:lumMod val="65000"/>
                    <a:lumOff val="35000"/>
                  </a:schemeClr>
                </a:solidFill>
                <a:latin typeface="+mn-lt"/>
                <a:ea typeface="+mn-ea"/>
                <a:cs typeface="+mn-cs"/>
              </a:defRPr>
            </a:pPr>
            <a:r>
              <a:rPr lang="hu-HU" sz="1199"/>
              <a:t>működő</a:t>
            </a:r>
            <a:r>
              <a:rPr lang="hu-HU" sz="1199" baseline="0"/>
              <a:t> vállalkozások között</a:t>
            </a:r>
          </a:p>
          <a:p>
            <a:pPr>
              <a:defRPr sz="1397" b="0" i="0" u="none" strike="noStrike" kern="1200" spc="0" baseline="0">
                <a:solidFill>
                  <a:schemeClr val="tx1">
                    <a:lumMod val="65000"/>
                    <a:lumOff val="35000"/>
                  </a:schemeClr>
                </a:solidFill>
                <a:latin typeface="+mn-lt"/>
                <a:ea typeface="+mn-ea"/>
                <a:cs typeface="+mn-cs"/>
              </a:defRPr>
            </a:pPr>
            <a:r>
              <a:rPr lang="hu-HU" sz="1199" baseline="0"/>
              <a:t>(2015. szeptember 30-ai állapot)</a:t>
            </a:r>
            <a:endParaRPr lang="hu-HU" sz="1200"/>
          </a:p>
        </c:rich>
      </c:tx>
      <c:overlay val="0"/>
      <c:spPr>
        <a:noFill/>
        <a:ln w="25371">
          <a:noFill/>
        </a:ln>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dPt>
            <c:idx val="0"/>
            <c:bubble3D val="0"/>
            <c:spPr>
              <a:solidFill>
                <a:schemeClr val="accent1"/>
              </a:solidFill>
              <a:ln w="25371">
                <a:solidFill>
                  <a:schemeClr val="lt1"/>
                </a:solidFill>
              </a:ln>
              <a:effectLst/>
              <a:sp3d contourW="25400">
                <a:contourClr>
                  <a:schemeClr val="lt1"/>
                </a:contourClr>
              </a:sp3d>
            </c:spPr>
          </c:dPt>
          <c:dPt>
            <c:idx val="1"/>
            <c:bubble3D val="0"/>
            <c:spPr>
              <a:solidFill>
                <a:schemeClr val="accent2"/>
              </a:solidFill>
              <a:ln w="25371">
                <a:solidFill>
                  <a:schemeClr val="lt1"/>
                </a:solidFill>
              </a:ln>
              <a:effectLst/>
              <a:sp3d contourW="25400">
                <a:contourClr>
                  <a:schemeClr val="lt1"/>
                </a:contourClr>
              </a:sp3d>
            </c:spPr>
          </c:dPt>
          <c:cat>
            <c:strRef>
              <c:f>Munka1!$A$3:$A$4</c:f>
              <c:strCache>
                <c:ptCount val="2"/>
                <c:pt idx="0">
                  <c:v>Felszámolás alatt lévő, illetve már nem működő gazdasági társaságok</c:v>
                </c:pt>
                <c:pt idx="1">
                  <c:v>Működő vállalkozások</c:v>
                </c:pt>
              </c:strCache>
            </c:strRef>
          </c:cat>
          <c:val>
            <c:numRef>
              <c:f>Munka1!$C$3:$C$4</c:f>
              <c:numCache>
                <c:formatCode>_-* #\ ##0\ _F_t_-;\-* #\ ##0\ _F_t_-;_-* "-"??\ _F_t_-;_-@_-</c:formatCode>
                <c:ptCount val="2"/>
                <c:pt idx="0">
                  <c:v>55951804</c:v>
                </c:pt>
                <c:pt idx="1">
                  <c:v>83930374</c:v>
                </c:pt>
              </c:numCache>
            </c:numRef>
          </c:val>
        </c:ser>
        <c:dLbls>
          <c:showLegendKey val="0"/>
          <c:showVal val="0"/>
          <c:showCatName val="0"/>
          <c:showSerName val="0"/>
          <c:showPercent val="0"/>
          <c:showBubbleSize val="0"/>
          <c:showLeaderLines val="1"/>
        </c:dLbls>
      </c:pie3DChart>
      <c:spPr>
        <a:noFill/>
        <a:ln w="25373">
          <a:noFill/>
        </a:ln>
      </c:spPr>
    </c:plotArea>
    <c:legend>
      <c:legendPos val="b"/>
      <c:overlay val="0"/>
      <c:spPr>
        <a:noFill/>
        <a:ln w="25371">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14"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10BEE-D893-46BB-8E8A-1F610259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15</Pages>
  <Words>3728</Words>
  <Characters>25730</Characters>
  <Application>Microsoft Office Word</Application>
  <DocSecurity>0</DocSecurity>
  <Lines>214</Lines>
  <Paragraphs>58</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29400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Lajkó Erzsébet Márta</cp:lastModifiedBy>
  <cp:revision>6</cp:revision>
  <cp:lastPrinted>2015-11-12T13:00:00Z</cp:lastPrinted>
  <dcterms:created xsi:type="dcterms:W3CDTF">2015-11-13T07:49:00Z</dcterms:created>
  <dcterms:modified xsi:type="dcterms:W3CDTF">2015-11-20T09:49:00Z</dcterms:modified>
</cp:coreProperties>
</file>