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348" w:rsidRDefault="00C21348" w:rsidP="000069F2">
      <w:pPr>
        <w:keepNext/>
        <w:spacing w:line="276" w:lineRule="auto"/>
        <w:jc w:val="center"/>
        <w:outlineLvl w:val="2"/>
        <w:rPr>
          <w:b/>
          <w:caps/>
          <w:sz w:val="36"/>
          <w:szCs w:val="36"/>
        </w:rPr>
      </w:pPr>
      <w:r w:rsidRPr="00610D24">
        <w:rPr>
          <w:b/>
          <w:caps/>
          <w:sz w:val="36"/>
          <w:szCs w:val="36"/>
        </w:rPr>
        <w:t>VAGYONKEZELÉSI szerződés</w:t>
      </w:r>
    </w:p>
    <w:p w:rsidR="007A75F4" w:rsidRPr="007A75F4" w:rsidRDefault="007A75F4" w:rsidP="000069F2">
      <w:pPr>
        <w:pStyle w:val="Listaszerbekezds"/>
        <w:keepNext/>
        <w:numPr>
          <w:ilvl w:val="0"/>
          <w:numId w:val="8"/>
        </w:numPr>
        <w:spacing w:line="276" w:lineRule="auto"/>
        <w:ind w:left="284" w:hanging="371"/>
        <w:jc w:val="center"/>
        <w:outlineLvl w:val="2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SZÁMÚ MÓDOSÍTÁSA</w:t>
      </w:r>
    </w:p>
    <w:p w:rsidR="000E1021" w:rsidRDefault="000E1021" w:rsidP="000069F2">
      <w:pPr>
        <w:spacing w:line="276" w:lineRule="auto"/>
        <w:jc w:val="both"/>
      </w:pPr>
    </w:p>
    <w:p w:rsidR="000E1021" w:rsidRDefault="00C21348" w:rsidP="000069F2">
      <w:pPr>
        <w:spacing w:line="276" w:lineRule="auto"/>
        <w:jc w:val="both"/>
      </w:pPr>
      <w:r w:rsidRPr="00AE12D4">
        <w:t xml:space="preserve">amely létrejött </w:t>
      </w:r>
      <w:r w:rsidR="000E1021">
        <w:t>egyrészről a</w:t>
      </w:r>
    </w:p>
    <w:p w:rsidR="000069F2" w:rsidRPr="00AE12D4" w:rsidRDefault="000069F2" w:rsidP="000069F2">
      <w:pPr>
        <w:spacing w:line="276" w:lineRule="auto"/>
        <w:jc w:val="both"/>
      </w:pPr>
    </w:p>
    <w:p w:rsidR="00C21348" w:rsidRPr="00610D24" w:rsidRDefault="0008431D" w:rsidP="000069F2">
      <w:pPr>
        <w:spacing w:line="276" w:lineRule="auto"/>
        <w:jc w:val="both"/>
        <w:rPr>
          <w:b/>
        </w:rPr>
      </w:pPr>
      <w:r w:rsidRPr="0008431D">
        <w:rPr>
          <w:b/>
        </w:rPr>
        <w:t>Hévíz Város Önkormányzat</w:t>
      </w:r>
    </w:p>
    <w:p w:rsidR="00C21348" w:rsidRPr="002B0888" w:rsidRDefault="00C21348" w:rsidP="000069F2">
      <w:pPr>
        <w:spacing w:line="276" w:lineRule="auto"/>
        <w:jc w:val="both"/>
      </w:pPr>
      <w:r w:rsidRPr="002B0888">
        <w:t xml:space="preserve">székhelye: </w:t>
      </w:r>
      <w:r w:rsidR="0008431D" w:rsidRPr="002B0888">
        <w:t>8380 Hévíz, Kossuth Lajos utca 1.</w:t>
      </w:r>
    </w:p>
    <w:p w:rsidR="00C21348" w:rsidRPr="002B0888" w:rsidRDefault="00C21348" w:rsidP="000069F2">
      <w:pPr>
        <w:spacing w:line="276" w:lineRule="auto"/>
        <w:jc w:val="both"/>
      </w:pPr>
      <w:r w:rsidRPr="002B0888">
        <w:t xml:space="preserve">képviseli: </w:t>
      </w:r>
      <w:r w:rsidR="0008431D" w:rsidRPr="002B0888">
        <w:t>Papp Gábor</w:t>
      </w:r>
      <w:r w:rsidRPr="002B0888">
        <w:t xml:space="preserve"> polgármester</w:t>
      </w:r>
    </w:p>
    <w:p w:rsidR="00C21348" w:rsidRPr="002B0888" w:rsidRDefault="000E1021" w:rsidP="000069F2">
      <w:pPr>
        <w:spacing w:line="276" w:lineRule="auto"/>
        <w:jc w:val="both"/>
      </w:pPr>
      <w:r w:rsidRPr="002B0888">
        <w:t>törzsszáma</w:t>
      </w:r>
      <w:r w:rsidR="00C21348" w:rsidRPr="002B0888">
        <w:t xml:space="preserve">: </w:t>
      </w:r>
      <w:r w:rsidR="0008431D" w:rsidRPr="002B0888">
        <w:t>734378</w:t>
      </w:r>
    </w:p>
    <w:p w:rsidR="00C21348" w:rsidRPr="002B0888" w:rsidRDefault="00C21348" w:rsidP="000069F2">
      <w:pPr>
        <w:spacing w:line="276" w:lineRule="auto"/>
        <w:jc w:val="both"/>
      </w:pPr>
      <w:r w:rsidRPr="002B0888">
        <w:t xml:space="preserve">adóigazgatási azonosító száma: </w:t>
      </w:r>
      <w:r w:rsidR="0008431D" w:rsidRPr="002B0888">
        <w:t>15734374-2-20</w:t>
      </w:r>
    </w:p>
    <w:p w:rsidR="00C21348" w:rsidRPr="002B0888" w:rsidRDefault="00C21348" w:rsidP="000069F2">
      <w:pPr>
        <w:tabs>
          <w:tab w:val="right" w:pos="9073"/>
        </w:tabs>
        <w:spacing w:line="276" w:lineRule="auto"/>
        <w:jc w:val="both"/>
      </w:pPr>
      <w:r w:rsidRPr="002B0888">
        <w:t xml:space="preserve">bankszámlaszáma: </w:t>
      </w:r>
      <w:r w:rsidR="0008431D" w:rsidRPr="002B0888">
        <w:t>11749039-15432429</w:t>
      </w:r>
      <w:r w:rsidR="007A75F4">
        <w:tab/>
      </w:r>
    </w:p>
    <w:p w:rsidR="000E1021" w:rsidRPr="002B0888" w:rsidRDefault="000E1021" w:rsidP="000069F2">
      <w:pPr>
        <w:spacing w:line="276" w:lineRule="auto"/>
        <w:jc w:val="both"/>
        <w:rPr>
          <w:b/>
        </w:rPr>
      </w:pPr>
      <w:r w:rsidRPr="002B0888">
        <w:t xml:space="preserve">KSH statisztikai számjele: </w:t>
      </w:r>
      <w:r w:rsidR="0008431D" w:rsidRPr="002B0888">
        <w:t>15734374-8411-321-20</w:t>
      </w:r>
    </w:p>
    <w:p w:rsidR="00941FE3" w:rsidRDefault="00C21348" w:rsidP="000069F2">
      <w:pPr>
        <w:spacing w:line="276" w:lineRule="auto"/>
        <w:jc w:val="both"/>
      </w:pPr>
      <w:r w:rsidRPr="00610D24">
        <w:t xml:space="preserve">mint Átadó (a továbbiakban: </w:t>
      </w:r>
      <w:r w:rsidRPr="00610D24">
        <w:rPr>
          <w:b/>
        </w:rPr>
        <w:t>Önkormányzat</w:t>
      </w:r>
      <w:r w:rsidRPr="00B353D4">
        <w:t xml:space="preserve">), </w:t>
      </w:r>
      <w:r w:rsidR="00941FE3">
        <w:t>valamint a</w:t>
      </w:r>
    </w:p>
    <w:p w:rsidR="00481A67" w:rsidRPr="00941FE3" w:rsidRDefault="00481A67" w:rsidP="000069F2">
      <w:pPr>
        <w:spacing w:line="276" w:lineRule="auto"/>
        <w:jc w:val="both"/>
        <w:rPr>
          <w:b/>
          <w:color w:val="FF0000"/>
        </w:rPr>
      </w:pPr>
    </w:p>
    <w:p w:rsidR="00C21348" w:rsidRPr="00B353D4" w:rsidRDefault="00A36127" w:rsidP="000069F2">
      <w:pPr>
        <w:spacing w:line="276" w:lineRule="auto"/>
        <w:jc w:val="both"/>
        <w:rPr>
          <w:b/>
        </w:rPr>
      </w:pPr>
      <w:r>
        <w:rPr>
          <w:b/>
        </w:rPr>
        <w:t>Nagykanizsai</w:t>
      </w:r>
      <w:r w:rsidR="00481A67" w:rsidRPr="00632F77">
        <w:rPr>
          <w:b/>
        </w:rPr>
        <w:t xml:space="preserve"> </w:t>
      </w:r>
      <w:r w:rsidR="00C21348" w:rsidRPr="00632F77">
        <w:rPr>
          <w:b/>
        </w:rPr>
        <w:t>Tankerületi Központ</w:t>
      </w:r>
    </w:p>
    <w:p w:rsidR="00C21348" w:rsidRPr="00B353D4" w:rsidRDefault="00C21348" w:rsidP="000069F2">
      <w:pPr>
        <w:spacing w:line="276" w:lineRule="auto"/>
        <w:jc w:val="both"/>
      </w:pPr>
      <w:r w:rsidRPr="00B353D4">
        <w:t xml:space="preserve">székhelye: </w:t>
      </w:r>
      <w:r w:rsidR="00A36127">
        <w:t>8800 Nagykanizsa, Vécsey u. 6.</w:t>
      </w:r>
    </w:p>
    <w:p w:rsidR="00C21348" w:rsidRPr="00B353D4" w:rsidRDefault="00C21348" w:rsidP="000069F2">
      <w:pPr>
        <w:spacing w:line="276" w:lineRule="auto"/>
        <w:jc w:val="both"/>
      </w:pPr>
      <w:r w:rsidRPr="00B353D4">
        <w:t xml:space="preserve">képviseli: </w:t>
      </w:r>
      <w:r w:rsidR="00A36127">
        <w:t>Magyar Ferenc T</w:t>
      </w:r>
      <w:r w:rsidRPr="00B353D4">
        <w:t xml:space="preserve">ankerületi </w:t>
      </w:r>
      <w:r w:rsidR="00A36127">
        <w:t>K</w:t>
      </w:r>
      <w:r w:rsidR="00481A67">
        <w:t xml:space="preserve">özpont </w:t>
      </w:r>
      <w:r w:rsidRPr="00B353D4">
        <w:t xml:space="preserve">igazgató </w:t>
      </w:r>
    </w:p>
    <w:p w:rsidR="00417A99" w:rsidRPr="00417A99" w:rsidRDefault="00417A99" w:rsidP="000069F2">
      <w:pPr>
        <w:spacing w:line="276" w:lineRule="auto"/>
        <w:jc w:val="both"/>
      </w:pPr>
      <w:r w:rsidRPr="00417A99">
        <w:t>adóigazgatási azonosító száma: 15835327-2-20</w:t>
      </w:r>
    </w:p>
    <w:p w:rsidR="00417A99" w:rsidRPr="00417A99" w:rsidRDefault="00417A99" w:rsidP="000069F2">
      <w:pPr>
        <w:spacing w:line="276" w:lineRule="auto"/>
        <w:jc w:val="both"/>
      </w:pPr>
      <w:r w:rsidRPr="00417A99">
        <w:t>Előirányzat-felhasználási keretszámla száma: 10049006-00336963-00000000</w:t>
      </w:r>
    </w:p>
    <w:p w:rsidR="00417A99" w:rsidRPr="00417A99" w:rsidRDefault="00417A99" w:rsidP="000069F2">
      <w:pPr>
        <w:spacing w:line="276" w:lineRule="auto"/>
        <w:jc w:val="both"/>
      </w:pPr>
      <w:r w:rsidRPr="00417A99">
        <w:t>ÁHT azonosítója: 361773</w:t>
      </w:r>
    </w:p>
    <w:p w:rsidR="00417A99" w:rsidRPr="00417A99" w:rsidRDefault="00417A99" w:rsidP="000069F2">
      <w:pPr>
        <w:spacing w:line="276" w:lineRule="auto"/>
        <w:jc w:val="both"/>
      </w:pPr>
      <w:r w:rsidRPr="00417A99">
        <w:t>KSH statisztikai számjele: 15835327-8412-312-20</w:t>
      </w:r>
    </w:p>
    <w:p w:rsidR="00EA7880" w:rsidRDefault="00941FE3" w:rsidP="000069F2">
      <w:pPr>
        <w:spacing w:line="276" w:lineRule="auto"/>
        <w:jc w:val="both"/>
      </w:pPr>
      <w:r>
        <w:t>mint Á</w:t>
      </w:r>
      <w:r w:rsidR="00C21348" w:rsidRPr="00B353D4">
        <w:t xml:space="preserve">tvevő (a továbbiakban: </w:t>
      </w:r>
      <w:r w:rsidR="00C21348" w:rsidRPr="00B353D4">
        <w:rPr>
          <w:b/>
        </w:rPr>
        <w:t>Átvevő</w:t>
      </w:r>
      <w:r w:rsidR="00C21348" w:rsidRPr="00B353D4">
        <w:t xml:space="preserve">) </w:t>
      </w:r>
    </w:p>
    <w:p w:rsidR="000069F2" w:rsidRDefault="000069F2" w:rsidP="000069F2">
      <w:pPr>
        <w:spacing w:line="276" w:lineRule="auto"/>
        <w:jc w:val="both"/>
      </w:pPr>
    </w:p>
    <w:p w:rsidR="00C21348" w:rsidRDefault="00C21348" w:rsidP="000069F2">
      <w:pPr>
        <w:spacing w:line="276" w:lineRule="auto"/>
      </w:pPr>
      <w:r w:rsidRPr="00610D24">
        <w:t xml:space="preserve">(a továbbiakban együtt: </w:t>
      </w:r>
      <w:r w:rsidRPr="00610D24">
        <w:rPr>
          <w:b/>
        </w:rPr>
        <w:t>Felek</w:t>
      </w:r>
      <w:r w:rsidRPr="00610D24">
        <w:t>) között alulírott helyen és napon a következő feltételekkel:</w:t>
      </w:r>
    </w:p>
    <w:p w:rsidR="000069F2" w:rsidRDefault="000069F2" w:rsidP="000069F2">
      <w:pPr>
        <w:spacing w:line="276" w:lineRule="auto"/>
      </w:pPr>
    </w:p>
    <w:p w:rsidR="00481A67" w:rsidRDefault="00481A67" w:rsidP="000069F2">
      <w:pPr>
        <w:pStyle w:val="Szvegtrzs"/>
        <w:spacing w:after="0" w:line="276" w:lineRule="auto"/>
        <w:rPr>
          <w:b/>
        </w:rPr>
      </w:pPr>
    </w:p>
    <w:p w:rsidR="00C21348" w:rsidRPr="00A71D5F" w:rsidRDefault="00C21348" w:rsidP="000069F2">
      <w:pPr>
        <w:pStyle w:val="Szvegtrzs"/>
        <w:spacing w:after="0" w:line="276" w:lineRule="auto"/>
        <w:jc w:val="center"/>
        <w:rPr>
          <w:b/>
          <w:sz w:val="26"/>
          <w:szCs w:val="26"/>
        </w:rPr>
      </w:pPr>
      <w:r w:rsidRPr="00A71D5F">
        <w:rPr>
          <w:b/>
          <w:sz w:val="26"/>
          <w:szCs w:val="26"/>
        </w:rPr>
        <w:t>ELŐZMÉNYEK</w:t>
      </w:r>
    </w:p>
    <w:p w:rsidR="00C21348" w:rsidRDefault="00C21348" w:rsidP="000069F2">
      <w:pPr>
        <w:spacing w:line="276" w:lineRule="auto"/>
        <w:jc w:val="both"/>
      </w:pPr>
    </w:p>
    <w:p w:rsidR="00481A67" w:rsidRDefault="00BC4F09" w:rsidP="000069F2">
      <w:pPr>
        <w:spacing w:line="276" w:lineRule="auto"/>
        <w:jc w:val="both"/>
      </w:pPr>
      <w:r>
        <w:t>„</w:t>
      </w:r>
      <w:r w:rsidR="00C21348" w:rsidRPr="00610D24">
        <w:t>A nemzeti köznevelésről</w:t>
      </w:r>
      <w:r>
        <w:t>”</w:t>
      </w:r>
      <w:r w:rsidR="00C21348" w:rsidRPr="00610D24">
        <w:t xml:space="preserve"> szóló 2011. évi CXC. törvény (a továbbiakban: </w:t>
      </w:r>
      <w:proofErr w:type="spellStart"/>
      <w:r w:rsidR="00C21348" w:rsidRPr="00610D24">
        <w:t>Nkt</w:t>
      </w:r>
      <w:proofErr w:type="spellEnd"/>
      <w:r w:rsidR="00C21348" w:rsidRPr="00610D24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:rsidR="00A71D5F" w:rsidRDefault="00A71D5F" w:rsidP="000069F2">
      <w:pPr>
        <w:spacing w:line="276" w:lineRule="auto"/>
        <w:jc w:val="both"/>
      </w:pPr>
    </w:p>
    <w:p w:rsidR="00C21348" w:rsidRPr="00BE2227" w:rsidRDefault="00EC55C0" w:rsidP="000069F2">
      <w:pPr>
        <w:spacing w:line="276" w:lineRule="auto"/>
        <w:jc w:val="both"/>
      </w:pPr>
      <w:r>
        <w:t xml:space="preserve">Az </w:t>
      </w:r>
      <w:proofErr w:type="spellStart"/>
      <w:r w:rsidR="00C21348" w:rsidRPr="00BE2227">
        <w:t>Nkt</w:t>
      </w:r>
      <w:proofErr w:type="spellEnd"/>
      <w:r w:rsidR="00C21348" w:rsidRPr="00BE2227">
        <w:t xml:space="preserve">. </w:t>
      </w:r>
      <w:r w:rsidRPr="00BE2227">
        <w:t xml:space="preserve">2017. január 1. napjától hatályos </w:t>
      </w:r>
      <w:r w:rsidR="00C21348" w:rsidRPr="00BE2227">
        <w:t xml:space="preserve">74. § (4) bekezdése alapján a tankerületi központ által fenntartott köznevelési intézmény feladatainak ellátását szolgáló, települési önkormányzati tulajdonú ingatlan és ingó vagyonra vonatkozóan a tankerületi központot ingyenes vagyonkezelői jog illeti meg mindaddig, amíg a köznevelési közfeladat a tankerületi központ részéről történő ellátása az adott ingatlanban meg nem szűnik. </w:t>
      </w:r>
    </w:p>
    <w:p w:rsidR="00481A67" w:rsidRDefault="00481A67" w:rsidP="000069F2">
      <w:pPr>
        <w:spacing w:line="276" w:lineRule="auto"/>
        <w:jc w:val="both"/>
      </w:pPr>
    </w:p>
    <w:p w:rsidR="00C21348" w:rsidRPr="00610D24" w:rsidRDefault="00C21348" w:rsidP="000069F2">
      <w:pPr>
        <w:spacing w:line="276" w:lineRule="auto"/>
        <w:jc w:val="both"/>
      </w:pPr>
      <w:r w:rsidRPr="00610D24">
        <w:t xml:space="preserve">Az </w:t>
      </w:r>
      <w:proofErr w:type="spellStart"/>
      <w:r w:rsidRPr="00610D24">
        <w:t>Nkt</w:t>
      </w:r>
      <w:proofErr w:type="spellEnd"/>
      <w:r w:rsidRPr="00610D24">
        <w:t>. 99/G. § (1) bekezdése értelmében a tankerületi központ által fenntartott, települési önkormányzat által működt</w:t>
      </w:r>
      <w:r>
        <w:t xml:space="preserve">etett köznevelési intézmény 76. </w:t>
      </w:r>
      <w:r w:rsidRPr="00610D24">
        <w:t>§-ban meghatározott működtetésével kapcsolatos jogviszonyokból származó jogok és kötelezettségek a tankerületi központot 2017. január 1-jétől illetik meg, illetve terhelik.</w:t>
      </w:r>
    </w:p>
    <w:p w:rsidR="00481A67" w:rsidRDefault="00481A67" w:rsidP="000069F2">
      <w:pPr>
        <w:spacing w:line="276" w:lineRule="auto"/>
        <w:jc w:val="both"/>
      </w:pPr>
    </w:p>
    <w:p w:rsidR="00481A67" w:rsidRDefault="00C21348" w:rsidP="000069F2">
      <w:pPr>
        <w:spacing w:line="276" w:lineRule="auto"/>
        <w:jc w:val="both"/>
      </w:pPr>
      <w:r w:rsidRPr="00610D24">
        <w:t xml:space="preserve">Az </w:t>
      </w:r>
      <w:proofErr w:type="spellStart"/>
      <w:r w:rsidRPr="00610D24">
        <w:t>Nkt</w:t>
      </w:r>
      <w:proofErr w:type="spellEnd"/>
      <w:r w:rsidRPr="00610D24">
        <w:t xml:space="preserve">. 99/H. § (1) bekezdése szerint 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</w:t>
      </w:r>
      <w:proofErr w:type="spellStart"/>
      <w:r w:rsidRPr="00610D24">
        <w:t>kerül</w:t>
      </w:r>
      <w:r w:rsidR="00A71D5F">
        <w:t>T</w:t>
      </w:r>
      <w:proofErr w:type="spellEnd"/>
      <w:r w:rsidRPr="00610D24">
        <w:t xml:space="preserve">. </w:t>
      </w:r>
    </w:p>
    <w:p w:rsidR="00481A67" w:rsidRDefault="00481A67" w:rsidP="000069F2">
      <w:pPr>
        <w:spacing w:line="276" w:lineRule="auto"/>
        <w:jc w:val="both"/>
      </w:pPr>
    </w:p>
    <w:p w:rsidR="00C21348" w:rsidRDefault="00C21348" w:rsidP="000069F2">
      <w:pPr>
        <w:spacing w:line="276" w:lineRule="auto"/>
        <w:jc w:val="both"/>
      </w:pPr>
      <w:r w:rsidRPr="00610D24">
        <w:t>A köznevelési feladat ellátását biztosító vagyon alatt az ellátott köznevelési feladathoz kapcsolódó valamennyi jogot és kötelezettséget, valamint ingó és ingatlan vagyont is érteni kell.</w:t>
      </w:r>
    </w:p>
    <w:p w:rsidR="00481A67" w:rsidRDefault="00481A67" w:rsidP="000069F2">
      <w:pPr>
        <w:spacing w:line="276" w:lineRule="auto"/>
        <w:jc w:val="both"/>
      </w:pPr>
    </w:p>
    <w:p w:rsidR="00C21348" w:rsidRPr="009B568E" w:rsidRDefault="00C21348" w:rsidP="000069F2">
      <w:pPr>
        <w:spacing w:line="276" w:lineRule="auto"/>
        <w:jc w:val="both"/>
      </w:pPr>
      <w:r w:rsidRPr="009B568E">
        <w:t xml:space="preserve">Felek az </w:t>
      </w:r>
      <w:proofErr w:type="spellStart"/>
      <w:r w:rsidRPr="009B568E">
        <w:t>Nkt</w:t>
      </w:r>
      <w:proofErr w:type="spellEnd"/>
      <w:r w:rsidRPr="009B568E">
        <w:t>. 99/H. § (3) bekezdése alapján átadás-átvételi megállapodást köt</w:t>
      </w:r>
      <w:r w:rsidR="00A71D5F">
        <w:t>ött</w:t>
      </w:r>
      <w:r w:rsidRPr="009B568E">
        <w:t>ek, melyben meghatároz</w:t>
      </w:r>
      <w:r w:rsidR="00A71D5F">
        <w:t>t</w:t>
      </w:r>
      <w:r w:rsidRPr="009B568E">
        <w:t xml:space="preserve">ák az Átvevő ingyenes vagyonkezelésébe kerülő ingó és ingatlan vagyonelemek körét. </w:t>
      </w:r>
    </w:p>
    <w:p w:rsidR="00481A67" w:rsidRDefault="00481A67" w:rsidP="000069F2">
      <w:pPr>
        <w:spacing w:line="276" w:lineRule="auto"/>
        <w:jc w:val="both"/>
      </w:pPr>
    </w:p>
    <w:p w:rsidR="00C21348" w:rsidRDefault="00C21348" w:rsidP="000069F2">
      <w:pPr>
        <w:spacing w:line="276" w:lineRule="auto"/>
        <w:jc w:val="both"/>
      </w:pPr>
      <w:r w:rsidRPr="00610D24">
        <w:t xml:space="preserve">A szerződés tárgyát képező vagyonelemek vagyonkezelői joga gyakorlásának szabályait a Felek </w:t>
      </w:r>
      <w:r w:rsidR="00A71D5F">
        <w:t>a 2016. december 06. napján kelt vagyonkezelési szerződésben határozták meg.</w:t>
      </w:r>
    </w:p>
    <w:p w:rsidR="000069F2" w:rsidRDefault="000069F2" w:rsidP="000069F2">
      <w:pPr>
        <w:spacing w:line="276" w:lineRule="auto"/>
        <w:jc w:val="both"/>
      </w:pPr>
    </w:p>
    <w:p w:rsidR="00A71D5F" w:rsidRDefault="00A71D5F" w:rsidP="000069F2">
      <w:pPr>
        <w:spacing w:line="276" w:lineRule="auto"/>
        <w:jc w:val="both"/>
      </w:pPr>
    </w:p>
    <w:p w:rsidR="00A71D5F" w:rsidRPr="00A71D5F" w:rsidRDefault="00A71D5F" w:rsidP="000069F2">
      <w:pPr>
        <w:spacing w:line="276" w:lineRule="auto"/>
        <w:jc w:val="center"/>
        <w:rPr>
          <w:b/>
          <w:sz w:val="26"/>
          <w:szCs w:val="26"/>
        </w:rPr>
      </w:pPr>
      <w:r w:rsidRPr="00A71D5F">
        <w:rPr>
          <w:b/>
          <w:sz w:val="26"/>
          <w:szCs w:val="26"/>
        </w:rPr>
        <w:t>A SZERZŐDÉS TÁRGYA</w:t>
      </w:r>
    </w:p>
    <w:p w:rsidR="00A71D5F" w:rsidRDefault="00A71D5F" w:rsidP="000069F2">
      <w:pPr>
        <w:spacing w:line="276" w:lineRule="auto"/>
        <w:jc w:val="both"/>
        <w:rPr>
          <w:b/>
        </w:rPr>
      </w:pPr>
    </w:p>
    <w:p w:rsidR="00A71D5F" w:rsidRPr="000938AF" w:rsidRDefault="00A71D5F" w:rsidP="000069F2">
      <w:pPr>
        <w:spacing w:line="276" w:lineRule="auto"/>
        <w:jc w:val="both"/>
        <w:rPr>
          <w:b/>
        </w:rPr>
      </w:pPr>
      <w:bookmarkStart w:id="0" w:name="_Hlk173324129"/>
      <w:r w:rsidRPr="000938AF">
        <w:t>Hévíz Város Önkormányzat Képviselő-testülete</w:t>
      </w:r>
      <w:r>
        <w:t xml:space="preserve"> a 193/2023. (XI. 30.) számú határozatában akként döntött, hogy</w:t>
      </w:r>
      <w:r w:rsidRPr="000938AF">
        <w:t xml:space="preserve"> az önkormányzat és a Nagykanizsai Tankerületi Központ között 2016. december 06. napján a</w:t>
      </w:r>
    </w:p>
    <w:p w:rsidR="00A71D5F" w:rsidRPr="000069F2" w:rsidRDefault="00A71D5F" w:rsidP="000069F2">
      <w:pPr>
        <w:pStyle w:val="Listaszerbekezds"/>
        <w:numPr>
          <w:ilvl w:val="0"/>
          <w:numId w:val="10"/>
        </w:numPr>
        <w:spacing w:line="276" w:lineRule="auto"/>
        <w:jc w:val="both"/>
        <w:rPr>
          <w:b/>
        </w:rPr>
      </w:pPr>
      <w:r w:rsidRPr="000938AF">
        <w:t>az Illyés Gyula Általános Iskola sportcsarnoka</w:t>
      </w:r>
      <w:r>
        <w:t xml:space="preserve"> (Hévíz 1089/1. hrsz.)</w:t>
      </w:r>
      <w:r w:rsidRPr="000938AF">
        <w:t xml:space="preserve">, </w:t>
      </w:r>
    </w:p>
    <w:p w:rsidR="00A71D5F" w:rsidRPr="000069F2" w:rsidRDefault="00A71D5F" w:rsidP="000069F2">
      <w:pPr>
        <w:pStyle w:val="Listaszerbekezds"/>
        <w:numPr>
          <w:ilvl w:val="0"/>
          <w:numId w:val="10"/>
        </w:numPr>
        <w:spacing w:line="276" w:lineRule="auto"/>
        <w:jc w:val="both"/>
        <w:rPr>
          <w:b/>
        </w:rPr>
      </w:pPr>
      <w:r w:rsidRPr="000938AF">
        <w:t>a Bibó István Gimnázium kollégiuma</w:t>
      </w:r>
      <w:r>
        <w:t xml:space="preserve"> (Hévíz 1070. hrsz.)</w:t>
      </w:r>
      <w:r w:rsidRPr="000938AF">
        <w:t>,</w:t>
      </w:r>
    </w:p>
    <w:p w:rsidR="00A71D5F" w:rsidRPr="000069F2" w:rsidRDefault="00A71D5F" w:rsidP="000069F2">
      <w:pPr>
        <w:pStyle w:val="Listaszerbekezds"/>
        <w:numPr>
          <w:ilvl w:val="0"/>
          <w:numId w:val="10"/>
        </w:numPr>
        <w:spacing w:line="276" w:lineRule="auto"/>
        <w:jc w:val="both"/>
        <w:rPr>
          <w:b/>
        </w:rPr>
      </w:pPr>
      <w:r w:rsidRPr="000938AF">
        <w:t>Bibó István Gimnázium sportcsarnoka</w:t>
      </w:r>
      <w:r>
        <w:t xml:space="preserve"> (Hévíz 1403/2/A/2. hrsz.)</w:t>
      </w:r>
      <w:r w:rsidRPr="000938AF">
        <w:t xml:space="preserve">, valamint a </w:t>
      </w:r>
    </w:p>
    <w:p w:rsidR="00A71D5F" w:rsidRPr="000069F2" w:rsidRDefault="00A71D5F" w:rsidP="000069F2">
      <w:pPr>
        <w:pStyle w:val="Listaszerbekezds"/>
        <w:numPr>
          <w:ilvl w:val="0"/>
          <w:numId w:val="10"/>
        </w:numPr>
        <w:spacing w:line="276" w:lineRule="auto"/>
        <w:jc w:val="both"/>
        <w:rPr>
          <w:b/>
        </w:rPr>
      </w:pPr>
      <w:r w:rsidRPr="000938AF">
        <w:t>Bibó István Gimnázium Vörösmarty utcai épülete</w:t>
      </w:r>
      <w:r>
        <w:t xml:space="preserve"> (Hévíz 1403/1. hrsz.)</w:t>
      </w:r>
      <w:r w:rsidRPr="000938AF">
        <w:t xml:space="preserve">  </w:t>
      </w:r>
    </w:p>
    <w:p w:rsidR="00A71D5F" w:rsidRDefault="00A71D5F" w:rsidP="000069F2">
      <w:pPr>
        <w:spacing w:line="276" w:lineRule="auto"/>
        <w:jc w:val="both"/>
        <w:rPr>
          <w:b/>
        </w:rPr>
      </w:pPr>
      <w:r w:rsidRPr="000938AF">
        <w:t xml:space="preserve">vonatkozásában létrejött használati szerződés és az ehhez kapcsolódó közüzemi költségek megosztására vonatkozó 2024. </w:t>
      </w:r>
      <w:r>
        <w:t>június 30</w:t>
      </w:r>
      <w:r w:rsidRPr="000938AF">
        <w:t>. napjá</w:t>
      </w:r>
      <w:r>
        <w:t>val felmondja.</w:t>
      </w:r>
      <w:r w:rsidRPr="000938AF">
        <w:t xml:space="preserve"> </w:t>
      </w:r>
      <w:r>
        <w:t>A Képviselő-testület a 62/2024. (IV. 26.) számú határozatában a döntését a szerződések közös megállapodással történő megszűntetésére módosította 2024. augusztus 31.-ei hatállyal.</w:t>
      </w:r>
    </w:p>
    <w:bookmarkEnd w:id="0"/>
    <w:p w:rsidR="00A71D5F" w:rsidRDefault="00A71D5F" w:rsidP="000069F2">
      <w:pPr>
        <w:spacing w:line="276" w:lineRule="auto"/>
        <w:jc w:val="both"/>
      </w:pPr>
    </w:p>
    <w:p w:rsidR="00A71D5F" w:rsidRPr="004604B6" w:rsidRDefault="00A71D5F" w:rsidP="000069F2">
      <w:pPr>
        <w:spacing w:line="276" w:lineRule="auto"/>
        <w:jc w:val="both"/>
        <w:outlineLvl w:val="0"/>
      </w:pPr>
      <w:r>
        <w:t>Fentieknek megfelelően a 2016. december 06. napján kelt vagyonkezelési szerződés kiegészítésre kerül a Képviselő-testületi határozatokban nevezett ingatlanokkal. Szerződő felek közös akaratnyilvánítással kijelentik, hogy</w:t>
      </w:r>
      <w:r w:rsidRPr="00075541">
        <w:t xml:space="preserve"> a nevezett ingatlanok az Átvevő kizárólagos vagyonkezelésébe kerülnek</w:t>
      </w:r>
      <w:r w:rsidRPr="004604B6">
        <w:t>.</w:t>
      </w:r>
    </w:p>
    <w:p w:rsidR="00A71D5F" w:rsidRDefault="00A71D5F" w:rsidP="000069F2">
      <w:pPr>
        <w:spacing w:line="276" w:lineRule="auto"/>
        <w:jc w:val="both"/>
        <w:outlineLvl w:val="0"/>
      </w:pPr>
    </w:p>
    <w:p w:rsidR="00A71D5F" w:rsidRDefault="00A71D5F" w:rsidP="000069F2">
      <w:pPr>
        <w:spacing w:line="276" w:lineRule="auto"/>
        <w:jc w:val="both"/>
        <w:outlineLvl w:val="0"/>
      </w:pPr>
      <w:r w:rsidRPr="00075541">
        <w:t xml:space="preserve">Szerződő felek kijelentik, hogy Átvevő az ingatlanokat </w:t>
      </w:r>
      <w:r>
        <w:t>eddig is</w:t>
      </w:r>
      <w:r w:rsidRPr="00075541">
        <w:t xml:space="preserve"> feladatellátásához folyamatosan használta</w:t>
      </w:r>
      <w:r>
        <w:t>, ezért az ingatlanok külön eljárásban történő átadása nem szükséges.</w:t>
      </w:r>
    </w:p>
    <w:p w:rsidR="00A71D5F" w:rsidRDefault="00A71D5F" w:rsidP="000069F2">
      <w:pPr>
        <w:spacing w:line="276" w:lineRule="auto"/>
        <w:jc w:val="both"/>
        <w:outlineLvl w:val="0"/>
      </w:pPr>
    </w:p>
    <w:p w:rsidR="00A71D5F" w:rsidRDefault="00A71D5F" w:rsidP="000069F2">
      <w:pPr>
        <w:spacing w:line="276" w:lineRule="auto"/>
        <w:jc w:val="both"/>
        <w:outlineLvl w:val="0"/>
      </w:pPr>
      <w:r>
        <w:t xml:space="preserve">Szerződő felek megállapodnak, hogy a 2016. december 06. napján kelt vagyonkezelési szerződés kiegészítésre </w:t>
      </w:r>
      <w:r w:rsidR="000069F2">
        <w:t xml:space="preserve">kerül a következő ingatlanokkal, </w:t>
      </w:r>
      <w:r w:rsidR="000069F2" w:rsidRPr="000F0EA5">
        <w:t xml:space="preserve">így a </w:t>
      </w:r>
      <w:proofErr w:type="gramStart"/>
      <w:r w:rsidR="000069F2" w:rsidRPr="000F0EA5">
        <w:t>II./</w:t>
      </w:r>
      <w:proofErr w:type="gramEnd"/>
      <w:r w:rsidR="000069F2" w:rsidRPr="000F0EA5">
        <w:t>1. pontban foglalt táblázat az alábbiak szerint módosul:</w:t>
      </w:r>
    </w:p>
    <w:p w:rsidR="000069F2" w:rsidRDefault="000069F2" w:rsidP="000069F2">
      <w:pPr>
        <w:spacing w:line="276" w:lineRule="auto"/>
        <w:jc w:val="both"/>
        <w:outlineLvl w:val="0"/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050"/>
        <w:gridCol w:w="1573"/>
        <w:gridCol w:w="2740"/>
      </w:tblGrid>
      <w:tr w:rsidR="001A0B27" w:rsidRPr="00B6503C" w:rsidTr="00DA059E">
        <w:trPr>
          <w:trHeight w:val="255"/>
          <w:jc w:val="center"/>
        </w:trPr>
        <w:tc>
          <w:tcPr>
            <w:tcW w:w="846" w:type="dxa"/>
            <w:vAlign w:val="center"/>
          </w:tcPr>
          <w:p w:rsidR="001A0B27" w:rsidRPr="00B6503C" w:rsidRDefault="001A0B27" w:rsidP="000069F2">
            <w:pPr>
              <w:spacing w:line="276" w:lineRule="auto"/>
              <w:jc w:val="center"/>
              <w:rPr>
                <w:b/>
              </w:rPr>
            </w:pPr>
            <w:r w:rsidRPr="00B6503C">
              <w:rPr>
                <w:b/>
              </w:rPr>
              <w:lastRenderedPageBreak/>
              <w:t>Sor szám</w:t>
            </w:r>
          </w:p>
        </w:tc>
        <w:tc>
          <w:tcPr>
            <w:tcW w:w="4050" w:type="dxa"/>
            <w:shd w:val="clear" w:color="auto" w:fill="auto"/>
          </w:tcPr>
          <w:p w:rsidR="001A0B27" w:rsidRPr="00B6503C" w:rsidRDefault="001A0B27" w:rsidP="000069F2">
            <w:pPr>
              <w:spacing w:line="276" w:lineRule="auto"/>
              <w:jc w:val="center"/>
              <w:rPr>
                <w:b/>
              </w:rPr>
            </w:pPr>
            <w:r w:rsidRPr="00B6503C">
              <w:rPr>
                <w:b/>
              </w:rPr>
              <w:t>Ingatlan címe (irányítószám település, cím)</w:t>
            </w:r>
          </w:p>
        </w:tc>
        <w:tc>
          <w:tcPr>
            <w:tcW w:w="1573" w:type="dxa"/>
          </w:tcPr>
          <w:p w:rsidR="001A0B27" w:rsidRPr="00B6503C" w:rsidRDefault="001A0B27" w:rsidP="000069F2">
            <w:pPr>
              <w:spacing w:line="276" w:lineRule="auto"/>
              <w:jc w:val="center"/>
              <w:rPr>
                <w:b/>
              </w:rPr>
            </w:pPr>
            <w:r w:rsidRPr="00B6503C">
              <w:rPr>
                <w:b/>
              </w:rPr>
              <w:t>Helyrajzi szám</w:t>
            </w:r>
          </w:p>
        </w:tc>
        <w:tc>
          <w:tcPr>
            <w:tcW w:w="2740" w:type="dxa"/>
          </w:tcPr>
          <w:p w:rsidR="001A0B27" w:rsidRPr="00B6503C" w:rsidRDefault="001A0B27" w:rsidP="000069F2">
            <w:pPr>
              <w:spacing w:line="276" w:lineRule="auto"/>
              <w:jc w:val="center"/>
              <w:rPr>
                <w:b/>
              </w:rPr>
            </w:pPr>
            <w:r w:rsidRPr="00B6503C">
              <w:rPr>
                <w:b/>
              </w:rPr>
              <w:t>Érintett köznevelési intézmény neve</w:t>
            </w:r>
          </w:p>
        </w:tc>
      </w:tr>
      <w:tr w:rsidR="001A0B27" w:rsidRPr="00B6503C" w:rsidTr="00DA059E">
        <w:trPr>
          <w:trHeight w:val="255"/>
          <w:jc w:val="center"/>
        </w:trPr>
        <w:tc>
          <w:tcPr>
            <w:tcW w:w="846" w:type="dxa"/>
            <w:vAlign w:val="center"/>
          </w:tcPr>
          <w:p w:rsidR="001A0B27" w:rsidRPr="00B6503C" w:rsidRDefault="001A0B27" w:rsidP="000069F2">
            <w:pPr>
              <w:spacing w:line="276" w:lineRule="auto"/>
              <w:jc w:val="center"/>
            </w:pPr>
            <w:r w:rsidRPr="00B6503C">
              <w:t>1.</w:t>
            </w:r>
          </w:p>
        </w:tc>
        <w:tc>
          <w:tcPr>
            <w:tcW w:w="4050" w:type="dxa"/>
            <w:shd w:val="clear" w:color="auto" w:fill="auto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8380 Hévíz, Kossuth Lajos u. 2. 1. ajtó</w:t>
            </w:r>
          </w:p>
        </w:tc>
        <w:tc>
          <w:tcPr>
            <w:tcW w:w="1573" w:type="dxa"/>
          </w:tcPr>
          <w:p w:rsidR="001A0B27" w:rsidRPr="00E9624B" w:rsidRDefault="001A0B27" w:rsidP="000069F2">
            <w:pPr>
              <w:spacing w:line="276" w:lineRule="auto"/>
              <w:jc w:val="center"/>
            </w:pPr>
            <w:r w:rsidRPr="00E9624B">
              <w:t>1089/1.</w:t>
            </w:r>
          </w:p>
        </w:tc>
        <w:tc>
          <w:tcPr>
            <w:tcW w:w="2740" w:type="dxa"/>
          </w:tcPr>
          <w:p w:rsidR="001A0B27" w:rsidRPr="00E9624B" w:rsidRDefault="001A0B27" w:rsidP="000069F2">
            <w:pPr>
              <w:spacing w:line="276" w:lineRule="auto"/>
            </w:pPr>
            <w:bookmarkStart w:id="1" w:name="_Hlk173414152"/>
            <w:r w:rsidRPr="00E9624B">
              <w:t>Hévízi Illyés Gyula Általános Iskola és Alapfokú Művészeti Iskola</w:t>
            </w:r>
            <w:bookmarkEnd w:id="1"/>
          </w:p>
        </w:tc>
      </w:tr>
      <w:tr w:rsidR="001A0B27" w:rsidRPr="00B6503C" w:rsidTr="00DA059E">
        <w:trPr>
          <w:trHeight w:val="255"/>
          <w:jc w:val="center"/>
        </w:trPr>
        <w:tc>
          <w:tcPr>
            <w:tcW w:w="846" w:type="dxa"/>
            <w:vAlign w:val="center"/>
          </w:tcPr>
          <w:p w:rsidR="001A0B27" w:rsidRPr="00B6503C" w:rsidRDefault="001A0B27" w:rsidP="000069F2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4050" w:type="dxa"/>
            <w:shd w:val="clear" w:color="auto" w:fill="auto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8380 Hévíz,</w:t>
            </w:r>
            <w:r>
              <w:t xml:space="preserve"> Rózsa köz 7.</w:t>
            </w:r>
          </w:p>
        </w:tc>
        <w:tc>
          <w:tcPr>
            <w:tcW w:w="1573" w:type="dxa"/>
          </w:tcPr>
          <w:p w:rsidR="001A0B27" w:rsidRPr="00E9624B" w:rsidRDefault="001A0B27" w:rsidP="000069F2">
            <w:pPr>
              <w:spacing w:line="276" w:lineRule="auto"/>
              <w:jc w:val="center"/>
            </w:pPr>
            <w:r w:rsidRPr="00016B20">
              <w:t>1070.</w:t>
            </w:r>
          </w:p>
        </w:tc>
        <w:tc>
          <w:tcPr>
            <w:tcW w:w="2740" w:type="dxa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Hévízi Bibó István Gimnázium és Kollégium</w:t>
            </w:r>
            <w:r w:rsidRPr="00016B20">
              <w:t xml:space="preserve"> kollégiuma</w:t>
            </w:r>
          </w:p>
        </w:tc>
      </w:tr>
      <w:tr w:rsidR="001A0B27" w:rsidRPr="00B6503C" w:rsidTr="00DA059E">
        <w:trPr>
          <w:trHeight w:val="255"/>
          <w:jc w:val="center"/>
        </w:trPr>
        <w:tc>
          <w:tcPr>
            <w:tcW w:w="846" w:type="dxa"/>
            <w:vAlign w:val="center"/>
          </w:tcPr>
          <w:p w:rsidR="001A0B27" w:rsidRPr="00B6503C" w:rsidRDefault="001A0B27" w:rsidP="000069F2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4050" w:type="dxa"/>
            <w:shd w:val="clear" w:color="auto" w:fill="auto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 xml:space="preserve">8380 Hévíz, Park u. 9. </w:t>
            </w:r>
            <w:r>
              <w:t>2</w:t>
            </w:r>
            <w:r w:rsidRPr="00E9624B">
              <w:t>. ajtó</w:t>
            </w:r>
          </w:p>
        </w:tc>
        <w:tc>
          <w:tcPr>
            <w:tcW w:w="1573" w:type="dxa"/>
          </w:tcPr>
          <w:p w:rsidR="001A0B27" w:rsidRPr="00E9624B" w:rsidRDefault="001A0B27" w:rsidP="000069F2">
            <w:pPr>
              <w:spacing w:line="276" w:lineRule="auto"/>
              <w:jc w:val="center"/>
            </w:pPr>
            <w:r w:rsidRPr="00E9624B">
              <w:t>1403/2/A/</w:t>
            </w:r>
            <w:r>
              <w:t>2</w:t>
            </w:r>
            <w:r w:rsidRPr="00E9624B">
              <w:t>.</w:t>
            </w:r>
          </w:p>
        </w:tc>
        <w:tc>
          <w:tcPr>
            <w:tcW w:w="2740" w:type="dxa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Hévízi Bibó István Gimnázium és Kollégium</w:t>
            </w:r>
            <w:r w:rsidRPr="00016B20">
              <w:t xml:space="preserve"> sportcsarnoka</w:t>
            </w:r>
          </w:p>
        </w:tc>
      </w:tr>
      <w:tr w:rsidR="001A0B27" w:rsidRPr="00B6503C" w:rsidTr="00DA059E">
        <w:trPr>
          <w:trHeight w:val="255"/>
          <w:jc w:val="center"/>
        </w:trPr>
        <w:tc>
          <w:tcPr>
            <w:tcW w:w="846" w:type="dxa"/>
            <w:vAlign w:val="center"/>
          </w:tcPr>
          <w:p w:rsidR="001A0B27" w:rsidRPr="00B6503C" w:rsidRDefault="001A0B27" w:rsidP="000069F2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4050" w:type="dxa"/>
            <w:shd w:val="clear" w:color="auto" w:fill="auto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8380 Hévíz,</w:t>
            </w:r>
            <w:r>
              <w:t xml:space="preserve"> Vörösmarty u. 25.</w:t>
            </w:r>
          </w:p>
        </w:tc>
        <w:tc>
          <w:tcPr>
            <w:tcW w:w="1573" w:type="dxa"/>
          </w:tcPr>
          <w:p w:rsidR="001A0B27" w:rsidRPr="00E9624B" w:rsidRDefault="001A0B27" w:rsidP="000069F2">
            <w:pPr>
              <w:spacing w:line="276" w:lineRule="auto"/>
              <w:jc w:val="center"/>
            </w:pPr>
            <w:r w:rsidRPr="00016B20">
              <w:t>1403/1.</w:t>
            </w:r>
          </w:p>
        </w:tc>
        <w:tc>
          <w:tcPr>
            <w:tcW w:w="2740" w:type="dxa"/>
          </w:tcPr>
          <w:p w:rsidR="001A0B27" w:rsidRPr="00E9624B" w:rsidRDefault="001A0B27" w:rsidP="000069F2">
            <w:pPr>
              <w:spacing w:line="276" w:lineRule="auto"/>
            </w:pPr>
            <w:r w:rsidRPr="00E9624B">
              <w:t>Hévízi Bibó István Gimnázium és Kollégium</w:t>
            </w:r>
            <w:r w:rsidRPr="00016B20">
              <w:t xml:space="preserve"> Vörösmarty utcai épülete</w:t>
            </w:r>
          </w:p>
        </w:tc>
      </w:tr>
    </w:tbl>
    <w:p w:rsidR="00B1552D" w:rsidRDefault="00B1552D" w:rsidP="000069F2">
      <w:pPr>
        <w:spacing w:line="276" w:lineRule="auto"/>
        <w:jc w:val="both"/>
        <w:outlineLvl w:val="0"/>
      </w:pPr>
    </w:p>
    <w:p w:rsidR="00A71D5F" w:rsidRDefault="00A71D5F" w:rsidP="000069F2">
      <w:pPr>
        <w:spacing w:line="276" w:lineRule="auto"/>
        <w:jc w:val="both"/>
        <w:outlineLvl w:val="0"/>
      </w:pPr>
    </w:p>
    <w:p w:rsidR="00C21348" w:rsidRDefault="00C21348" w:rsidP="000069F2">
      <w:pPr>
        <w:spacing w:line="276" w:lineRule="auto"/>
        <w:jc w:val="both"/>
      </w:pPr>
      <w:r w:rsidRPr="00610D24">
        <w:t>A</w:t>
      </w:r>
      <w:r>
        <w:t xml:space="preserve">z Átvevő </w:t>
      </w:r>
      <w:r w:rsidR="00B1552D">
        <w:t>a jelen szerződésben</w:t>
      </w:r>
      <w:r w:rsidRPr="00610D24">
        <w:t xml:space="preserve"> meghatározott ingatlanokra vonatkozó vagyonkezelői jogát az ingatlan-nyilvántartásba bejegyezteti, melyhez az Önkormányzat </w:t>
      </w:r>
      <w:r w:rsidR="005B03BC">
        <w:t>feltétlen</w:t>
      </w:r>
      <w:r w:rsidR="005B03BC" w:rsidRPr="00610D24">
        <w:t xml:space="preserve"> </w:t>
      </w:r>
      <w:r w:rsidRPr="00610D24">
        <w:t>és visszavonhatatlan hozzájárulását adja. Felek megállapodnak, hogy a vagyonkezelői jog ingatlan-nyilvántartásba történő bejegyezéséről, valamint annak esetleges módosításáról, törléséről a</w:t>
      </w:r>
      <w:r>
        <w:t xml:space="preserve">z Átvevő </w:t>
      </w:r>
      <w:r w:rsidRPr="00610D24">
        <w:t>köteles gondoskodni, az ezzel kapcsolatosan felmerülő mindennemű költséget a</w:t>
      </w:r>
      <w:r>
        <w:t xml:space="preserve">z Átvevő </w:t>
      </w:r>
      <w:r w:rsidRPr="00610D24">
        <w:t>köteles viselni.</w:t>
      </w:r>
      <w:r w:rsidRPr="00B64FD6">
        <w:t xml:space="preserve"> </w:t>
      </w:r>
    </w:p>
    <w:p w:rsidR="00B1552D" w:rsidRDefault="00B1552D" w:rsidP="000069F2">
      <w:pPr>
        <w:spacing w:line="276" w:lineRule="auto"/>
        <w:jc w:val="both"/>
      </w:pPr>
    </w:p>
    <w:p w:rsidR="00B1552D" w:rsidRDefault="00B1552D" w:rsidP="000069F2">
      <w:pPr>
        <w:spacing w:line="276" w:lineRule="auto"/>
        <w:jc w:val="both"/>
      </w:pPr>
      <w:r>
        <w:t>Szerződő felek kijelentik, hogy a 2016. december 16. napján kelt vagyonkezelési szerződés egyéb, a jelen szerződéssel nem érintett pontjai változatlanul hatályban maradnak, és a jelen szerződésben meghatározott ingatlanokra is vonatkoznak.</w:t>
      </w:r>
    </w:p>
    <w:p w:rsidR="000069F2" w:rsidRDefault="000069F2" w:rsidP="000069F2">
      <w:pPr>
        <w:spacing w:line="276" w:lineRule="auto"/>
        <w:jc w:val="both"/>
      </w:pPr>
    </w:p>
    <w:p w:rsidR="00481A67" w:rsidRDefault="00481A67" w:rsidP="000069F2">
      <w:pPr>
        <w:pStyle w:val="Szvegtrzs"/>
        <w:spacing w:after="0" w:line="276" w:lineRule="auto"/>
        <w:jc w:val="center"/>
        <w:rPr>
          <w:b/>
        </w:rPr>
      </w:pPr>
    </w:p>
    <w:p w:rsidR="00481A67" w:rsidRPr="00A71D5F" w:rsidRDefault="00A71D5F" w:rsidP="000069F2">
      <w:pPr>
        <w:pStyle w:val="Szvegtrzs"/>
        <w:spacing w:after="0" w:line="276" w:lineRule="auto"/>
        <w:jc w:val="center"/>
        <w:rPr>
          <w:b/>
          <w:sz w:val="26"/>
          <w:szCs w:val="26"/>
        </w:rPr>
      </w:pPr>
      <w:r w:rsidRPr="00A71D5F">
        <w:rPr>
          <w:b/>
          <w:sz w:val="26"/>
          <w:szCs w:val="26"/>
        </w:rPr>
        <w:t>EGYÉB RENDELKEZÉSEK</w:t>
      </w:r>
    </w:p>
    <w:p w:rsidR="00A71D5F" w:rsidRPr="00610D24" w:rsidRDefault="00A71D5F" w:rsidP="000069F2">
      <w:pPr>
        <w:pStyle w:val="Szvegtrzs"/>
        <w:spacing w:after="0" w:line="276" w:lineRule="auto"/>
        <w:jc w:val="center"/>
        <w:rPr>
          <w:b/>
        </w:rPr>
      </w:pPr>
    </w:p>
    <w:p w:rsidR="00C21348" w:rsidRDefault="00C21348" w:rsidP="000069F2">
      <w:pPr>
        <w:numPr>
          <w:ilvl w:val="0"/>
          <w:numId w:val="3"/>
        </w:numPr>
        <w:spacing w:line="276" w:lineRule="auto"/>
        <w:ind w:left="709" w:hanging="709"/>
        <w:jc w:val="both"/>
      </w:pPr>
      <w:r w:rsidRPr="00610D24">
        <w:t>A szerződést a Felek írásban jogosultak módosítani vagy kiegészíteni.</w:t>
      </w:r>
    </w:p>
    <w:p w:rsidR="00B1552D" w:rsidRPr="00610D24" w:rsidRDefault="00B1552D" w:rsidP="000069F2">
      <w:pPr>
        <w:spacing w:line="276" w:lineRule="auto"/>
        <w:ind w:left="709"/>
        <w:jc w:val="both"/>
      </w:pPr>
    </w:p>
    <w:p w:rsidR="00C21348" w:rsidRPr="00610D24" w:rsidRDefault="00C21348" w:rsidP="000069F2">
      <w:pPr>
        <w:numPr>
          <w:ilvl w:val="0"/>
          <w:numId w:val="3"/>
        </w:numPr>
        <w:spacing w:line="276" w:lineRule="auto"/>
        <w:ind w:left="360" w:hanging="360"/>
        <w:jc w:val="both"/>
      </w:pPr>
      <w:r w:rsidRPr="00610D24">
        <w:t xml:space="preserve">Kapcsolattartók kijelölése: </w:t>
      </w:r>
    </w:p>
    <w:p w:rsidR="00C21348" w:rsidRPr="002B0888" w:rsidRDefault="00CA40B7" w:rsidP="000069F2">
      <w:pPr>
        <w:spacing w:line="276" w:lineRule="auto"/>
        <w:ind w:left="709"/>
        <w:jc w:val="both"/>
        <w:rPr>
          <w:u w:val="single"/>
        </w:rPr>
      </w:pPr>
      <w:r w:rsidRPr="002B0888">
        <w:rPr>
          <w:u w:val="single"/>
        </w:rPr>
        <w:t>Hévíz Város Önkormányzat</w:t>
      </w:r>
      <w:r w:rsidR="00C21348" w:rsidRPr="002B0888">
        <w:rPr>
          <w:u w:val="single"/>
        </w:rPr>
        <w:t xml:space="preserve"> kapcsolattartója:</w:t>
      </w:r>
    </w:p>
    <w:p w:rsidR="00C21348" w:rsidRPr="002B0888" w:rsidRDefault="00CA40B7" w:rsidP="000069F2">
      <w:pPr>
        <w:spacing w:line="276" w:lineRule="auto"/>
        <w:ind w:left="1072"/>
        <w:jc w:val="both"/>
      </w:pPr>
      <w:r w:rsidRPr="002B0888">
        <w:t xml:space="preserve">dr. </w:t>
      </w:r>
      <w:r w:rsidR="00A71D5F">
        <w:t>Keserű Klaudia jogász</w:t>
      </w:r>
      <w:r w:rsidR="007B07F5" w:rsidRPr="002B0888">
        <w:t xml:space="preserve"> (név, beosztás)</w:t>
      </w:r>
    </w:p>
    <w:p w:rsidR="00C21348" w:rsidRPr="002B0888" w:rsidRDefault="00C21348" w:rsidP="000069F2">
      <w:pPr>
        <w:spacing w:line="276" w:lineRule="auto"/>
        <w:ind w:left="1072"/>
        <w:jc w:val="both"/>
      </w:pPr>
      <w:r w:rsidRPr="002B0888">
        <w:t xml:space="preserve">Tel.: +36 </w:t>
      </w:r>
      <w:r w:rsidR="00CA40B7" w:rsidRPr="002B0888">
        <w:t>83/500-8</w:t>
      </w:r>
      <w:r w:rsidR="00A71D5F">
        <w:t>55</w:t>
      </w:r>
    </w:p>
    <w:p w:rsidR="00C21348" w:rsidRDefault="00C21348" w:rsidP="000069F2">
      <w:pPr>
        <w:spacing w:line="276" w:lineRule="auto"/>
        <w:ind w:left="1072"/>
        <w:jc w:val="both"/>
      </w:pPr>
      <w:r w:rsidRPr="002B0888">
        <w:t xml:space="preserve">E-mail: </w:t>
      </w:r>
      <w:hyperlink r:id="rId8" w:history="1">
        <w:r w:rsidR="00A71D5F" w:rsidRPr="002B4B47">
          <w:rPr>
            <w:rStyle w:val="Hiperhivatkozs"/>
          </w:rPr>
          <w:t>keseru.klaudia@hevizph.hu</w:t>
        </w:r>
      </w:hyperlink>
    </w:p>
    <w:p w:rsidR="00C21348" w:rsidRDefault="00C21348" w:rsidP="000069F2">
      <w:pPr>
        <w:spacing w:line="276" w:lineRule="auto"/>
        <w:ind w:left="709"/>
        <w:jc w:val="both"/>
        <w:rPr>
          <w:u w:val="single"/>
        </w:rPr>
      </w:pPr>
    </w:p>
    <w:p w:rsidR="00C21348" w:rsidRPr="002B0888" w:rsidRDefault="00F7781C" w:rsidP="000069F2">
      <w:pPr>
        <w:spacing w:line="276" w:lineRule="auto"/>
        <w:ind w:left="709"/>
        <w:jc w:val="both"/>
        <w:rPr>
          <w:u w:val="single"/>
        </w:rPr>
      </w:pPr>
      <w:r w:rsidRPr="002B0888">
        <w:rPr>
          <w:u w:val="single"/>
        </w:rPr>
        <w:t>Nagykanizsai</w:t>
      </w:r>
      <w:r w:rsidR="00C21348" w:rsidRPr="002B0888">
        <w:rPr>
          <w:u w:val="single"/>
        </w:rPr>
        <w:t xml:space="preserve"> Tankerületi Központ kapcsolattartója:</w:t>
      </w:r>
    </w:p>
    <w:p w:rsidR="007B07F5" w:rsidRPr="002B0888" w:rsidRDefault="00F7781C" w:rsidP="000069F2">
      <w:pPr>
        <w:spacing w:line="276" w:lineRule="auto"/>
        <w:ind w:left="1072"/>
        <w:jc w:val="both"/>
      </w:pPr>
      <w:r w:rsidRPr="002B0888">
        <w:t xml:space="preserve">Horváth Tamás </w:t>
      </w:r>
      <w:r w:rsidR="00F56C0C">
        <w:t>kijelölt</w:t>
      </w:r>
      <w:r w:rsidR="00F56C0C" w:rsidRPr="002B0888">
        <w:t xml:space="preserve"> </w:t>
      </w:r>
      <w:r w:rsidRPr="002B0888">
        <w:t>gazdasági vezető</w:t>
      </w:r>
    </w:p>
    <w:p w:rsidR="007B07F5" w:rsidRPr="002B0888" w:rsidRDefault="00F7781C" w:rsidP="000069F2">
      <w:pPr>
        <w:spacing w:line="276" w:lineRule="auto"/>
        <w:ind w:left="1072"/>
        <w:jc w:val="both"/>
      </w:pPr>
      <w:r w:rsidRPr="002B0888">
        <w:t>Tel.: +36-20/420-4222</w:t>
      </w:r>
    </w:p>
    <w:p w:rsidR="007B07F5" w:rsidRDefault="007B07F5" w:rsidP="000069F2">
      <w:pPr>
        <w:spacing w:line="276" w:lineRule="auto"/>
        <w:ind w:left="1072"/>
        <w:jc w:val="both"/>
      </w:pPr>
      <w:r w:rsidRPr="002B0888">
        <w:t xml:space="preserve">E-mail: </w:t>
      </w:r>
      <w:hyperlink r:id="rId9" w:history="1">
        <w:r w:rsidR="00D15F48" w:rsidRPr="00D15F48">
          <w:rPr>
            <w:rStyle w:val="Hiperhivatkozs"/>
          </w:rPr>
          <w:t>tamas.horvath2@klik.gov.hu</w:t>
        </w:r>
      </w:hyperlink>
    </w:p>
    <w:p w:rsidR="007F75BF" w:rsidRPr="002B0888" w:rsidRDefault="007F75BF" w:rsidP="000069F2">
      <w:pPr>
        <w:spacing w:line="276" w:lineRule="auto"/>
        <w:ind w:left="1072"/>
        <w:jc w:val="both"/>
      </w:pPr>
    </w:p>
    <w:p w:rsidR="00C21348" w:rsidRDefault="00C21348" w:rsidP="000069F2">
      <w:pPr>
        <w:numPr>
          <w:ilvl w:val="0"/>
          <w:numId w:val="3"/>
        </w:numPr>
        <w:spacing w:line="276" w:lineRule="auto"/>
        <w:ind w:left="357" w:hanging="357"/>
        <w:jc w:val="both"/>
      </w:pPr>
      <w:r w:rsidRPr="00610D24">
        <w:lastRenderedPageBreak/>
        <w:t>Felek megállapodnak abban, hogy a szerződésből adódó, vagy azzal kapcsolatban felmerülő vitákat vagy nézetkülönbségeket tárgyalások útján rendezik. Esetleges jogvitájukra a hatáskörrel rendelkező</w:t>
      </w:r>
      <w:r w:rsidR="0030507D">
        <w:t xml:space="preserve"> </w:t>
      </w:r>
      <w:r w:rsidR="0030507D" w:rsidRPr="002B0888">
        <w:t>Keszthelyi Járásbíróság és</w:t>
      </w:r>
      <w:r w:rsidRPr="002B0888">
        <w:t xml:space="preserve"> </w:t>
      </w:r>
      <w:r w:rsidR="00CA40B7" w:rsidRPr="002B0888">
        <w:t>Zalaegerszegi Törvényszék</w:t>
      </w:r>
      <w:r w:rsidRPr="00610D24">
        <w:t xml:space="preserve"> kizárólagos illetékességét kötik ki.</w:t>
      </w:r>
    </w:p>
    <w:p w:rsidR="00B1552D" w:rsidRPr="00610D24" w:rsidRDefault="00B1552D" w:rsidP="000069F2">
      <w:pPr>
        <w:spacing w:line="276" w:lineRule="auto"/>
        <w:ind w:left="357"/>
        <w:jc w:val="both"/>
      </w:pPr>
    </w:p>
    <w:p w:rsidR="00C21348" w:rsidRDefault="00C21348" w:rsidP="000069F2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 w:rsidRPr="00610D24">
        <w:t>A szerződésre egyebekben a Polgári Törvénykönyvről szóló 2013. évi V. törvény, a nemzeti vagyonról szóló 2011. évi CXCVI. törvény és a vonatkozó jogszabályok előírásai az irányadók.</w:t>
      </w:r>
    </w:p>
    <w:p w:rsidR="00B1552D" w:rsidRDefault="00B1552D" w:rsidP="000069F2">
      <w:pPr>
        <w:tabs>
          <w:tab w:val="left" w:pos="426"/>
        </w:tabs>
        <w:spacing w:line="276" w:lineRule="auto"/>
        <w:jc w:val="both"/>
      </w:pPr>
    </w:p>
    <w:p w:rsidR="00C21348" w:rsidRPr="002B0888" w:rsidRDefault="00C21348" w:rsidP="000069F2">
      <w:pPr>
        <w:numPr>
          <w:ilvl w:val="0"/>
          <w:numId w:val="3"/>
        </w:numPr>
        <w:spacing w:line="276" w:lineRule="auto"/>
        <w:ind w:left="360" w:hanging="360"/>
        <w:jc w:val="both"/>
      </w:pPr>
      <w:r w:rsidRPr="002B0888">
        <w:t>Felek a szerződést együttesen elolvasták, és a közös értelmezést követően, mint akaratukkal mindenben megegyezőt, cégszerűen aláírták.</w:t>
      </w:r>
    </w:p>
    <w:p w:rsidR="00EA7880" w:rsidRDefault="00EA7880" w:rsidP="000069F2">
      <w:pPr>
        <w:pStyle w:val="BodyText21"/>
        <w:tabs>
          <w:tab w:val="left" w:leader="dot" w:pos="4536"/>
        </w:tabs>
        <w:spacing w:line="276" w:lineRule="auto"/>
        <w:rPr>
          <w:bCs/>
        </w:rPr>
      </w:pPr>
    </w:p>
    <w:p w:rsidR="00A71D5F" w:rsidRDefault="00A71D5F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</w:pPr>
      <w:r>
        <w:t>Kelt: Hévíz, 2024. augusztus ….</w:t>
      </w:r>
    </w:p>
    <w:p w:rsidR="00A71D5F" w:rsidRPr="008C7B53" w:rsidRDefault="00A71D5F" w:rsidP="000069F2">
      <w:pPr>
        <w:pStyle w:val="BodyText21"/>
        <w:tabs>
          <w:tab w:val="clear" w:pos="709"/>
          <w:tab w:val="left" w:pos="1560"/>
        </w:tabs>
        <w:spacing w:before="120" w:after="120" w:line="276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A71D5F" w:rsidTr="000069F2">
        <w:tc>
          <w:tcPr>
            <w:tcW w:w="4606" w:type="dxa"/>
          </w:tcPr>
          <w:p w:rsidR="00A71D5F" w:rsidRPr="00581A48" w:rsidRDefault="00A71D5F" w:rsidP="000069F2">
            <w:pPr>
              <w:pStyle w:val="BodyText21"/>
              <w:tabs>
                <w:tab w:val="clear" w:pos="709"/>
                <w:tab w:val="left" w:leader="dot" w:pos="4390"/>
              </w:tabs>
              <w:spacing w:after="120" w:line="276" w:lineRule="auto"/>
            </w:pPr>
            <w:r w:rsidRPr="00581A48">
              <w:tab/>
            </w: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Hévíz Város Önkormányzat</w:t>
            </w: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képviseli: Papp Gábor polgármester</w:t>
            </w:r>
          </w:p>
          <w:p w:rsidR="00A71D5F" w:rsidRPr="00BF4462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rPr>
                <w:b/>
              </w:rPr>
            </w:pPr>
          </w:p>
        </w:tc>
        <w:tc>
          <w:tcPr>
            <w:tcW w:w="4656" w:type="dxa"/>
          </w:tcPr>
          <w:p w:rsidR="00A71D5F" w:rsidRPr="00581A48" w:rsidRDefault="00A71D5F" w:rsidP="000069F2">
            <w:pPr>
              <w:pStyle w:val="BodyText21"/>
              <w:tabs>
                <w:tab w:val="clear" w:pos="709"/>
                <w:tab w:val="left" w:leader="dot" w:pos="4390"/>
              </w:tabs>
              <w:spacing w:after="120" w:line="276" w:lineRule="auto"/>
            </w:pPr>
            <w:r w:rsidRPr="00581A48">
              <w:tab/>
            </w: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Nagykanizsai Tankerületi Központ</w:t>
            </w: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képviseli: Magyar Ferenc</w:t>
            </w:r>
          </w:p>
          <w:p w:rsidR="00A71D5F" w:rsidRPr="00BF4462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Tankerületi Központ igazgató</w:t>
            </w:r>
          </w:p>
        </w:tc>
      </w:tr>
      <w:tr w:rsidR="00A71D5F" w:rsidTr="000069F2">
        <w:tc>
          <w:tcPr>
            <w:tcW w:w="4606" w:type="dxa"/>
          </w:tcPr>
          <w:p w:rsidR="000069F2" w:rsidRDefault="000069F2" w:rsidP="000069F2">
            <w:pPr>
              <w:pStyle w:val="BodyText21"/>
              <w:tabs>
                <w:tab w:val="clear" w:pos="709"/>
              </w:tabs>
              <w:spacing w:after="360" w:line="276" w:lineRule="auto"/>
              <w:jc w:val="left"/>
            </w:pP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360" w:line="276" w:lineRule="auto"/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 xml:space="preserve">: </w:t>
            </w:r>
          </w:p>
          <w:p w:rsidR="00A71D5F" w:rsidRPr="00581A48" w:rsidRDefault="00A71D5F" w:rsidP="000069F2">
            <w:pPr>
              <w:pStyle w:val="BodyText21"/>
              <w:tabs>
                <w:tab w:val="clear" w:pos="709"/>
                <w:tab w:val="left" w:leader="dot" w:pos="4390"/>
              </w:tabs>
              <w:spacing w:after="120" w:line="276" w:lineRule="auto"/>
            </w:pPr>
            <w:r w:rsidRPr="00581A48">
              <w:tab/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>
              <w:rPr>
                <w:b/>
              </w:rPr>
              <w:t xml:space="preserve">                      </w:t>
            </w:r>
            <w:r w:rsidRPr="001720A4">
              <w:t>Szintén László</w:t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</w:pPr>
            <w:r w:rsidRPr="001720A4">
              <w:t>Hévízi Polgármesteri Hivatal</w:t>
            </w:r>
          </w:p>
          <w:p w:rsidR="00A71D5F" w:rsidRPr="001A0B27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</w:pPr>
            <w:r w:rsidRPr="001720A4">
              <w:t>közgazdasági osztályvezető</w:t>
            </w:r>
          </w:p>
          <w:p w:rsidR="000069F2" w:rsidRDefault="000069F2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proofErr w:type="spellStart"/>
            <w:r w:rsidRPr="001720A4">
              <w:t>Ellenjegyzem</w:t>
            </w:r>
            <w:proofErr w:type="spellEnd"/>
            <w:r w:rsidRPr="001720A4">
              <w:t>:</w:t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 w:rsidRPr="001720A4">
              <w:t>…………………………………………….</w:t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 w:rsidRPr="001720A4">
              <w:t xml:space="preserve">                   Dr. Tüske Róbert</w:t>
            </w:r>
          </w:p>
          <w:p w:rsidR="00A71D5F" w:rsidRPr="008770B1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rPr>
                <w:b/>
              </w:rPr>
            </w:pPr>
            <w:r w:rsidRPr="001720A4">
              <w:t xml:space="preserve">                            jegyző</w:t>
            </w:r>
          </w:p>
        </w:tc>
        <w:tc>
          <w:tcPr>
            <w:tcW w:w="4656" w:type="dxa"/>
          </w:tcPr>
          <w:p w:rsidR="000069F2" w:rsidRDefault="000069F2" w:rsidP="000069F2">
            <w:pPr>
              <w:pStyle w:val="BodyText21"/>
              <w:tabs>
                <w:tab w:val="clear" w:pos="709"/>
              </w:tabs>
              <w:spacing w:after="360" w:line="276" w:lineRule="auto"/>
              <w:jc w:val="left"/>
            </w:pP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360" w:line="276" w:lineRule="auto"/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 xml:space="preserve">: </w:t>
            </w:r>
          </w:p>
          <w:p w:rsidR="00A71D5F" w:rsidRPr="00581A48" w:rsidRDefault="00A71D5F" w:rsidP="000069F2">
            <w:pPr>
              <w:pStyle w:val="BodyText21"/>
              <w:tabs>
                <w:tab w:val="clear" w:pos="709"/>
                <w:tab w:val="left" w:leader="dot" w:pos="4390"/>
              </w:tabs>
              <w:spacing w:after="120" w:line="276" w:lineRule="auto"/>
            </w:pPr>
            <w:r w:rsidRPr="00581A48">
              <w:tab/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</w:pPr>
            <w:r>
              <w:t>Horváth Tamás</w:t>
            </w:r>
          </w:p>
          <w:p w:rsidR="00A71D5F" w:rsidRPr="001720A4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</w:pPr>
            <w:r>
              <w:t>Nagykanizsai</w:t>
            </w:r>
            <w:r w:rsidRPr="001720A4">
              <w:t xml:space="preserve"> Tankerületi Központ</w:t>
            </w:r>
          </w:p>
          <w:p w:rsidR="00A71D5F" w:rsidRPr="001720A4" w:rsidRDefault="00516EEA" w:rsidP="000069F2">
            <w:pPr>
              <w:pStyle w:val="BodyText21"/>
              <w:tabs>
                <w:tab w:val="clear" w:pos="709"/>
              </w:tabs>
              <w:spacing w:after="120" w:line="276" w:lineRule="auto"/>
              <w:jc w:val="center"/>
            </w:pPr>
            <w:r>
              <w:t xml:space="preserve">kijelölt </w:t>
            </w:r>
            <w:r w:rsidR="00A71D5F" w:rsidRPr="001720A4">
              <w:t>gazdasági vezető</w:t>
            </w:r>
          </w:p>
          <w:p w:rsidR="00A71D5F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  <w:rPr>
                <w:b/>
              </w:rPr>
            </w:pPr>
          </w:p>
          <w:p w:rsidR="000069F2" w:rsidRPr="000F0EA5" w:rsidRDefault="000069F2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 w:rsidRPr="000F0EA5">
              <w:t xml:space="preserve">jogilag </w:t>
            </w:r>
            <w:proofErr w:type="spellStart"/>
            <w:r w:rsidRPr="000F0EA5">
              <w:t>ellenjegyzem</w:t>
            </w:r>
            <w:proofErr w:type="spellEnd"/>
            <w:r w:rsidRPr="000F0EA5">
              <w:t>:</w:t>
            </w:r>
          </w:p>
          <w:p w:rsidR="00A71D5F" w:rsidRPr="000F0EA5" w:rsidRDefault="00A71D5F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 w:rsidRPr="000F0EA5">
              <w:t xml:space="preserve">                             </w:t>
            </w:r>
          </w:p>
          <w:p w:rsidR="00A71D5F" w:rsidRPr="000069F2" w:rsidRDefault="000069F2" w:rsidP="000069F2">
            <w:pPr>
              <w:pStyle w:val="BodyText21"/>
              <w:tabs>
                <w:tab w:val="clear" w:pos="709"/>
              </w:tabs>
              <w:spacing w:after="120" w:line="276" w:lineRule="auto"/>
            </w:pPr>
            <w:r w:rsidRPr="000F0EA5">
              <w:t>…………………………………………….</w:t>
            </w:r>
            <w:bookmarkStart w:id="2" w:name="_GoBack"/>
            <w:bookmarkEnd w:id="2"/>
          </w:p>
        </w:tc>
      </w:tr>
    </w:tbl>
    <w:p w:rsidR="00D0435E" w:rsidRDefault="00D0435E" w:rsidP="000069F2">
      <w:pPr>
        <w:pStyle w:val="BodyText21"/>
        <w:tabs>
          <w:tab w:val="left" w:leader="dot" w:pos="4536"/>
        </w:tabs>
        <w:spacing w:line="276" w:lineRule="auto"/>
      </w:pPr>
    </w:p>
    <w:sectPr w:rsidR="00D0435E" w:rsidSect="000069F2">
      <w:footerReference w:type="default" r:id="rId10"/>
      <w:footerReference w:type="first" r:id="rId11"/>
      <w:pgSz w:w="11909" w:h="16834"/>
      <w:pgMar w:top="1276" w:right="1418" w:bottom="709" w:left="1418" w:header="709" w:footer="989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739" w:rsidRDefault="00FE0739">
      <w:r>
        <w:separator/>
      </w:r>
    </w:p>
  </w:endnote>
  <w:endnote w:type="continuationSeparator" w:id="0">
    <w:p w:rsidR="00FE0739" w:rsidRDefault="00FE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66E" w:rsidRPr="0063185C" w:rsidRDefault="000C5FDC">
    <w:pPr>
      <w:pStyle w:val="llb"/>
      <w:jc w:val="center"/>
      <w:rPr>
        <w:sz w:val="22"/>
        <w:szCs w:val="22"/>
      </w:rPr>
    </w:pPr>
    <w:r w:rsidRPr="0063185C">
      <w:rPr>
        <w:sz w:val="22"/>
        <w:szCs w:val="22"/>
      </w:rPr>
      <w:fldChar w:fldCharType="begin"/>
    </w:r>
    <w:r w:rsidR="00593DA5" w:rsidRPr="0063185C">
      <w:rPr>
        <w:sz w:val="22"/>
        <w:szCs w:val="22"/>
      </w:rPr>
      <w:instrText>PAGE</w:instrText>
    </w:r>
    <w:r w:rsidRPr="0063185C">
      <w:rPr>
        <w:sz w:val="22"/>
        <w:szCs w:val="22"/>
      </w:rPr>
      <w:fldChar w:fldCharType="separate"/>
    </w:r>
    <w:r w:rsidR="000069F2">
      <w:rPr>
        <w:noProof/>
        <w:sz w:val="22"/>
        <w:szCs w:val="22"/>
      </w:rPr>
      <w:t>4</w:t>
    </w:r>
    <w:r w:rsidRPr="0063185C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66E" w:rsidRPr="0063185C" w:rsidRDefault="000C5FDC">
    <w:pPr>
      <w:pStyle w:val="llb"/>
      <w:jc w:val="center"/>
      <w:rPr>
        <w:sz w:val="22"/>
        <w:szCs w:val="22"/>
      </w:rPr>
    </w:pPr>
    <w:r w:rsidRPr="0063185C">
      <w:rPr>
        <w:sz w:val="22"/>
        <w:szCs w:val="22"/>
      </w:rPr>
      <w:fldChar w:fldCharType="begin"/>
    </w:r>
    <w:r w:rsidR="00593DA5" w:rsidRPr="0063185C">
      <w:rPr>
        <w:sz w:val="22"/>
        <w:szCs w:val="22"/>
      </w:rPr>
      <w:instrText>PAGE   \* MERGEFORMAT</w:instrText>
    </w:r>
    <w:r w:rsidRPr="0063185C">
      <w:rPr>
        <w:sz w:val="22"/>
        <w:szCs w:val="22"/>
      </w:rPr>
      <w:fldChar w:fldCharType="separate"/>
    </w:r>
    <w:r w:rsidR="000069F2">
      <w:rPr>
        <w:noProof/>
        <w:sz w:val="22"/>
        <w:szCs w:val="22"/>
      </w:rPr>
      <w:t>1</w:t>
    </w:r>
    <w:r w:rsidRPr="0063185C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739" w:rsidRDefault="00FE0739">
      <w:r>
        <w:separator/>
      </w:r>
    </w:p>
  </w:footnote>
  <w:footnote w:type="continuationSeparator" w:id="0">
    <w:p w:rsidR="00FE0739" w:rsidRDefault="00FE0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C27F1"/>
    <w:multiLevelType w:val="hybridMultilevel"/>
    <w:tmpl w:val="90A8E0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A10DA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15420"/>
    <w:multiLevelType w:val="hybridMultilevel"/>
    <w:tmpl w:val="15B654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567EC"/>
    <w:multiLevelType w:val="hybridMultilevel"/>
    <w:tmpl w:val="9ABE1A3E"/>
    <w:lvl w:ilvl="0" w:tplc="D2F45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C31"/>
    <w:rsid w:val="000069F2"/>
    <w:rsid w:val="0004192B"/>
    <w:rsid w:val="0004352C"/>
    <w:rsid w:val="00047A51"/>
    <w:rsid w:val="000633CA"/>
    <w:rsid w:val="00073253"/>
    <w:rsid w:val="0008431D"/>
    <w:rsid w:val="000C5FDC"/>
    <w:rsid w:val="000E1021"/>
    <w:rsid w:val="000F0EA5"/>
    <w:rsid w:val="00122125"/>
    <w:rsid w:val="001557A5"/>
    <w:rsid w:val="00166869"/>
    <w:rsid w:val="0018196A"/>
    <w:rsid w:val="001A0B27"/>
    <w:rsid w:val="001D0D3D"/>
    <w:rsid w:val="001D7DF5"/>
    <w:rsid w:val="00252CA9"/>
    <w:rsid w:val="00270394"/>
    <w:rsid w:val="002A5121"/>
    <w:rsid w:val="002B0888"/>
    <w:rsid w:val="0030507D"/>
    <w:rsid w:val="0030550B"/>
    <w:rsid w:val="00312305"/>
    <w:rsid w:val="00317406"/>
    <w:rsid w:val="00356163"/>
    <w:rsid w:val="003D3254"/>
    <w:rsid w:val="003F6CD9"/>
    <w:rsid w:val="00415EDF"/>
    <w:rsid w:val="00417A99"/>
    <w:rsid w:val="00432599"/>
    <w:rsid w:val="00481A67"/>
    <w:rsid w:val="004A5A10"/>
    <w:rsid w:val="004B0318"/>
    <w:rsid w:val="004C227A"/>
    <w:rsid w:val="00516EEA"/>
    <w:rsid w:val="005566A4"/>
    <w:rsid w:val="00575489"/>
    <w:rsid w:val="00593DA5"/>
    <w:rsid w:val="005A0BE4"/>
    <w:rsid w:val="005A241D"/>
    <w:rsid w:val="005B03BC"/>
    <w:rsid w:val="005B3DEA"/>
    <w:rsid w:val="005F754D"/>
    <w:rsid w:val="006012DE"/>
    <w:rsid w:val="00603AC0"/>
    <w:rsid w:val="00632EF8"/>
    <w:rsid w:val="00632F77"/>
    <w:rsid w:val="006361EF"/>
    <w:rsid w:val="00651B44"/>
    <w:rsid w:val="00652479"/>
    <w:rsid w:val="006A4A54"/>
    <w:rsid w:val="006E0A10"/>
    <w:rsid w:val="007A75F4"/>
    <w:rsid w:val="007B07F5"/>
    <w:rsid w:val="007B1E4A"/>
    <w:rsid w:val="007B6E80"/>
    <w:rsid w:val="007E2982"/>
    <w:rsid w:val="007F75BF"/>
    <w:rsid w:val="0082394C"/>
    <w:rsid w:val="0084658D"/>
    <w:rsid w:val="008612D0"/>
    <w:rsid w:val="008C6B8B"/>
    <w:rsid w:val="008E5CDB"/>
    <w:rsid w:val="0090069F"/>
    <w:rsid w:val="00904450"/>
    <w:rsid w:val="00911AA1"/>
    <w:rsid w:val="00921924"/>
    <w:rsid w:val="00936B2F"/>
    <w:rsid w:val="00940F81"/>
    <w:rsid w:val="00941FE3"/>
    <w:rsid w:val="009A266E"/>
    <w:rsid w:val="00A07443"/>
    <w:rsid w:val="00A21A49"/>
    <w:rsid w:val="00A36127"/>
    <w:rsid w:val="00A54703"/>
    <w:rsid w:val="00A71D5F"/>
    <w:rsid w:val="00B0154A"/>
    <w:rsid w:val="00B1552D"/>
    <w:rsid w:val="00B71926"/>
    <w:rsid w:val="00BC4F09"/>
    <w:rsid w:val="00BC7AE3"/>
    <w:rsid w:val="00C21348"/>
    <w:rsid w:val="00C31E13"/>
    <w:rsid w:val="00C33EF9"/>
    <w:rsid w:val="00CA40B7"/>
    <w:rsid w:val="00D0435E"/>
    <w:rsid w:val="00D15F48"/>
    <w:rsid w:val="00D66A87"/>
    <w:rsid w:val="00DF3D8A"/>
    <w:rsid w:val="00E233F7"/>
    <w:rsid w:val="00E301AB"/>
    <w:rsid w:val="00EA5EB0"/>
    <w:rsid w:val="00EA7880"/>
    <w:rsid w:val="00EB4443"/>
    <w:rsid w:val="00EC55C0"/>
    <w:rsid w:val="00ED6C31"/>
    <w:rsid w:val="00F56C0C"/>
    <w:rsid w:val="00F71AD3"/>
    <w:rsid w:val="00F7781C"/>
    <w:rsid w:val="00FE0739"/>
    <w:rsid w:val="00FE5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7F22086-08C2-4D3C-8F09-31EE0937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C21348"/>
    <w:pPr>
      <w:widowControl w:val="0"/>
      <w:tabs>
        <w:tab w:val="center" w:pos="4536"/>
        <w:tab w:val="right" w:pos="9072"/>
      </w:tabs>
      <w:suppressAutoHyphens/>
    </w:pPr>
    <w:rPr>
      <w:sz w:val="26"/>
      <w:szCs w:val="20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C21348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Szvegtrzs">
    <w:name w:val="Body Text"/>
    <w:basedOn w:val="Norml"/>
    <w:link w:val="SzvegtrzsChar"/>
    <w:rsid w:val="00C2134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2134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C21348"/>
    <w:pPr>
      <w:tabs>
        <w:tab w:val="left" w:pos="709"/>
      </w:tabs>
      <w:jc w:val="both"/>
    </w:pPr>
    <w:rPr>
      <w:szCs w:val="20"/>
    </w:rPr>
  </w:style>
  <w:style w:type="paragraph" w:customStyle="1" w:styleId="Bekezds2">
    <w:name w:val="Bekezdés2"/>
    <w:basedOn w:val="Norml"/>
    <w:link w:val="Bekezds2Char"/>
    <w:autoRedefine/>
    <w:rsid w:val="00C21348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Cs w:val="20"/>
      <w:lang w:eastAsia="en-US"/>
    </w:rPr>
  </w:style>
  <w:style w:type="character" w:customStyle="1" w:styleId="Bekezds2Char">
    <w:name w:val="Bekezdés2 Char"/>
    <w:link w:val="Bekezds2"/>
    <w:locked/>
    <w:rsid w:val="00C21348"/>
    <w:rPr>
      <w:rFonts w:ascii="Calibri" w:eastAsia="Times New Roman" w:hAnsi="Calibri" w:cs="Times New Roman"/>
      <w:noProof/>
      <w:color w:val="000000"/>
      <w:sz w:val="24"/>
      <w:szCs w:val="20"/>
    </w:rPr>
  </w:style>
  <w:style w:type="character" w:styleId="Jegyzethivatkozs">
    <w:name w:val="annotation reference"/>
    <w:uiPriority w:val="99"/>
    <w:unhideWhenUsed/>
    <w:rsid w:val="00C213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1348"/>
    <w:rPr>
      <w:b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21348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styleId="Hiperhivatkozs">
    <w:name w:val="Hyperlink"/>
    <w:rsid w:val="00C2134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13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1348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2394C"/>
    <w:pPr>
      <w:ind w:left="720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03BC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03B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71D5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A75F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A75F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4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eru.klaudia@hevizph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mas.horvath2@kli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9457-5610-44F0-891E-F5026C91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Zsarkó-Berta László</dc:creator>
  <cp:lastModifiedBy>Dr. Keserű Klaudia</cp:lastModifiedBy>
  <cp:revision>2</cp:revision>
  <cp:lastPrinted>2016-11-18T07:27:00Z</cp:lastPrinted>
  <dcterms:created xsi:type="dcterms:W3CDTF">2024-08-12T08:49:00Z</dcterms:created>
  <dcterms:modified xsi:type="dcterms:W3CDTF">2024-08-12T08:49:00Z</dcterms:modified>
</cp:coreProperties>
</file>