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A6E7" w14:textId="77777777" w:rsidR="00A56BA0" w:rsidRPr="00FD59E5" w:rsidRDefault="00626813" w:rsidP="00514A0C">
      <w:pPr>
        <w:pStyle w:val="BasicParagraph"/>
        <w:spacing w:before="120" w:after="160"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14:paraId="37F0D245" w14:textId="77777777" w:rsidR="00A56BA0" w:rsidRPr="00FD59E5" w:rsidRDefault="00A56BA0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14:paraId="2CBF7FB4" w14:textId="77777777" w:rsidR="00A56BA0" w:rsidRPr="00FD59E5" w:rsidRDefault="00626813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14:paraId="4992DFAD" w14:textId="77777777" w:rsidR="00A56BA0" w:rsidRPr="00FD59E5" w:rsidRDefault="00A56BA0" w:rsidP="00514A0C">
      <w:pPr>
        <w:spacing w:after="0"/>
        <w:rPr>
          <w:rFonts w:ascii="Arial" w:hAnsi="Arial" w:cs="Arial"/>
        </w:rPr>
      </w:pPr>
    </w:p>
    <w:p w14:paraId="229BCE09" w14:textId="77777777" w:rsidR="00A56BA0" w:rsidRPr="00FD59E5" w:rsidRDefault="00A56BA0" w:rsidP="00514A0C">
      <w:pPr>
        <w:rPr>
          <w:rFonts w:ascii="Arial" w:hAnsi="Arial" w:cs="Arial"/>
        </w:rPr>
      </w:pPr>
    </w:p>
    <w:p w14:paraId="4E3BEF1C" w14:textId="77777777" w:rsidR="00A56BA0" w:rsidRPr="00FD59E5" w:rsidRDefault="00A56BA0" w:rsidP="00514A0C">
      <w:pPr>
        <w:rPr>
          <w:rFonts w:ascii="Arial" w:hAnsi="Arial" w:cs="Arial"/>
        </w:rPr>
      </w:pPr>
    </w:p>
    <w:p w14:paraId="6C50D5B8" w14:textId="2E1FE44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</w:t>
      </w:r>
      <w:r w:rsidR="00ED0223">
        <w:rPr>
          <w:rFonts w:ascii="Arial" w:hAnsi="Arial" w:cs="Arial"/>
          <w:sz w:val="24"/>
          <w:szCs w:val="24"/>
        </w:rPr>
        <w:t>1064-1</w:t>
      </w:r>
      <w:r w:rsidR="00786948" w:rsidRPr="00CC4887">
        <w:rPr>
          <w:rFonts w:ascii="Arial" w:hAnsi="Arial" w:cs="Arial"/>
          <w:sz w:val="24"/>
          <w:szCs w:val="24"/>
        </w:rPr>
        <w:t>/202</w:t>
      </w:r>
      <w:r w:rsidR="00ED0223">
        <w:rPr>
          <w:rFonts w:ascii="Arial" w:hAnsi="Arial" w:cs="Arial"/>
          <w:sz w:val="24"/>
          <w:szCs w:val="24"/>
        </w:rPr>
        <w:t>4</w:t>
      </w:r>
      <w:r w:rsidRPr="00CC4887">
        <w:rPr>
          <w:rFonts w:ascii="Arial" w:hAnsi="Arial" w:cs="Arial"/>
          <w:sz w:val="24"/>
          <w:szCs w:val="24"/>
        </w:rPr>
        <w:t>.</w:t>
      </w:r>
    </w:p>
    <w:p w14:paraId="7423D7C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1A92F0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14:paraId="7C83D554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BF70B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46D426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2645A201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864BEED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2BFD7DA3" w14:textId="4C6A10F8" w:rsidR="00F45AD8" w:rsidRPr="00DD612C" w:rsidRDefault="00F45AD8" w:rsidP="00514A0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</w:t>
      </w:r>
      <w:r w:rsidR="00ED0223">
        <w:rPr>
          <w:rFonts w:ascii="Arial" w:hAnsi="Arial" w:cs="Arial"/>
          <w:b/>
          <w:color w:val="000000"/>
          <w:sz w:val="24"/>
          <w:szCs w:val="24"/>
        </w:rPr>
        <w:t>4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február </w:t>
      </w:r>
      <w:r w:rsidR="00ED0223">
        <w:rPr>
          <w:rFonts w:ascii="Arial" w:hAnsi="Arial" w:cs="Arial"/>
          <w:b/>
          <w:color w:val="000000"/>
          <w:sz w:val="24"/>
          <w:szCs w:val="24"/>
        </w:rPr>
        <w:t>8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-i </w:t>
      </w:r>
      <w:r w:rsidR="00CC1BC0">
        <w:rPr>
          <w:rFonts w:ascii="Arial" w:hAnsi="Arial" w:cs="Arial"/>
          <w:b/>
          <w:color w:val="000000"/>
          <w:sz w:val="24"/>
          <w:szCs w:val="24"/>
        </w:rPr>
        <w:t xml:space="preserve">rendkívüli </w:t>
      </w:r>
      <w:bookmarkStart w:id="0" w:name="_GoBack"/>
      <w:bookmarkEnd w:id="0"/>
      <w:r w:rsidRPr="00DD612C">
        <w:rPr>
          <w:rFonts w:ascii="Arial" w:hAnsi="Arial" w:cs="Arial"/>
          <w:b/>
          <w:color w:val="000000"/>
          <w:sz w:val="24"/>
          <w:szCs w:val="24"/>
        </w:rPr>
        <w:t>nyilvános ülésére</w:t>
      </w:r>
    </w:p>
    <w:p w14:paraId="36C9B380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2F814CE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24324D6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E90546" w14:textId="67727270" w:rsidR="00A56BA0" w:rsidRPr="00D53EE8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CC4887">
        <w:rPr>
          <w:rFonts w:ascii="Arial" w:hAnsi="Arial" w:cs="Arial"/>
          <w:sz w:val="24"/>
          <w:szCs w:val="24"/>
        </w:rPr>
        <w:t>Hévíz Város Önkormányzat 202</w:t>
      </w:r>
      <w:r w:rsidR="00ED0223">
        <w:rPr>
          <w:rFonts w:ascii="Arial" w:hAnsi="Arial" w:cs="Arial"/>
          <w:sz w:val="24"/>
          <w:szCs w:val="24"/>
        </w:rPr>
        <w:t>4</w:t>
      </w:r>
      <w:r w:rsidRPr="00D53EE8">
        <w:rPr>
          <w:rFonts w:ascii="Arial" w:hAnsi="Arial" w:cs="Arial"/>
          <w:sz w:val="24"/>
          <w:szCs w:val="24"/>
        </w:rPr>
        <w:t xml:space="preserve">. </w:t>
      </w:r>
      <w:r w:rsidR="00F85766" w:rsidRPr="00D53EE8">
        <w:rPr>
          <w:rFonts w:ascii="Arial" w:hAnsi="Arial" w:cs="Arial"/>
          <w:sz w:val="24"/>
          <w:szCs w:val="24"/>
        </w:rPr>
        <w:t>évi költségvetés</w:t>
      </w:r>
      <w:r w:rsidR="00514A0C" w:rsidRPr="00D53EE8">
        <w:rPr>
          <w:rFonts w:ascii="Arial" w:hAnsi="Arial" w:cs="Arial"/>
          <w:sz w:val="24"/>
          <w:szCs w:val="24"/>
        </w:rPr>
        <w:t xml:space="preserve">éről rendelet-alkotás </w:t>
      </w:r>
    </w:p>
    <w:p w14:paraId="0A7C3EFA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88A98D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DD70E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41DA62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63DAD6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CF198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>Az előterjesztő: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  <w:t>Papp Gábor polgármester</w:t>
      </w:r>
    </w:p>
    <w:p w14:paraId="281375C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9A71C5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90B4C8F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CC4887">
        <w:rPr>
          <w:rFonts w:ascii="Arial" w:hAnsi="Arial" w:cs="Arial"/>
          <w:b/>
          <w:sz w:val="24"/>
          <w:szCs w:val="24"/>
        </w:rPr>
        <w:t xml:space="preserve">Készítette: 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proofErr w:type="gramEnd"/>
      <w:r w:rsidRPr="00CC4887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4184FA6B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="00786948" w:rsidRPr="00CC4887">
        <w:rPr>
          <w:rFonts w:ascii="Arial" w:hAnsi="Arial" w:cs="Arial"/>
          <w:sz w:val="24"/>
          <w:szCs w:val="24"/>
        </w:rPr>
        <w:t>Boros Lajosné számviteli ügyintéző</w:t>
      </w:r>
      <w:r w:rsidRPr="00CC4887">
        <w:rPr>
          <w:rFonts w:ascii="Arial" w:hAnsi="Arial" w:cs="Arial"/>
          <w:sz w:val="24"/>
          <w:szCs w:val="24"/>
        </w:rPr>
        <w:t xml:space="preserve">  </w:t>
      </w:r>
    </w:p>
    <w:p w14:paraId="2587A71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6021535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</w:p>
    <w:p w14:paraId="798685AB" w14:textId="77777777" w:rsidR="00F45AD8" w:rsidRPr="00C60CC2" w:rsidRDefault="00A56BA0" w:rsidP="00514A0C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CC4887">
        <w:rPr>
          <w:rFonts w:ascii="Arial" w:hAnsi="Arial" w:cs="Arial"/>
          <w:b/>
          <w:sz w:val="24"/>
          <w:szCs w:val="24"/>
        </w:rPr>
        <w:t>Megtárgyalta: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38C2EE41" w14:textId="77777777" w:rsidR="00F45AD8" w:rsidRPr="00C60CC2" w:rsidRDefault="00F45AD8" w:rsidP="00514A0C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293AF447" w14:textId="77777777" w:rsidR="00F45AD8" w:rsidRPr="00C60CC2" w:rsidRDefault="00F45AD8" w:rsidP="00514A0C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55BA1844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5F41C5B0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7949DABC" w14:textId="3C93CBF9" w:rsidR="00A56BA0" w:rsidRPr="00CC4887" w:rsidRDefault="007A47EC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Törvény</w:t>
      </w:r>
      <w:r w:rsidR="00A56BA0" w:rsidRPr="00CC4887">
        <w:rPr>
          <w:rFonts w:ascii="Arial" w:hAnsi="Arial" w:cs="Arial"/>
          <w:b/>
          <w:sz w:val="24"/>
          <w:szCs w:val="24"/>
        </w:rPr>
        <w:t xml:space="preserve">ességi szempontból ellenőrizte: </w:t>
      </w:r>
      <w:r w:rsidR="00A56BA0" w:rsidRPr="00CC4887">
        <w:rPr>
          <w:rFonts w:ascii="Arial" w:hAnsi="Arial" w:cs="Arial"/>
          <w:sz w:val="24"/>
          <w:szCs w:val="24"/>
        </w:rPr>
        <w:t>dr. Tüske Róbert jegyző</w:t>
      </w:r>
    </w:p>
    <w:p w14:paraId="21594A6C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988C8E7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2408E40" w14:textId="77777777"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14:paraId="319E11BB" w14:textId="77777777" w:rsidR="00A56BA0" w:rsidRPr="00CC4887" w:rsidRDefault="00A56BA0" w:rsidP="00514A0C">
      <w:pPr>
        <w:tabs>
          <w:tab w:val="center" w:pos="779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  <w:t xml:space="preserve">Papp Gábor </w:t>
      </w:r>
    </w:p>
    <w:p w14:paraId="181AFCBE" w14:textId="77777777" w:rsidR="00A56BA0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polgármester</w:t>
      </w:r>
    </w:p>
    <w:p w14:paraId="5E5EB547" w14:textId="77777777" w:rsidR="00F45AD8" w:rsidRPr="00CC4887" w:rsidRDefault="00F45AD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5D3DBB" w14:textId="77777777" w:rsidR="00A56BA0" w:rsidRPr="00FD59E5" w:rsidRDefault="001B2E63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56BA0" w:rsidRPr="00FD59E5">
        <w:rPr>
          <w:rFonts w:ascii="Arial" w:hAnsi="Arial" w:cs="Arial"/>
          <w:b/>
        </w:rPr>
        <w:t>.</w:t>
      </w:r>
    </w:p>
    <w:p w14:paraId="7E162012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31D95D88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14:paraId="7AE60225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079682E6" w14:textId="77777777" w:rsidR="00F950C1" w:rsidRDefault="00BA302C" w:rsidP="00514A0C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14:paraId="342864BB" w14:textId="23DBDBD7" w:rsidR="00037E18" w:rsidRPr="00FD59E5" w:rsidRDefault="00037E18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202</w:t>
      </w:r>
      <w:r w:rsidR="00ED0223">
        <w:rPr>
          <w:rFonts w:ascii="Arial" w:hAnsi="Arial" w:cs="Arial"/>
          <w:b/>
        </w:rPr>
        <w:t>4</w:t>
      </w:r>
      <w:r w:rsidRPr="00FD59E5">
        <w:rPr>
          <w:rFonts w:ascii="Arial" w:hAnsi="Arial" w:cs="Arial"/>
          <w:b/>
        </w:rPr>
        <w:t xml:space="preserve">. évi költségvetés </w:t>
      </w:r>
      <w:r w:rsidR="00B2376A">
        <w:rPr>
          <w:rFonts w:ascii="Arial" w:hAnsi="Arial" w:cs="Arial"/>
          <w:b/>
        </w:rPr>
        <w:t xml:space="preserve">általános </w:t>
      </w:r>
      <w:r w:rsidRPr="00FD59E5">
        <w:rPr>
          <w:rFonts w:ascii="Arial" w:hAnsi="Arial" w:cs="Arial"/>
          <w:b/>
        </w:rPr>
        <w:t>indok</w:t>
      </w:r>
      <w:r w:rsidR="00B2376A">
        <w:rPr>
          <w:rFonts w:ascii="Arial" w:hAnsi="Arial" w:cs="Arial"/>
          <w:b/>
        </w:rPr>
        <w:t>o</w:t>
      </w:r>
      <w:r w:rsidRPr="00FD59E5">
        <w:rPr>
          <w:rFonts w:ascii="Arial" w:hAnsi="Arial" w:cs="Arial"/>
          <w:b/>
        </w:rPr>
        <w:t>lása</w:t>
      </w:r>
    </w:p>
    <w:p w14:paraId="0CAD3619" w14:textId="77777777" w:rsidR="00037E18" w:rsidRDefault="00037E18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C012097" w14:textId="543A2F27" w:rsidR="00A63731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 xml:space="preserve">Az államháztartásról szóló 2011. évi CXCV. </w:t>
      </w:r>
      <w:r w:rsidR="00EA7763" w:rsidRPr="00964DF2">
        <w:rPr>
          <w:rFonts w:ascii="Arial" w:hAnsi="Arial" w:cs="Arial"/>
          <w:b w:val="0"/>
          <w:sz w:val="22"/>
          <w:szCs w:val="22"/>
        </w:rPr>
        <w:t>törvény</w:t>
      </w:r>
      <w:r w:rsidRPr="00964DF2">
        <w:rPr>
          <w:rFonts w:ascii="Arial" w:hAnsi="Arial" w:cs="Arial"/>
          <w:b w:val="0"/>
          <w:sz w:val="22"/>
          <w:szCs w:val="22"/>
        </w:rPr>
        <w:t xml:space="preserve"> 24.</w:t>
      </w:r>
      <w:r w:rsidR="00514A0C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Pr="00964DF2">
        <w:rPr>
          <w:rFonts w:ascii="Arial" w:hAnsi="Arial" w:cs="Arial"/>
          <w:b w:val="0"/>
          <w:sz w:val="22"/>
          <w:szCs w:val="22"/>
        </w:rPr>
        <w:t xml:space="preserve">§ (3) </w:t>
      </w:r>
      <w:r w:rsidR="00517673">
        <w:rPr>
          <w:rFonts w:ascii="Arial" w:hAnsi="Arial" w:cs="Arial"/>
          <w:b w:val="0"/>
          <w:sz w:val="22"/>
          <w:szCs w:val="22"/>
        </w:rPr>
        <w:t xml:space="preserve">bekezdés </w:t>
      </w:r>
      <w:r w:rsidRPr="00964DF2">
        <w:rPr>
          <w:rFonts w:ascii="Arial" w:hAnsi="Arial" w:cs="Arial"/>
          <w:b w:val="0"/>
          <w:sz w:val="22"/>
          <w:szCs w:val="22"/>
        </w:rPr>
        <w:t xml:space="preserve">alapján a jegyző által előkészített költségvetési rendelet-tervezetet a polgármester </w:t>
      </w:r>
      <w:r w:rsidRPr="00964DF2">
        <w:rPr>
          <w:rStyle w:val="hl"/>
          <w:rFonts w:ascii="Arial" w:hAnsi="Arial" w:cs="Arial"/>
          <w:b w:val="0"/>
          <w:sz w:val="22"/>
          <w:szCs w:val="22"/>
        </w:rPr>
        <w:t>február 15</w:t>
      </w:r>
      <w:r w:rsidRPr="00964DF2">
        <w:rPr>
          <w:rFonts w:ascii="Arial" w:hAnsi="Arial" w:cs="Arial"/>
          <w:b w:val="0"/>
          <w:sz w:val="22"/>
          <w:szCs w:val="22"/>
        </w:rPr>
        <w:t>-éig nyújtja be a képviselő-testületnek.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="000D16BC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964DF2" w:rsidRPr="00964DF2">
        <w:rPr>
          <w:rFonts w:ascii="Arial" w:hAnsi="Arial" w:cs="Arial"/>
          <w:b w:val="0"/>
          <w:sz w:val="22"/>
          <w:szCs w:val="22"/>
        </w:rPr>
        <w:t>3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9142EA" w:rsidRPr="00964DF2">
        <w:rPr>
          <w:rFonts w:ascii="Arial" w:hAnsi="Arial" w:cs="Arial"/>
          <w:b w:val="0"/>
          <w:sz w:val="22"/>
          <w:szCs w:val="22"/>
        </w:rPr>
        <w:t>jú</w:t>
      </w:r>
      <w:r w:rsidR="00251248" w:rsidRPr="00964DF2">
        <w:rPr>
          <w:rFonts w:ascii="Arial" w:hAnsi="Arial" w:cs="Arial"/>
          <w:b w:val="0"/>
          <w:sz w:val="22"/>
          <w:szCs w:val="22"/>
        </w:rPr>
        <w:t>l</w:t>
      </w:r>
      <w:r w:rsidR="009142EA" w:rsidRPr="00964DF2">
        <w:rPr>
          <w:rFonts w:ascii="Arial" w:hAnsi="Arial" w:cs="Arial"/>
          <w:b w:val="0"/>
          <w:sz w:val="22"/>
          <w:szCs w:val="22"/>
        </w:rPr>
        <w:t xml:space="preserve">ius </w:t>
      </w:r>
      <w:r w:rsidR="00964DF2" w:rsidRPr="00964DF2">
        <w:rPr>
          <w:rFonts w:ascii="Arial" w:hAnsi="Arial" w:cs="Arial"/>
          <w:b w:val="0"/>
          <w:sz w:val="22"/>
          <w:szCs w:val="22"/>
        </w:rPr>
        <w:t>13</w:t>
      </w:r>
      <w:r w:rsidR="000241A4" w:rsidRPr="00964DF2">
        <w:rPr>
          <w:rFonts w:ascii="Arial" w:hAnsi="Arial" w:cs="Arial"/>
          <w:b w:val="0"/>
          <w:sz w:val="22"/>
          <w:szCs w:val="22"/>
        </w:rPr>
        <w:t>-</w:t>
      </w:r>
      <w:r w:rsidR="00964DF2" w:rsidRPr="00964DF2">
        <w:rPr>
          <w:rFonts w:ascii="Arial" w:hAnsi="Arial" w:cs="Arial"/>
          <w:b w:val="0"/>
          <w:sz w:val="22"/>
          <w:szCs w:val="22"/>
        </w:rPr>
        <w:t>á</w:t>
      </w:r>
      <w:r w:rsidR="00A63731" w:rsidRPr="00964DF2">
        <w:rPr>
          <w:rFonts w:ascii="Arial" w:hAnsi="Arial" w:cs="Arial"/>
          <w:b w:val="0"/>
          <w:sz w:val="22"/>
          <w:szCs w:val="22"/>
        </w:rPr>
        <w:t>n a Magyar Közlöny 1</w:t>
      </w:r>
      <w:r w:rsidR="00964DF2" w:rsidRPr="00964DF2">
        <w:rPr>
          <w:rFonts w:ascii="Arial" w:hAnsi="Arial" w:cs="Arial"/>
          <w:b w:val="0"/>
          <w:sz w:val="22"/>
          <w:szCs w:val="22"/>
        </w:rPr>
        <w:t>04</w:t>
      </w:r>
      <w:r w:rsidR="00A63731" w:rsidRPr="00964DF2">
        <w:rPr>
          <w:rFonts w:ascii="Arial" w:hAnsi="Arial" w:cs="Arial"/>
          <w:b w:val="0"/>
          <w:sz w:val="22"/>
          <w:szCs w:val="22"/>
        </w:rPr>
        <w:t>. számáb</w:t>
      </w:r>
      <w:r w:rsidR="008D6A7B" w:rsidRPr="00964DF2">
        <w:rPr>
          <w:rFonts w:ascii="Arial" w:hAnsi="Arial" w:cs="Arial"/>
          <w:b w:val="0"/>
          <w:sz w:val="22"/>
          <w:szCs w:val="22"/>
        </w:rPr>
        <w:t>an megjelent a Magyarország 202</w:t>
      </w:r>
      <w:r w:rsidR="00964DF2" w:rsidRPr="00964DF2">
        <w:rPr>
          <w:rFonts w:ascii="Arial" w:hAnsi="Arial" w:cs="Arial"/>
          <w:b w:val="0"/>
          <w:sz w:val="22"/>
          <w:szCs w:val="22"/>
        </w:rPr>
        <w:t>4</w:t>
      </w:r>
      <w:r w:rsidR="00A63731" w:rsidRPr="00964DF2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 w:rsidRPr="00964DF2">
        <w:rPr>
          <w:rFonts w:ascii="Arial" w:hAnsi="Arial" w:cs="Arial"/>
          <w:b w:val="0"/>
          <w:sz w:val="22"/>
          <w:szCs w:val="22"/>
        </w:rPr>
        <w:t>éről szóló 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964DF2" w:rsidRPr="00964DF2">
        <w:rPr>
          <w:rFonts w:ascii="Arial" w:hAnsi="Arial" w:cs="Arial"/>
          <w:b w:val="0"/>
          <w:sz w:val="22"/>
          <w:szCs w:val="22"/>
        </w:rPr>
        <w:t>3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évi </w:t>
      </w:r>
      <w:r w:rsidR="00964DF2" w:rsidRPr="00964DF2">
        <w:rPr>
          <w:rFonts w:ascii="Arial" w:hAnsi="Arial" w:cs="Arial"/>
          <w:b w:val="0"/>
          <w:sz w:val="22"/>
          <w:szCs w:val="22"/>
        </w:rPr>
        <w:t>LV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A46DA3" w:rsidRPr="00964DF2">
        <w:rPr>
          <w:rFonts w:ascii="Arial" w:hAnsi="Arial" w:cs="Arial"/>
          <w:b w:val="0"/>
          <w:sz w:val="22"/>
          <w:szCs w:val="22"/>
        </w:rPr>
        <w:t>(a továbbiakban: Kvtv.)</w:t>
      </w:r>
      <w:r w:rsidR="00A63731" w:rsidRPr="00964DF2">
        <w:rPr>
          <w:rFonts w:ascii="Arial" w:hAnsi="Arial" w:cs="Arial"/>
          <w:b w:val="0"/>
          <w:sz w:val="22"/>
          <w:szCs w:val="22"/>
        </w:rPr>
        <w:t>, így a költségvetés meghatározó sarokszámai ismertek, azok beterjeszthetőek. A költségvetési rendel</w:t>
      </w:r>
      <w:r w:rsidR="008D6A7B" w:rsidRPr="00964DF2">
        <w:rPr>
          <w:rFonts w:ascii="Arial" w:hAnsi="Arial" w:cs="Arial"/>
          <w:b w:val="0"/>
          <w:sz w:val="22"/>
          <w:szCs w:val="22"/>
        </w:rPr>
        <w:t>e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t megalkotásához az állami támogatások Magyar Államkincstár </w:t>
      </w:r>
      <w:r w:rsidR="00D77124" w:rsidRPr="00964DF2">
        <w:rPr>
          <w:rFonts w:ascii="Arial" w:hAnsi="Arial" w:cs="Arial"/>
          <w:b w:val="0"/>
          <w:sz w:val="22"/>
          <w:szCs w:val="22"/>
        </w:rPr>
        <w:t>által történő pontos kimutatás</w:t>
      </w:r>
      <w:r w:rsidR="00CC3B7E" w:rsidRPr="00964DF2">
        <w:rPr>
          <w:rFonts w:ascii="Arial" w:hAnsi="Arial" w:cs="Arial"/>
          <w:b w:val="0"/>
          <w:sz w:val="22"/>
          <w:szCs w:val="22"/>
        </w:rPr>
        <w:t>a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is </w:t>
      </w:r>
      <w:r w:rsidR="00CC3B7E" w:rsidRPr="00964DF2">
        <w:rPr>
          <w:rFonts w:ascii="Arial" w:hAnsi="Arial" w:cs="Arial"/>
          <w:b w:val="0"/>
          <w:sz w:val="22"/>
          <w:szCs w:val="22"/>
        </w:rPr>
        <w:t>rendelkezésre áll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 w:rsidRPr="00964DF2">
        <w:rPr>
          <w:rFonts w:ascii="Arial" w:hAnsi="Arial" w:cs="Arial"/>
          <w:b w:val="0"/>
          <w:sz w:val="22"/>
          <w:szCs w:val="22"/>
        </w:rPr>
        <w:t>alapján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 w:rsidRPr="00964DF2">
        <w:rPr>
          <w:rFonts w:ascii="Arial" w:hAnsi="Arial" w:cs="Arial"/>
          <w:b w:val="0"/>
          <w:sz w:val="22"/>
          <w:szCs w:val="22"/>
        </w:rPr>
        <w:t xml:space="preserve">vele tervezni, és a 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költségvetést elfogadni. </w:t>
      </w:r>
    </w:p>
    <w:p w14:paraId="024C33F3" w14:textId="77777777" w:rsidR="00A56BA0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14:paraId="4071A4C1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964DF2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14:paraId="62CA51C9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964DF2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14:paraId="06B07C6A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c)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4DF2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14:paraId="3BA1B3AB" w14:textId="77777777" w:rsidR="00CC3B7E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d)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 w:rsidRPr="00964DF2">
        <w:rPr>
          <w:rFonts w:ascii="Arial" w:hAnsi="Arial" w:cs="Arial"/>
          <w:sz w:val="22"/>
          <w:szCs w:val="22"/>
        </w:rPr>
        <w:t>.</w:t>
      </w:r>
      <w:r w:rsidRPr="00964DF2">
        <w:rPr>
          <w:rFonts w:ascii="Arial" w:hAnsi="Arial" w:cs="Arial"/>
          <w:sz w:val="22"/>
          <w:szCs w:val="22"/>
        </w:rPr>
        <w:t xml:space="preserve"> </w:t>
      </w:r>
    </w:p>
    <w:p w14:paraId="70249500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57673B3" w14:textId="75CC1CF5" w:rsidR="00A56BA0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B4DD2" w:rsidRPr="00964DF2">
        <w:rPr>
          <w:rFonts w:ascii="Arial" w:hAnsi="Arial" w:cs="Arial"/>
          <w:color w:val="auto"/>
          <w:sz w:val="22"/>
          <w:szCs w:val="22"/>
        </w:rPr>
        <w:t>(továbbiakban Áht.) 6. § (1) bekezdése szerint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964DF2">
        <w:rPr>
          <w:rFonts w:ascii="Arial" w:hAnsi="Arial" w:cs="Arial"/>
          <w:color w:val="auto"/>
          <w:sz w:val="22"/>
          <w:szCs w:val="22"/>
        </w:rPr>
        <w:t xml:space="preserve">a tervezés a bevételeket és kiadásokat közgazdasági, adminisztratív és a kormányzati funkciók szerinti funkcionális osztályozás szerint kell nyilvántartani és bemutatni. Az Áht. </w:t>
      </w:r>
      <w:r w:rsidRPr="00964DF2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 w:rsidRPr="00964DF2">
        <w:rPr>
          <w:rFonts w:ascii="Arial" w:hAnsi="Arial" w:cs="Arial"/>
          <w:color w:val="auto"/>
          <w:sz w:val="22"/>
          <w:szCs w:val="22"/>
        </w:rPr>
        <w:t>l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14:paraId="162B9DC7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C4165ED" w14:textId="724D0A27" w:rsidR="0050016B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F5D37" w:rsidRPr="00964DF2">
        <w:rPr>
          <w:rFonts w:ascii="Arial" w:hAnsi="Arial" w:cs="Arial"/>
          <w:color w:val="auto"/>
          <w:sz w:val="22"/>
          <w:szCs w:val="22"/>
        </w:rPr>
        <w:t>(továbbiakban: Mötv.)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</w:t>
      </w:r>
      <w:r w:rsidR="00A46DA3" w:rsidRPr="00964DF2">
        <w:rPr>
          <w:rFonts w:ascii="Arial" w:hAnsi="Arial" w:cs="Arial"/>
          <w:color w:val="auto"/>
          <w:sz w:val="22"/>
          <w:szCs w:val="22"/>
        </w:rPr>
        <w:t>–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a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 törvény</w:t>
      </w:r>
      <w:r w:rsidRPr="00964DF2">
        <w:rPr>
          <w:rFonts w:ascii="Arial" w:hAnsi="Arial" w:cs="Arial"/>
          <w:color w:val="auto"/>
          <w:sz w:val="22"/>
          <w:szCs w:val="22"/>
        </w:rPr>
        <w:t>ben meghatározott esetekben - az állammal kötött külön megállapodás alapján elláthat állami feladatokat. Önkormányzatunk ilyen megállapodással nem rendelkezik, így ebben az értelemben állami feladatot nem lát el.</w:t>
      </w:r>
    </w:p>
    <w:p w14:paraId="0AFFE505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BA51B87" w14:textId="7B207977" w:rsidR="00C30725" w:rsidRDefault="00964DF2" w:rsidP="00C30725">
      <w:pPr>
        <w:spacing w:after="0"/>
        <w:jc w:val="both"/>
        <w:rPr>
          <w:rFonts w:ascii="Arial" w:hAnsi="Arial" w:cs="Arial"/>
        </w:rPr>
      </w:pPr>
      <w:r w:rsidRPr="00C30725">
        <w:rPr>
          <w:rFonts w:ascii="Arial" w:hAnsi="Arial" w:cs="Arial"/>
        </w:rPr>
        <w:t xml:space="preserve">Az Mötv. 13. § (1) bekezdése határozza meg a helyi közügyek, valamint a helyben biztosítható közfeladatok körében ellátandó helyi önkormányzati feladatokat, ún. kötelezően ellátandó feladatokat. </w:t>
      </w:r>
      <w:r w:rsidR="00A56BA0" w:rsidRPr="00C30725">
        <w:rPr>
          <w:rFonts w:ascii="Arial" w:hAnsi="Arial" w:cs="Arial"/>
        </w:rPr>
        <w:t xml:space="preserve">A </w:t>
      </w:r>
      <w:r w:rsidR="00A46DA3" w:rsidRPr="00C30725">
        <w:rPr>
          <w:rFonts w:ascii="Arial" w:hAnsi="Arial" w:cs="Arial"/>
        </w:rPr>
        <w:t xml:space="preserve">törvény </w:t>
      </w:r>
      <w:r w:rsidR="00A56BA0" w:rsidRPr="00C30725">
        <w:rPr>
          <w:rFonts w:ascii="Arial" w:hAnsi="Arial" w:cs="Arial"/>
        </w:rPr>
        <w:t>a kötelező feladatellátás mértékét</w:t>
      </w:r>
      <w:r w:rsidR="00CC3B7E" w:rsidRPr="00C30725">
        <w:rPr>
          <w:rFonts w:ascii="Arial" w:hAnsi="Arial" w:cs="Arial"/>
        </w:rPr>
        <w:t>,</w:t>
      </w:r>
      <w:r w:rsidR="00A56BA0" w:rsidRPr="00C30725">
        <w:rPr>
          <w:rFonts w:ascii="Arial" w:hAnsi="Arial" w:cs="Arial"/>
        </w:rPr>
        <w:t xml:space="preserve"> arányait nem szabályozza,</w:t>
      </w:r>
      <w:r w:rsidR="006B4DD2" w:rsidRPr="00C30725">
        <w:rPr>
          <w:rFonts w:ascii="Arial" w:hAnsi="Arial" w:cs="Arial"/>
        </w:rPr>
        <w:t xml:space="preserve"> azokra</w:t>
      </w:r>
      <w:r w:rsidR="00A56BA0" w:rsidRPr="00C30725">
        <w:rPr>
          <w:rFonts w:ascii="Arial" w:hAnsi="Arial" w:cs="Arial"/>
        </w:rPr>
        <w:t xml:space="preserve"> </w:t>
      </w:r>
      <w:r w:rsidR="006B4DD2" w:rsidRPr="00C30725">
        <w:rPr>
          <w:rFonts w:ascii="Arial" w:hAnsi="Arial" w:cs="Arial"/>
        </w:rPr>
        <w:t>állami támogatást biztosít mutatószámok alapján,</w:t>
      </w:r>
      <w:r w:rsidR="00A9049B" w:rsidRPr="00C30725">
        <w:rPr>
          <w:rFonts w:ascii="Arial" w:hAnsi="Arial" w:cs="Arial"/>
        </w:rPr>
        <w:t xml:space="preserve"> valamint</w:t>
      </w:r>
      <w:r w:rsidRPr="00C30725">
        <w:rPr>
          <w:rFonts w:ascii="Arial" w:hAnsi="Arial" w:cs="Arial"/>
        </w:rPr>
        <w:t xml:space="preserve"> kiegészítő támogatások </w:t>
      </w:r>
      <w:r w:rsidR="00A9049B" w:rsidRPr="00C30725">
        <w:rPr>
          <w:rFonts w:ascii="Arial" w:hAnsi="Arial" w:cs="Arial"/>
        </w:rPr>
        <w:t xml:space="preserve">formájában </w:t>
      </w:r>
      <w:r w:rsidRPr="00C30725">
        <w:rPr>
          <w:rFonts w:ascii="Arial" w:hAnsi="Arial" w:cs="Arial"/>
        </w:rPr>
        <w:t>(</w:t>
      </w:r>
      <w:r w:rsidR="00A9049B" w:rsidRPr="00C30725">
        <w:rPr>
          <w:rFonts w:ascii="Arial" w:hAnsi="Arial" w:cs="Arial"/>
        </w:rPr>
        <w:t>energiaáremelkedés miatt</w:t>
      </w:r>
      <w:r w:rsidR="00C30725" w:rsidRPr="00C30725">
        <w:rPr>
          <w:rFonts w:ascii="Arial" w:hAnsi="Arial" w:cs="Arial"/>
        </w:rPr>
        <w:t xml:space="preserve"> ún.</w:t>
      </w:r>
      <w:r w:rsidRPr="00C30725">
        <w:rPr>
          <w:rFonts w:ascii="Arial" w:hAnsi="Arial" w:cs="Arial"/>
        </w:rPr>
        <w:t xml:space="preserve"> rezsitámogatás</w:t>
      </w:r>
      <w:r w:rsidR="00C30725" w:rsidRPr="00C30725">
        <w:rPr>
          <w:rFonts w:ascii="Arial" w:hAnsi="Arial" w:cs="Arial"/>
        </w:rPr>
        <w:t>; minimálbér emelés miatti bértámogatás</w:t>
      </w:r>
      <w:r w:rsidRPr="00C30725">
        <w:rPr>
          <w:rFonts w:ascii="Arial" w:hAnsi="Arial" w:cs="Arial"/>
        </w:rPr>
        <w:t>)</w:t>
      </w:r>
      <w:r w:rsidR="00C30725" w:rsidRPr="00C30725">
        <w:rPr>
          <w:rFonts w:ascii="Arial" w:hAnsi="Arial" w:cs="Arial"/>
        </w:rPr>
        <w:t xml:space="preserve">. </w:t>
      </w:r>
      <w:r w:rsidR="00A56BA0" w:rsidRPr="00C30725">
        <w:rPr>
          <w:rFonts w:ascii="Arial" w:hAnsi="Arial" w:cs="Arial"/>
        </w:rPr>
        <w:t>A kötelező és önként vállalt feladatok ellátását a kapcsolódó állami támogatások nem fedezik</w:t>
      </w:r>
      <w:r w:rsidR="00C30725" w:rsidRPr="00C30725">
        <w:rPr>
          <w:rFonts w:ascii="Arial" w:hAnsi="Arial" w:cs="Arial"/>
        </w:rPr>
        <w:t>, azon felüli forrásról a képviselő-testület dönthet</w:t>
      </w:r>
      <w:r w:rsidR="00894D98">
        <w:rPr>
          <w:rFonts w:ascii="Arial" w:hAnsi="Arial" w:cs="Arial"/>
        </w:rPr>
        <w:t xml:space="preserve">, </w:t>
      </w:r>
      <w:r w:rsidR="00A56BA0" w:rsidRPr="00C30725">
        <w:rPr>
          <w:rFonts w:ascii="Arial" w:hAnsi="Arial" w:cs="Arial"/>
        </w:rPr>
        <w:t>saját bevétele</w:t>
      </w:r>
      <w:r w:rsidR="00894D98">
        <w:rPr>
          <w:rFonts w:ascii="Arial" w:hAnsi="Arial" w:cs="Arial"/>
        </w:rPr>
        <w:t>iből (</w:t>
      </w:r>
      <w:r w:rsidR="00A56BA0" w:rsidRPr="00C30725">
        <w:rPr>
          <w:rFonts w:ascii="Arial" w:hAnsi="Arial" w:cs="Arial"/>
        </w:rPr>
        <w:t xml:space="preserve">elsősorban közhatalmi, valamint működési bevételeiből, az egyéb államháztartáson belüli </w:t>
      </w:r>
      <w:r w:rsidR="00A56BA0" w:rsidRPr="00C30725">
        <w:rPr>
          <w:rFonts w:ascii="Arial" w:hAnsi="Arial" w:cs="Arial"/>
        </w:rPr>
        <w:lastRenderedPageBreak/>
        <w:t xml:space="preserve">támogatási bevételekből és az </w:t>
      </w:r>
      <w:r w:rsidR="00A56BA0" w:rsidRPr="00964DF2">
        <w:rPr>
          <w:rFonts w:ascii="Arial" w:hAnsi="Arial" w:cs="Arial"/>
        </w:rPr>
        <w:t>államháztartáson kívülről történő pénzeszköz átvételekből</w:t>
      </w:r>
      <w:r w:rsidR="00894D98">
        <w:rPr>
          <w:rFonts w:ascii="Arial" w:hAnsi="Arial" w:cs="Arial"/>
        </w:rPr>
        <w:t>)</w:t>
      </w:r>
      <w:r w:rsidR="00A56BA0" w:rsidRPr="00964DF2">
        <w:rPr>
          <w:rFonts w:ascii="Arial" w:hAnsi="Arial" w:cs="Arial"/>
        </w:rPr>
        <w:t xml:space="preserve"> származó összegekkel biztosít</w:t>
      </w:r>
      <w:r w:rsidR="00894D98">
        <w:rPr>
          <w:rFonts w:ascii="Arial" w:hAnsi="Arial" w:cs="Arial"/>
        </w:rPr>
        <w:t>hat</w:t>
      </w:r>
      <w:r w:rsidR="00A56BA0" w:rsidRPr="00964DF2">
        <w:rPr>
          <w:rFonts w:ascii="Arial" w:hAnsi="Arial" w:cs="Arial"/>
        </w:rPr>
        <w:t>ja</w:t>
      </w:r>
      <w:r w:rsidR="00C30725">
        <w:rPr>
          <w:rFonts w:ascii="Arial" w:hAnsi="Arial" w:cs="Arial"/>
        </w:rPr>
        <w:t>.</w:t>
      </w:r>
    </w:p>
    <w:p w14:paraId="6FF6EF8F" w14:textId="77777777" w:rsidR="00AC7C48" w:rsidRPr="0030684E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C770DA8" w14:textId="4508AFA3" w:rsidR="00894D98" w:rsidRPr="004D7F0A" w:rsidRDefault="006F5D37" w:rsidP="00514A0C">
      <w:pPr>
        <w:spacing w:after="0"/>
        <w:jc w:val="both"/>
        <w:rPr>
          <w:rFonts w:ascii="Arial" w:eastAsiaTheme="minorHAnsi" w:hAnsi="Arial" w:cs="Arial"/>
        </w:rPr>
      </w:pPr>
      <w:r w:rsidRPr="00827D7B">
        <w:rPr>
          <w:rFonts w:ascii="Arial" w:hAnsi="Arial" w:cs="Arial"/>
        </w:rPr>
        <w:t xml:space="preserve">Hévíz Város Önkormányzat az említett jogszabályban meghatározott feladatokon túl </w:t>
      </w:r>
      <w:r w:rsidR="00017A74" w:rsidRPr="00827D7B">
        <w:rPr>
          <w:rFonts w:ascii="Arial" w:hAnsi="Arial" w:cs="Arial"/>
        </w:rPr>
        <w:t xml:space="preserve">továbbra </w:t>
      </w:r>
      <w:r w:rsidR="00017A74" w:rsidRPr="004D7F0A">
        <w:rPr>
          <w:rFonts w:ascii="Arial" w:hAnsi="Arial" w:cs="Arial"/>
        </w:rPr>
        <w:t xml:space="preserve">is </w:t>
      </w:r>
      <w:r w:rsidRPr="004D7F0A">
        <w:rPr>
          <w:rFonts w:ascii="Arial" w:hAnsi="Arial" w:cs="Arial"/>
        </w:rPr>
        <w:t xml:space="preserve">felvállal több önként vállalt feladatot is </w:t>
      </w:r>
      <w:r w:rsidRPr="004D7F0A">
        <w:rPr>
          <w:rFonts w:ascii="Arial" w:eastAsiaTheme="minorHAnsi" w:hAnsi="Arial" w:cs="Arial"/>
        </w:rPr>
        <w:t>a városi turizmus vonzóbbá tétele, illetve a helyi lakosság érdekében</w:t>
      </w:r>
      <w:r w:rsidR="004D7F0A" w:rsidRPr="004D7F0A">
        <w:rPr>
          <w:rFonts w:ascii="Arial" w:eastAsiaTheme="minorHAnsi" w:hAnsi="Arial" w:cs="Arial"/>
        </w:rPr>
        <w:t>. Többek</w:t>
      </w:r>
      <w:r w:rsidR="00894D98" w:rsidRPr="004D7F0A">
        <w:rPr>
          <w:rFonts w:ascii="Arial" w:eastAsiaTheme="minorHAnsi" w:hAnsi="Arial" w:cs="Arial"/>
        </w:rPr>
        <w:t xml:space="preserve"> között</w:t>
      </w:r>
      <w:r w:rsidR="004D7F0A" w:rsidRPr="004D7F0A">
        <w:rPr>
          <w:rFonts w:ascii="Arial" w:eastAsiaTheme="minorHAnsi" w:hAnsi="Arial" w:cs="Arial"/>
        </w:rPr>
        <w:t xml:space="preserve"> pé</w:t>
      </w:r>
      <w:r w:rsidR="004D7F0A">
        <w:rPr>
          <w:rFonts w:ascii="Arial" w:eastAsiaTheme="minorHAnsi" w:hAnsi="Arial" w:cs="Arial"/>
        </w:rPr>
        <w:t>l</w:t>
      </w:r>
      <w:r w:rsidR="004D7F0A" w:rsidRPr="004D7F0A">
        <w:rPr>
          <w:rFonts w:ascii="Arial" w:eastAsiaTheme="minorHAnsi" w:hAnsi="Arial" w:cs="Arial"/>
        </w:rPr>
        <w:t>dául:</w:t>
      </w:r>
    </w:p>
    <w:p w14:paraId="6619FB69" w14:textId="1295341A" w:rsidR="00894D98" w:rsidRPr="004D7F0A" w:rsidRDefault="00894D98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>Szociális bennlakásos ellátási forma, melynek ellátása továbbra is két telephelyen történik és fenntartása nem költséghatékony</w:t>
      </w:r>
      <w:r w:rsidR="004D7F0A" w:rsidRPr="004D7F0A">
        <w:rPr>
          <w:rFonts w:ascii="Arial" w:eastAsiaTheme="minorHAnsi" w:hAnsi="Arial" w:cs="Arial"/>
        </w:rPr>
        <w:t>;</w:t>
      </w:r>
    </w:p>
    <w:p w14:paraId="42CE469C" w14:textId="74ACB4BC" w:rsidR="00894D98" w:rsidRPr="004D7F0A" w:rsidRDefault="004D7F0A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>M</w:t>
      </w:r>
      <w:r w:rsidR="00894D98" w:rsidRPr="004D7F0A">
        <w:rPr>
          <w:rFonts w:ascii="Arial" w:eastAsiaTheme="minorHAnsi" w:hAnsi="Arial" w:cs="Arial"/>
        </w:rPr>
        <w:t>úzeumi tevékenység</w:t>
      </w:r>
      <w:r w:rsidRPr="004D7F0A">
        <w:rPr>
          <w:rFonts w:ascii="Arial" w:eastAsiaTheme="minorHAnsi" w:hAnsi="Arial" w:cs="Arial"/>
        </w:rPr>
        <w:t>;</w:t>
      </w:r>
    </w:p>
    <w:p w14:paraId="58BEC7D0" w14:textId="77777777" w:rsidR="00FA1535" w:rsidRDefault="00894D98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hAnsi="Arial" w:cs="Arial"/>
        </w:rPr>
        <w:t>HÉVÜZ Hévíz Városüzemeltetési Kft</w:t>
      </w:r>
      <w:r w:rsidR="009C5588">
        <w:rPr>
          <w:rFonts w:ascii="Arial" w:hAnsi="Arial" w:cs="Arial"/>
        </w:rPr>
        <w:t>.</w:t>
      </w:r>
      <w:r w:rsidRPr="004D7F0A">
        <w:rPr>
          <w:rFonts w:ascii="Arial" w:eastAsiaTheme="minorHAnsi" w:hAnsi="Arial" w:cs="Arial"/>
        </w:rPr>
        <w:t xml:space="preserve"> által üzemeltetett Fontana Filmszínház</w:t>
      </w:r>
      <w:r w:rsidR="004D7F0A" w:rsidRPr="004D7F0A">
        <w:rPr>
          <w:rFonts w:ascii="Arial" w:eastAsiaTheme="minorHAnsi" w:hAnsi="Arial" w:cs="Arial"/>
        </w:rPr>
        <w:t>.</w:t>
      </w:r>
    </w:p>
    <w:p w14:paraId="37099821" w14:textId="77777777" w:rsidR="00FA1535" w:rsidRPr="00FA1535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>Hévízi Tourinform Iroda és turisztikai marketing</w:t>
      </w:r>
    </w:p>
    <w:p w14:paraId="25FA927E" w14:textId="3302FB1D" w:rsidR="00593CAF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Televíziós műsorszolgáltatás</w:t>
      </w:r>
      <w:r w:rsidR="00894D98" w:rsidRPr="004D7F0A">
        <w:rPr>
          <w:rFonts w:ascii="Arial" w:eastAsiaTheme="minorHAnsi" w:hAnsi="Arial" w:cs="Arial"/>
        </w:rPr>
        <w:t xml:space="preserve"> </w:t>
      </w:r>
    </w:p>
    <w:p w14:paraId="1468540A" w14:textId="682DABCD" w:rsidR="00D25F7E" w:rsidRPr="004D7F0A" w:rsidRDefault="00D25F7E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Sporttámogatás</w:t>
      </w:r>
    </w:p>
    <w:p w14:paraId="43359384" w14:textId="21AB9C65" w:rsidR="00894D98" w:rsidRDefault="00894D98" w:rsidP="004D7F0A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4FFF19C5" w14:textId="71BD3B6F" w:rsidR="004D7F0A" w:rsidRPr="004D7F0A" w:rsidRDefault="004D7F0A" w:rsidP="004D7F0A">
      <w:p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>A költségracionalizálás fontos eleme továbbra is az ingatlan hasznosítás, valamint a több telephelyen ellátott feladatok összevonása (mely részben megvalósult a Deák tér 1</w:t>
      </w:r>
      <w:r w:rsidR="004F19C0">
        <w:rPr>
          <w:rFonts w:ascii="Arial" w:eastAsiaTheme="minorHAnsi" w:hAnsi="Arial" w:cs="Arial"/>
        </w:rPr>
        <w:t>.</w:t>
      </w:r>
      <w:r w:rsidRPr="004D7F0A">
        <w:rPr>
          <w:rFonts w:ascii="Arial" w:eastAsiaTheme="minorHAnsi" w:hAnsi="Arial" w:cs="Arial"/>
        </w:rPr>
        <w:t xml:space="preserve"> szám alatt,</w:t>
      </w:r>
      <w:r w:rsidR="004F19C0">
        <w:rPr>
          <w:rFonts w:ascii="Arial" w:eastAsiaTheme="minorHAnsi" w:hAnsi="Arial" w:cs="Arial"/>
        </w:rPr>
        <w:t xml:space="preserve"> azonban</w:t>
      </w:r>
      <w:r w:rsidRPr="004D7F0A">
        <w:rPr>
          <w:rFonts w:ascii="Arial" w:eastAsiaTheme="minorHAnsi" w:hAnsi="Arial" w:cs="Arial"/>
        </w:rPr>
        <w:t xml:space="preserve"> költségvetési hatása 2024. évben várható), és a felszabaduló ingatlan(ok) más célú hasznosítása.</w:t>
      </w:r>
    </w:p>
    <w:p w14:paraId="4F9B8C82" w14:textId="253CF9BA" w:rsidR="004D7F0A" w:rsidRDefault="004D7F0A" w:rsidP="004D7F0A">
      <w:pPr>
        <w:spacing w:after="0"/>
        <w:jc w:val="both"/>
        <w:rPr>
          <w:rFonts w:ascii="Arial" w:eastAsiaTheme="minorHAnsi" w:hAnsi="Arial" w:cs="Arial"/>
        </w:rPr>
      </w:pPr>
    </w:p>
    <w:p w14:paraId="2F451BFA" w14:textId="33C35D5D" w:rsidR="004D7F0A" w:rsidRDefault="003813E4" w:rsidP="004D7F0A">
      <w:pPr>
        <w:spacing w:after="0"/>
        <w:jc w:val="both"/>
        <w:rPr>
          <w:rFonts w:ascii="Arial" w:hAnsi="Arial" w:cs="Arial"/>
        </w:rPr>
      </w:pPr>
      <w:r w:rsidRPr="00F67216">
        <w:rPr>
          <w:rFonts w:ascii="Arial" w:hAnsi="Arial" w:cs="Arial"/>
        </w:rPr>
        <w:t>A bevételek és kiadások tervezhetősége a 2020-2021. évi koronavírus-világjárvány, a 2022. évben kezdődő, Ukrajna területén fennálló fegyveres konfliktus, majd az azt követő energiaválság Magyarország gazdaságát érintő következménye</w:t>
      </w:r>
      <w:r w:rsidR="00F67216" w:rsidRPr="00F67216">
        <w:rPr>
          <w:rFonts w:ascii="Arial" w:hAnsi="Arial" w:cs="Arial"/>
        </w:rPr>
        <w:t>inek</w:t>
      </w:r>
      <w:r w:rsidRPr="00F67216">
        <w:rPr>
          <w:rFonts w:ascii="Arial" w:hAnsi="Arial" w:cs="Arial"/>
        </w:rPr>
        <w:t xml:space="preserve"> „orvosolása” után sem tér vissza a</w:t>
      </w:r>
      <w:r w:rsidR="00F67216" w:rsidRPr="00F67216">
        <w:rPr>
          <w:rFonts w:ascii="Arial" w:hAnsi="Arial" w:cs="Arial"/>
        </w:rPr>
        <w:t xml:space="preserve"> pandémia előtti időkben megszokott „hagyományos” útra</w:t>
      </w:r>
      <w:r w:rsidR="00F67216">
        <w:rPr>
          <w:rFonts w:ascii="Arial" w:hAnsi="Arial" w:cs="Arial"/>
        </w:rPr>
        <w:t xml:space="preserve"> a körülmények és a jogszabályok változása miatt.</w:t>
      </w:r>
    </w:p>
    <w:p w14:paraId="68E18E5A" w14:textId="6157488C" w:rsidR="00F67216" w:rsidRPr="00757762" w:rsidRDefault="00F67216" w:rsidP="00757762">
      <w:pPr>
        <w:spacing w:after="0"/>
        <w:jc w:val="both"/>
        <w:rPr>
          <w:rFonts w:ascii="Arial" w:eastAsiaTheme="minorHAnsi" w:hAnsi="Arial" w:cs="Arial"/>
        </w:rPr>
      </w:pPr>
      <w:r w:rsidRPr="00757762">
        <w:rPr>
          <w:rFonts w:ascii="Arial" w:eastAsiaTheme="minorHAnsi" w:hAnsi="Arial" w:cs="Arial"/>
        </w:rPr>
        <w:t>Körülmények</w:t>
      </w:r>
      <w:r w:rsidR="00D714FD" w:rsidRPr="00757762">
        <w:rPr>
          <w:rFonts w:ascii="Arial" w:eastAsiaTheme="minorHAnsi" w:hAnsi="Arial" w:cs="Arial"/>
        </w:rPr>
        <w:t xml:space="preserve"> között az intézményi átszervezések jelentették a legnagyobb változást, valamint 2023. szeptember 1-től az óvodai nevelési feladatokat Veszprémi Főegyházmegye látja el.</w:t>
      </w:r>
    </w:p>
    <w:p w14:paraId="08E15875" w14:textId="4F275A3A" w:rsidR="00807294" w:rsidRDefault="00807294" w:rsidP="00807294">
      <w:pPr>
        <w:spacing w:after="0"/>
        <w:jc w:val="both"/>
        <w:rPr>
          <w:rFonts w:ascii="Arial" w:eastAsiaTheme="minorHAnsi" w:hAnsi="Arial" w:cs="Arial"/>
        </w:rPr>
      </w:pPr>
    </w:p>
    <w:p w14:paraId="33BD3CE9" w14:textId="63219155" w:rsidR="00757762" w:rsidRDefault="00757762" w:rsidP="00807294">
      <w:pPr>
        <w:spacing w:after="0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 xml:space="preserve">Az adósságot keletkeztető ügyletekkel kapcsolatos jogszabályok több szempontból is változtak, szigorodtak. </w:t>
      </w:r>
      <w:r w:rsidR="00DD238C" w:rsidRPr="00DD238C">
        <w:rPr>
          <w:rFonts w:ascii="Arial" w:hAnsi="Arial" w:cs="Arial"/>
        </w:rPr>
        <w:t>A</w:t>
      </w:r>
      <w:r w:rsidR="00771D09" w:rsidRPr="00DD238C">
        <w:rPr>
          <w:rFonts w:ascii="Arial" w:hAnsi="Arial" w:cs="Arial"/>
        </w:rPr>
        <w:t xml:space="preserve"> Magyarország gazdasági stabilitásáról szóló 2011. évi CXCIV</w:t>
      </w:r>
      <w:r w:rsidR="00DD238C">
        <w:rPr>
          <w:rFonts w:ascii="Arial" w:hAnsi="Arial" w:cs="Arial"/>
        </w:rPr>
        <w:t>.</w:t>
      </w:r>
      <w:r w:rsidR="00771D09" w:rsidRPr="00DD238C">
        <w:rPr>
          <w:rFonts w:ascii="Arial" w:hAnsi="Arial" w:cs="Arial"/>
        </w:rPr>
        <w:t xml:space="preserve"> törvény</w:t>
      </w:r>
      <w:r w:rsidR="00DD238C">
        <w:rPr>
          <w:rFonts w:ascii="Arial" w:hAnsi="Arial" w:cs="Arial"/>
        </w:rPr>
        <w:t xml:space="preserve"> (továbbiakban: stabilitási törvény) 8. § (2) bekezdése sorolja fel az adósságot keletkeztető ügyleteket, köztük a pénzügyi lízinget is. Az új megfogalmazás szerint minden pénzügyi lízing adósságot keletkeztető ügylet.</w:t>
      </w:r>
    </w:p>
    <w:p w14:paraId="206601B9" w14:textId="491F5823" w:rsidR="004C1DBC" w:rsidRPr="00AA7670" w:rsidRDefault="00DD238C" w:rsidP="00AA7670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>A stabilitási törvény 10/B § (5) bekezdése – mely szabályozza, milyen esetekben tagadhatja meg a Kormány az adósságot keletkeztető ügylethez való hozzájárulását – egészült ki a</w:t>
      </w:r>
      <w:r w:rsidR="00AA7670">
        <w:rPr>
          <w:rFonts w:ascii="Arial" w:hAnsi="Arial" w:cs="Arial"/>
        </w:rPr>
        <w:t xml:space="preserve"> </w:t>
      </w:r>
      <w:r w:rsidR="00AA7670" w:rsidRPr="00AA7670">
        <w:rPr>
          <w:rFonts w:ascii="Arial" w:hAnsi="Arial" w:cs="Arial"/>
        </w:rPr>
        <w:t>„ha az ügylet, illetve a fejlesztés nem felel meg a gazdaságos, hatékony és eredményes gazdálkodás alapelvének” szövegrésszel</w:t>
      </w:r>
      <w:r w:rsidR="00AA7670">
        <w:rPr>
          <w:rFonts w:ascii="Arial" w:hAnsi="Arial" w:cs="Arial"/>
        </w:rPr>
        <w:t xml:space="preserve">, </w:t>
      </w:r>
      <w:r w:rsidR="00C02592">
        <w:rPr>
          <w:rFonts w:ascii="Arial" w:hAnsi="Arial" w:cs="Arial"/>
        </w:rPr>
        <w:t>és az</w:t>
      </w:r>
      <w:r w:rsidR="00AA7670">
        <w:rPr>
          <w:rFonts w:ascii="Arial" w:hAnsi="Arial" w:cs="Arial"/>
        </w:rPr>
        <w:t xml:space="preserve"> </w:t>
      </w:r>
      <w:r w:rsidR="00AA7670" w:rsidRPr="00AA7670">
        <w:rPr>
          <w:rFonts w:ascii="Arial" w:hAnsi="Arial" w:cs="Arial"/>
        </w:rPr>
        <w:t>(5a) </w:t>
      </w:r>
      <w:r w:rsidR="00AA7670">
        <w:rPr>
          <w:rFonts w:ascii="Arial" w:hAnsi="Arial" w:cs="Arial"/>
        </w:rPr>
        <w:t>bekezdéssel, mely szerint</w:t>
      </w:r>
      <w:r w:rsidR="00AA7670" w:rsidRPr="00AA7670">
        <w:rPr>
          <w:rFonts w:ascii="Arial" w:hAnsi="Arial" w:cs="Arial"/>
        </w:rPr>
        <w:t xml:space="preserve">  </w:t>
      </w:r>
      <w:r w:rsidR="00AA7670">
        <w:rPr>
          <w:rFonts w:ascii="Arial" w:hAnsi="Arial" w:cs="Arial"/>
        </w:rPr>
        <w:t>„a</w:t>
      </w:r>
      <w:r w:rsidR="00AA7670" w:rsidRPr="00AA7670">
        <w:rPr>
          <w:rFonts w:ascii="Arial" w:hAnsi="Arial" w:cs="Arial"/>
        </w:rPr>
        <w:t xml:space="preserve"> Kormány az (5) bekezdésben foglalt feltételek teljesülését a hozzájárulásra vonatkozó döntés meghozatalát megelőzően, illetve az ügylet futamideje alatt a kormányzati ellenőrzési szerv útján ellenőrizheti</w:t>
      </w:r>
      <w:r w:rsidR="00AA7670">
        <w:rPr>
          <w:rFonts w:ascii="Arial" w:hAnsi="Arial" w:cs="Arial"/>
        </w:rPr>
        <w:t>”</w:t>
      </w:r>
      <w:r w:rsidR="00AA7670" w:rsidRPr="00AA7670">
        <w:rPr>
          <w:rFonts w:ascii="Arial" w:hAnsi="Arial" w:cs="Arial"/>
        </w:rPr>
        <w:t>.</w:t>
      </w:r>
    </w:p>
    <w:p w14:paraId="5904D523" w14:textId="74737B34" w:rsidR="00E8594A" w:rsidRDefault="00E8594A" w:rsidP="00514A0C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2C8D3691" w14:textId="77777777" w:rsidR="00BC190C" w:rsidRPr="00AA7670" w:rsidRDefault="00BC190C" w:rsidP="00514A0C">
      <w:pPr>
        <w:spacing w:after="0"/>
        <w:jc w:val="both"/>
        <w:rPr>
          <w:rFonts w:ascii="Arial" w:hAnsi="Arial" w:cs="Arial"/>
        </w:rPr>
      </w:pPr>
      <w:r w:rsidRPr="00AA7670">
        <w:rPr>
          <w:rFonts w:ascii="Arial" w:hAnsi="Arial" w:cs="Arial"/>
        </w:rPr>
        <w:t>Hévíz Város nívójának fenntartása fontos és szükséges, hiszen enélkül a turizmus hanyatlása bevétel kiesést generálhat, amely tovább gyűr</w:t>
      </w:r>
      <w:r w:rsidR="00E45703" w:rsidRPr="00AA7670">
        <w:rPr>
          <w:rFonts w:ascii="Arial" w:hAnsi="Arial" w:cs="Arial"/>
        </w:rPr>
        <w:t>ű</w:t>
      </w:r>
      <w:r w:rsidRPr="00AA7670">
        <w:rPr>
          <w:rFonts w:ascii="Arial" w:hAnsi="Arial" w:cs="Arial"/>
        </w:rPr>
        <w:t xml:space="preserve">zve növeli a negatív hatásokat. </w:t>
      </w:r>
    </w:p>
    <w:p w14:paraId="40732FD1" w14:textId="77777777" w:rsidR="00BC190C" w:rsidRPr="00AA7670" w:rsidRDefault="00BC190C" w:rsidP="00514A0C">
      <w:pPr>
        <w:spacing w:after="0"/>
        <w:jc w:val="both"/>
        <w:rPr>
          <w:rFonts w:ascii="Arial" w:hAnsi="Arial" w:cs="Arial"/>
        </w:rPr>
      </w:pPr>
    </w:p>
    <w:p w14:paraId="1DFE4848" w14:textId="7CE6C8EF" w:rsidR="006B336C" w:rsidRPr="00AA7670" w:rsidRDefault="006B33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7670">
        <w:rPr>
          <w:rFonts w:ascii="Arial" w:hAnsi="Arial" w:cs="Arial"/>
          <w:color w:val="auto"/>
          <w:sz w:val="22"/>
          <w:szCs w:val="22"/>
        </w:rPr>
        <w:t xml:space="preserve">Továbbra is kiemelkedő jelentőséggel bírnak az Európai Unió által finanszírozott beruházások, melyek </w:t>
      </w:r>
      <w:r w:rsidR="00EC7A3E" w:rsidRPr="00AA7670">
        <w:rPr>
          <w:rFonts w:ascii="Arial" w:hAnsi="Arial" w:cs="Arial"/>
          <w:color w:val="auto"/>
          <w:sz w:val="22"/>
          <w:szCs w:val="22"/>
        </w:rPr>
        <w:t>nagy mértékben befolyásolják a költségvetési főösszeget.</w:t>
      </w:r>
    </w:p>
    <w:p w14:paraId="3CB767B8" w14:textId="6312D116" w:rsidR="00C30725" w:rsidRPr="00AA7670" w:rsidRDefault="00C3072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B955F2F" w14:textId="64B40C5E" w:rsidR="00B833F0" w:rsidRPr="00AA7670" w:rsidRDefault="0076443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felsorolt gazdasági </w:t>
      </w:r>
      <w:r w:rsidR="00714E3A"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események, </w:t>
      </w:r>
      <w:r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intézkedések tükrében kerültek tervezésre a 202</w:t>
      </w:r>
      <w:r w:rsid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</w:t>
      </w:r>
      <w:r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 évi bevételek</w:t>
      </w:r>
      <w:r w:rsidR="00BC190C"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kiadások</w:t>
      </w:r>
      <w:r w:rsidRPr="00AA767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4C7140A6" w14:textId="19A7F11D" w:rsidR="00026022" w:rsidRDefault="00026022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5AD9B662" w14:textId="77777777" w:rsidR="00AA7670" w:rsidRPr="0030684E" w:rsidRDefault="00AA767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2FCA1173" w14:textId="77777777" w:rsidR="00B833F0" w:rsidRPr="0030684E" w:rsidRDefault="00B833F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0C26E4" w14:textId="77777777" w:rsidR="00B045AC" w:rsidRPr="00BC4F27" w:rsidRDefault="00B045AC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C4F27">
        <w:rPr>
          <w:rFonts w:ascii="Arial" w:hAnsi="Arial" w:cs="Arial"/>
          <w:b/>
          <w:color w:val="auto"/>
          <w:sz w:val="22"/>
          <w:szCs w:val="22"/>
        </w:rPr>
        <w:t>Bevételek</w:t>
      </w:r>
    </w:p>
    <w:p w14:paraId="4B3CE8EC" w14:textId="77777777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AC07561" w14:textId="11B49B7F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C4F27">
        <w:rPr>
          <w:rFonts w:ascii="Arial" w:hAnsi="Arial" w:cs="Arial"/>
          <w:b/>
          <w:color w:val="auto"/>
          <w:sz w:val="22"/>
          <w:szCs w:val="22"/>
          <w:u w:val="single"/>
        </w:rPr>
        <w:t>202</w:t>
      </w:r>
      <w:r w:rsidR="00BC4F27" w:rsidRPr="00BC4F27">
        <w:rPr>
          <w:rFonts w:ascii="Arial" w:hAnsi="Arial" w:cs="Arial"/>
          <w:b/>
          <w:color w:val="auto"/>
          <w:sz w:val="22"/>
          <w:szCs w:val="22"/>
          <w:u w:val="single"/>
        </w:rPr>
        <w:t>4</w:t>
      </w:r>
      <w:r w:rsidRPr="00BC4F27">
        <w:rPr>
          <w:rFonts w:ascii="Arial" w:hAnsi="Arial" w:cs="Arial"/>
          <w:b/>
          <w:color w:val="auto"/>
          <w:sz w:val="22"/>
          <w:szCs w:val="22"/>
          <w:u w:val="single"/>
        </w:rPr>
        <w:t>. évi bevételi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előirányzatok összege </w:t>
      </w:r>
      <w:r w:rsidR="000E41B9" w:rsidRPr="00BC4F27">
        <w:rPr>
          <w:rFonts w:ascii="Arial" w:hAnsi="Arial" w:cs="Arial"/>
          <w:b/>
          <w:color w:val="auto"/>
          <w:sz w:val="22"/>
          <w:szCs w:val="22"/>
          <w:u w:val="single"/>
        </w:rPr>
        <w:t>4</w:t>
      </w:r>
      <w:r w:rsidR="00BC4F27" w:rsidRPr="00BC4F27">
        <w:rPr>
          <w:rFonts w:ascii="Arial" w:hAnsi="Arial" w:cs="Arial"/>
          <w:b/>
          <w:color w:val="auto"/>
          <w:sz w:val="22"/>
          <w:szCs w:val="22"/>
          <w:u w:val="single"/>
        </w:rPr>
        <w:t> 267 816</w:t>
      </w:r>
      <w:r w:rsidR="00013C6C" w:rsidRPr="00BC4F27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 000 </w:t>
      </w:r>
      <w:r w:rsidR="006E6B55" w:rsidRPr="00BC4F27">
        <w:rPr>
          <w:rFonts w:ascii="Arial" w:hAnsi="Arial" w:cs="Arial"/>
          <w:b/>
          <w:color w:val="auto"/>
          <w:sz w:val="22"/>
          <w:szCs w:val="22"/>
          <w:u w:val="single"/>
        </w:rPr>
        <w:t>forint</w:t>
      </w:r>
      <w:r w:rsidRPr="00BC4F27">
        <w:rPr>
          <w:rFonts w:ascii="Arial" w:hAnsi="Arial" w:cs="Arial"/>
          <w:b/>
          <w:color w:val="auto"/>
          <w:sz w:val="22"/>
          <w:szCs w:val="22"/>
          <w:u w:val="single"/>
        </w:rPr>
        <w:t>.</w:t>
      </w:r>
    </w:p>
    <w:p w14:paraId="207D360F" w14:textId="7E8FA108"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5B7B6609" w14:textId="77777777"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4640DAA" w14:textId="5EE6FA76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C4F27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bevételek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BC4F27" w:rsidRPr="00BC4F27">
        <w:rPr>
          <w:rFonts w:ascii="Arial" w:hAnsi="Arial" w:cs="Arial"/>
          <w:color w:val="auto"/>
          <w:sz w:val="22"/>
          <w:szCs w:val="22"/>
        </w:rPr>
        <w:t>2 610 800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013C6C" w:rsidRPr="00BC4F27">
        <w:rPr>
          <w:rFonts w:ascii="Arial" w:hAnsi="Arial" w:cs="Arial"/>
          <w:color w:val="auto"/>
          <w:sz w:val="22"/>
          <w:szCs w:val="22"/>
        </w:rPr>
        <w:t>000</w:t>
      </w:r>
      <w:r w:rsidR="006E6B55" w:rsidRPr="00BC4F27">
        <w:rPr>
          <w:rFonts w:ascii="Arial" w:hAnsi="Arial" w:cs="Arial"/>
          <w:color w:val="auto"/>
          <w:sz w:val="22"/>
          <w:szCs w:val="22"/>
        </w:rPr>
        <w:t xml:space="preserve"> forint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, mely a működési és a felhalmozási bevételek tervezett együttes összege. </w:t>
      </w:r>
    </w:p>
    <w:p w14:paraId="4D6CFD50" w14:textId="77777777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93EB5A2" w14:textId="5B19E4F8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C4F27">
        <w:rPr>
          <w:rFonts w:ascii="Arial" w:hAnsi="Arial" w:cs="Arial"/>
          <w:color w:val="auto"/>
          <w:sz w:val="22"/>
          <w:szCs w:val="22"/>
        </w:rPr>
        <w:t>A</w:t>
      </w:r>
      <w:r w:rsidRPr="00BC4F2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C4F27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bevételek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BC4F27" w:rsidRPr="00BC4F27">
        <w:rPr>
          <w:rFonts w:ascii="Arial" w:hAnsi="Arial" w:cs="Arial"/>
          <w:color w:val="auto"/>
          <w:sz w:val="22"/>
          <w:szCs w:val="22"/>
        </w:rPr>
        <w:t>2 608 655</w:t>
      </w:r>
      <w:r w:rsidR="00013C6C" w:rsidRPr="00BC4F27">
        <w:rPr>
          <w:rFonts w:ascii="Arial" w:hAnsi="Arial" w:cs="Arial"/>
          <w:color w:val="auto"/>
          <w:sz w:val="22"/>
          <w:szCs w:val="22"/>
        </w:rPr>
        <w:t xml:space="preserve"> 000 </w:t>
      </w:r>
      <w:r w:rsidR="006E6B55" w:rsidRPr="00BC4F27">
        <w:rPr>
          <w:rFonts w:ascii="Arial" w:hAnsi="Arial" w:cs="Arial"/>
          <w:color w:val="auto"/>
          <w:sz w:val="22"/>
          <w:szCs w:val="22"/>
        </w:rPr>
        <w:t>forint</w:t>
      </w:r>
      <w:r w:rsidRPr="00BC4F27">
        <w:rPr>
          <w:rFonts w:ascii="Arial" w:hAnsi="Arial" w:cs="Arial"/>
          <w:color w:val="auto"/>
          <w:sz w:val="22"/>
          <w:szCs w:val="22"/>
        </w:rPr>
        <w:t>.</w:t>
      </w:r>
    </w:p>
    <w:p w14:paraId="6F3960BF" w14:textId="77777777"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811A9CF" w14:textId="3A67F73C" w:rsidR="00B045AC" w:rsidRPr="00BC4F27" w:rsidRDefault="00B045AC" w:rsidP="00182DFF">
      <w:pPr>
        <w:spacing w:after="0"/>
        <w:jc w:val="both"/>
        <w:rPr>
          <w:rFonts w:ascii="Arial" w:hAnsi="Arial" w:cs="Arial"/>
          <w:b/>
          <w:u w:val="single"/>
        </w:rPr>
      </w:pPr>
      <w:r w:rsidRPr="00BC4F27">
        <w:rPr>
          <w:rFonts w:ascii="Arial" w:hAnsi="Arial" w:cs="Arial"/>
        </w:rPr>
        <w:t xml:space="preserve">Az </w:t>
      </w:r>
      <w:r w:rsidRPr="00BC4F27">
        <w:rPr>
          <w:rFonts w:ascii="Arial" w:hAnsi="Arial" w:cs="Arial"/>
          <w:b/>
        </w:rPr>
        <w:t>állami támogatásként</w:t>
      </w:r>
      <w:r w:rsidRPr="00BC4F27">
        <w:rPr>
          <w:rFonts w:ascii="Arial" w:hAnsi="Arial" w:cs="Arial"/>
        </w:rPr>
        <w:t xml:space="preserve"> tervezhető összeget</w:t>
      </w:r>
      <w:r w:rsidR="00AB462F" w:rsidRPr="00BC4F27">
        <w:rPr>
          <w:rFonts w:ascii="Arial" w:hAnsi="Arial" w:cs="Arial"/>
        </w:rPr>
        <w:t xml:space="preserve"> (</w:t>
      </w:r>
      <w:r w:rsidR="00BC4F27" w:rsidRPr="00BC4F27">
        <w:rPr>
          <w:rFonts w:ascii="Arial" w:hAnsi="Arial" w:cs="Arial"/>
        </w:rPr>
        <w:t>481 432</w:t>
      </w:r>
      <w:r w:rsidR="00182DFF" w:rsidRPr="00BC4F27">
        <w:rPr>
          <w:rFonts w:ascii="Arial" w:hAnsi="Arial" w:cs="Arial"/>
        </w:rPr>
        <w:t> 000 forint</w:t>
      </w:r>
      <w:r w:rsidR="00AB462F" w:rsidRPr="00BC4F27">
        <w:rPr>
          <w:rFonts w:ascii="Arial" w:hAnsi="Arial" w:cs="Arial"/>
        </w:rPr>
        <w:t>)</w:t>
      </w:r>
      <w:r w:rsidRPr="00BC4F27">
        <w:rPr>
          <w:rFonts w:ascii="Arial" w:hAnsi="Arial" w:cs="Arial"/>
        </w:rPr>
        <w:t xml:space="preserve"> a </w:t>
      </w:r>
      <w:r w:rsidR="00A46DA3" w:rsidRPr="00BC4F27">
        <w:rPr>
          <w:rFonts w:ascii="Arial" w:hAnsi="Arial" w:cs="Arial"/>
        </w:rPr>
        <w:t>Kvtv</w:t>
      </w:r>
      <w:r w:rsidR="00182DFF" w:rsidRPr="00BC4F27">
        <w:rPr>
          <w:rFonts w:ascii="Arial" w:hAnsi="Arial" w:cs="Arial"/>
        </w:rPr>
        <w:t>.</w:t>
      </w:r>
      <w:r w:rsidR="00A46DA3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 xml:space="preserve">határozza meg.  A </w:t>
      </w:r>
      <w:r w:rsidR="00A46DA3" w:rsidRPr="00BC4F27">
        <w:rPr>
          <w:rFonts w:ascii="Arial" w:hAnsi="Arial" w:cs="Arial"/>
        </w:rPr>
        <w:t>Kvtv.</w:t>
      </w:r>
      <w:r w:rsidRPr="00BC4F27">
        <w:rPr>
          <w:rFonts w:ascii="Arial" w:hAnsi="Arial" w:cs="Arial"/>
        </w:rPr>
        <w:t xml:space="preserve"> 2. számú melléklet</w:t>
      </w:r>
      <w:r w:rsidR="00BC4F27">
        <w:rPr>
          <w:rFonts w:ascii="Arial" w:hAnsi="Arial" w:cs="Arial"/>
        </w:rPr>
        <w:t>e</w:t>
      </w:r>
      <w:r w:rsidRPr="00BC4F27">
        <w:rPr>
          <w:rFonts w:ascii="Arial" w:hAnsi="Arial" w:cs="Arial"/>
        </w:rPr>
        <w:t xml:space="preserve"> tartalmazza a helyi önkormányzatok általános működésének és ágazati feladatainak támogatására megállapított támogatási fajtákat és mértékeket.</w:t>
      </w:r>
      <w:r w:rsidR="00182DFF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>Jelen költségvetési rendelet-tervezet készítése</w:t>
      </w:r>
      <w:r w:rsidR="00AB462F" w:rsidRPr="00BC4F27">
        <w:rPr>
          <w:rFonts w:ascii="Arial" w:hAnsi="Arial" w:cs="Arial"/>
        </w:rPr>
        <w:t>kor</w:t>
      </w:r>
      <w:r w:rsidRPr="00BC4F27">
        <w:rPr>
          <w:rFonts w:ascii="Arial" w:hAnsi="Arial" w:cs="Arial"/>
        </w:rPr>
        <w:t xml:space="preserve"> már rendelkezésre áll a 202</w:t>
      </w:r>
      <w:r w:rsidR="00BC4F27">
        <w:rPr>
          <w:rFonts w:ascii="Arial" w:hAnsi="Arial" w:cs="Arial"/>
        </w:rPr>
        <w:t>4</w:t>
      </w:r>
      <w:r w:rsidRPr="00BC4F27">
        <w:rPr>
          <w:rFonts w:ascii="Arial" w:hAnsi="Arial" w:cs="Arial"/>
        </w:rPr>
        <w:t xml:space="preserve">. évi állami támogatás </w:t>
      </w:r>
      <w:r w:rsidR="006E6B55" w:rsidRPr="00BC4F27">
        <w:rPr>
          <w:rFonts w:ascii="Arial" w:hAnsi="Arial" w:cs="Arial"/>
        </w:rPr>
        <w:t>forint</w:t>
      </w:r>
      <w:r w:rsidRPr="00BC4F27">
        <w:rPr>
          <w:rFonts w:ascii="Arial" w:hAnsi="Arial" w:cs="Arial"/>
        </w:rPr>
        <w:t>osít</w:t>
      </w:r>
      <w:r w:rsidR="00AB462F" w:rsidRPr="00BC4F27">
        <w:rPr>
          <w:rFonts w:ascii="Arial" w:hAnsi="Arial" w:cs="Arial"/>
        </w:rPr>
        <w:t>ott összege.</w:t>
      </w:r>
    </w:p>
    <w:p w14:paraId="7DA0C13F" w14:textId="1D273DB0" w:rsidR="00AC7C48" w:rsidRPr="0030684E" w:rsidRDefault="00AC7C48" w:rsidP="00514A0C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460E0A89" w14:textId="28387BF9" w:rsidR="00BE47E9" w:rsidRPr="00BC4F27" w:rsidRDefault="00BC4F2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Magyar Államkincstárhoz az ebr42 rendszerbe</w:t>
      </w:r>
      <w:r>
        <w:rPr>
          <w:rFonts w:ascii="Arial" w:hAnsi="Arial" w:cs="Arial"/>
          <w:color w:val="auto"/>
          <w:sz w:val="22"/>
          <w:szCs w:val="22"/>
        </w:rPr>
        <w:t>n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leadott előzetesen adatok alapján </w:t>
      </w:r>
      <w:r>
        <w:rPr>
          <w:rFonts w:ascii="Arial" w:hAnsi="Arial" w:cs="Arial"/>
          <w:color w:val="auto"/>
          <w:sz w:val="22"/>
          <w:szCs w:val="22"/>
        </w:rPr>
        <w:t>a</w:t>
      </w:r>
      <w:r w:rsidR="00B045AC" w:rsidRPr="00BC4F27">
        <w:rPr>
          <w:rFonts w:ascii="Arial" w:hAnsi="Arial" w:cs="Arial"/>
          <w:color w:val="auto"/>
          <w:sz w:val="22"/>
          <w:szCs w:val="22"/>
        </w:rPr>
        <w:t>z önkormányzatunk működésének és ágazati feladatainak elvégzéséhez megállapított állami támogatás 202</w:t>
      </w:r>
      <w:r w:rsidRPr="00BC4F27">
        <w:rPr>
          <w:rFonts w:ascii="Arial" w:hAnsi="Arial" w:cs="Arial"/>
          <w:color w:val="auto"/>
          <w:sz w:val="22"/>
          <w:szCs w:val="22"/>
        </w:rPr>
        <w:t>4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. évi eredeti előirányzatként kimutatható összege </w:t>
      </w:r>
      <w:r w:rsidRPr="00BC4F27">
        <w:rPr>
          <w:rFonts w:ascii="Arial" w:hAnsi="Arial" w:cs="Arial"/>
          <w:color w:val="auto"/>
          <w:sz w:val="22"/>
          <w:szCs w:val="22"/>
        </w:rPr>
        <w:t>481 432 205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BC4F27">
        <w:rPr>
          <w:rFonts w:ascii="Arial" w:hAnsi="Arial" w:cs="Arial"/>
          <w:color w:val="auto"/>
          <w:sz w:val="22"/>
          <w:szCs w:val="22"/>
        </w:rPr>
        <w:t>forint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, mellyel szemben </w:t>
      </w:r>
      <w:r w:rsidRPr="00BC4F27">
        <w:rPr>
          <w:rFonts w:ascii="Arial" w:hAnsi="Arial" w:cs="Arial"/>
          <w:color w:val="auto"/>
          <w:sz w:val="22"/>
          <w:szCs w:val="22"/>
        </w:rPr>
        <w:t>177 806 938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BC4F27">
        <w:rPr>
          <w:rFonts w:ascii="Arial" w:hAnsi="Arial" w:cs="Arial"/>
          <w:color w:val="auto"/>
          <w:sz w:val="22"/>
          <w:szCs w:val="22"/>
        </w:rPr>
        <w:t>forint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szolidaritási hozzájárulás fizetendő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(teljesítése nettó finanszírozás keretében történik).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A szolidaritási hozzájárulás Hévíz Város </w:t>
      </w:r>
      <w:r w:rsidR="00182DFF" w:rsidRPr="00BC4F27">
        <w:rPr>
          <w:rFonts w:ascii="Arial" w:hAnsi="Arial" w:cs="Arial"/>
          <w:color w:val="auto"/>
          <w:sz w:val="22"/>
          <w:szCs w:val="22"/>
        </w:rPr>
        <w:t xml:space="preserve">Önkormányzat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költségvetési rendeleté</w:t>
      </w:r>
      <w:r w:rsidR="00333970" w:rsidRPr="00BC4F27">
        <w:rPr>
          <w:rFonts w:ascii="Arial" w:hAnsi="Arial" w:cs="Arial"/>
          <w:color w:val="auto"/>
          <w:sz w:val="22"/>
          <w:szCs w:val="22"/>
        </w:rPr>
        <w:t>ben 2021. év</w:t>
      </w:r>
      <w:r>
        <w:rPr>
          <w:rFonts w:ascii="Arial" w:hAnsi="Arial" w:cs="Arial"/>
          <w:color w:val="auto"/>
          <w:sz w:val="22"/>
          <w:szCs w:val="22"/>
        </w:rPr>
        <w:t xml:space="preserve"> óta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jelen</w:t>
      </w:r>
      <w:r>
        <w:rPr>
          <w:rFonts w:ascii="Arial" w:hAnsi="Arial" w:cs="Arial"/>
          <w:color w:val="auto"/>
          <w:sz w:val="22"/>
          <w:szCs w:val="22"/>
        </w:rPr>
        <w:t>ik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meg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elem</w:t>
      </w:r>
      <w:r w:rsidR="00333970" w:rsidRPr="00BC4F27">
        <w:rPr>
          <w:rFonts w:ascii="Arial" w:hAnsi="Arial" w:cs="Arial"/>
          <w:color w:val="auto"/>
          <w:sz w:val="22"/>
          <w:szCs w:val="22"/>
        </w:rPr>
        <w:t>ként</w:t>
      </w:r>
      <w:r w:rsidR="00E11B5B" w:rsidRPr="00BC4F27">
        <w:rPr>
          <w:rFonts w:ascii="Arial" w:hAnsi="Arial" w:cs="Arial"/>
          <w:color w:val="auto"/>
          <w:sz w:val="22"/>
          <w:szCs w:val="22"/>
        </w:rPr>
        <w:t xml:space="preserve">.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Alapja az iparűzési adóerő-képességet meghatározó adóalap.</w:t>
      </w:r>
      <w:r w:rsidR="00061EA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B6FA18" w14:textId="77777777" w:rsidR="00CC4887" w:rsidRPr="0030684E" w:rsidRDefault="00CC48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DA539C5" w14:textId="3C23B576" w:rsidR="00F928D5" w:rsidRPr="00E70440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0440">
        <w:rPr>
          <w:rFonts w:ascii="Arial" w:hAnsi="Arial" w:cs="Arial"/>
          <w:color w:val="auto"/>
          <w:sz w:val="22"/>
          <w:szCs w:val="22"/>
        </w:rPr>
        <w:t>Az eredeti támogatási előirányzaton belül</w:t>
      </w:r>
      <w:r w:rsidR="00BE47E9" w:rsidRPr="00E70440">
        <w:rPr>
          <w:rFonts w:ascii="Arial" w:hAnsi="Arial" w:cs="Arial"/>
          <w:color w:val="auto"/>
          <w:sz w:val="22"/>
          <w:szCs w:val="22"/>
        </w:rPr>
        <w:t xml:space="preserve">i részletezéseket a </w:t>
      </w:r>
      <w:r w:rsidR="006F678E" w:rsidRPr="00E70440">
        <w:rPr>
          <w:rFonts w:ascii="Arial" w:hAnsi="Arial" w:cs="Arial"/>
          <w:color w:val="auto"/>
          <w:sz w:val="22"/>
          <w:szCs w:val="22"/>
        </w:rPr>
        <w:t>4</w:t>
      </w:r>
      <w:r w:rsidR="00BE47E9" w:rsidRPr="00E70440">
        <w:rPr>
          <w:rFonts w:ascii="Arial" w:hAnsi="Arial" w:cs="Arial"/>
          <w:color w:val="auto"/>
          <w:sz w:val="22"/>
          <w:szCs w:val="22"/>
        </w:rPr>
        <w:t>. melléklet tartalmazza</w:t>
      </w:r>
      <w:r w:rsidR="00E70440" w:rsidRPr="00E70440">
        <w:rPr>
          <w:rFonts w:ascii="Arial" w:hAnsi="Arial" w:cs="Arial"/>
          <w:color w:val="auto"/>
          <w:sz w:val="22"/>
          <w:szCs w:val="22"/>
        </w:rPr>
        <w:t>.</w:t>
      </w:r>
      <w:r w:rsidR="00AB462F" w:rsidRPr="00E70440">
        <w:rPr>
          <w:rFonts w:ascii="Arial" w:hAnsi="Arial" w:cs="Arial"/>
          <w:color w:val="auto"/>
          <w:sz w:val="22"/>
          <w:szCs w:val="22"/>
        </w:rPr>
        <w:t xml:space="preserve"> </w:t>
      </w:r>
      <w:r w:rsidR="00E70440" w:rsidRPr="00E70440">
        <w:rPr>
          <w:rFonts w:ascii="Arial" w:hAnsi="Arial" w:cs="Arial"/>
          <w:color w:val="auto"/>
          <w:sz w:val="22"/>
          <w:szCs w:val="22"/>
        </w:rPr>
        <w:t>Az</w:t>
      </w:r>
      <w:r w:rsidR="00AB462F" w:rsidRPr="00E70440">
        <w:rPr>
          <w:rFonts w:ascii="Arial" w:hAnsi="Arial" w:cs="Arial"/>
          <w:color w:val="auto"/>
          <w:sz w:val="22"/>
          <w:szCs w:val="22"/>
        </w:rPr>
        <w:t xml:space="preserve"> ún. rezsitámogatás összeg</w:t>
      </w:r>
      <w:r w:rsidR="00E70440" w:rsidRPr="00E70440">
        <w:rPr>
          <w:rFonts w:ascii="Arial" w:hAnsi="Arial" w:cs="Arial"/>
          <w:color w:val="auto"/>
          <w:sz w:val="22"/>
          <w:szCs w:val="22"/>
        </w:rPr>
        <w:t>e beépült az üzemeltetési támogatások összegébe, viszont</w:t>
      </w:r>
      <w:r w:rsidR="00AB462F" w:rsidRPr="00E70440">
        <w:rPr>
          <w:rFonts w:ascii="Arial" w:hAnsi="Arial" w:cs="Arial"/>
          <w:color w:val="auto"/>
          <w:sz w:val="22"/>
          <w:szCs w:val="22"/>
        </w:rPr>
        <w:t xml:space="preserve"> </w:t>
      </w:r>
      <w:r w:rsidR="00E70440" w:rsidRPr="00E70440">
        <w:rPr>
          <w:rFonts w:ascii="Arial" w:hAnsi="Arial" w:cs="Arial"/>
          <w:color w:val="auto"/>
          <w:sz w:val="22"/>
          <w:szCs w:val="22"/>
        </w:rPr>
        <w:t>külön jelenik meg a minimálbér és a garantált bérminimum emelkedése miatti ellentételezés (Költségvetési törvény 20-§ (4) bekezdés) 38 921 705 forint összegben.</w:t>
      </w:r>
    </w:p>
    <w:p w14:paraId="1C61A73A" w14:textId="5409E808"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B175ABE" w14:textId="2DB7F811" w:rsidR="009C381C" w:rsidRPr="00E70440" w:rsidRDefault="00E7044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0440">
        <w:rPr>
          <w:rFonts w:ascii="Arial" w:hAnsi="Arial" w:cs="Arial"/>
          <w:color w:val="auto"/>
          <w:sz w:val="22"/>
          <w:szCs w:val="22"/>
        </w:rPr>
        <w:t xml:space="preserve">A 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 xml:space="preserve">működési bevételek </w:t>
      </w:r>
      <w:r w:rsidRPr="00E70440">
        <w:rPr>
          <w:rFonts w:ascii="Arial" w:hAnsi="Arial" w:cs="Arial"/>
          <w:color w:val="auto"/>
          <w:sz w:val="22"/>
          <w:szCs w:val="22"/>
        </w:rPr>
        <w:t>változásai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70440">
        <w:rPr>
          <w:rFonts w:ascii="Arial" w:hAnsi="Arial" w:cs="Arial"/>
          <w:color w:val="auto"/>
          <w:sz w:val="22"/>
          <w:szCs w:val="22"/>
        </w:rPr>
        <w:t>között meghatározó a térítési díjak emelése.</w:t>
      </w:r>
    </w:p>
    <w:p w14:paraId="5176C254" w14:textId="77777777" w:rsidR="009C381C" w:rsidRPr="0030684E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591144" w14:textId="4513B4B0" w:rsidR="00B045AC" w:rsidRPr="00394BC9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b/>
          <w:color w:val="auto"/>
          <w:sz w:val="22"/>
          <w:szCs w:val="22"/>
        </w:rPr>
        <w:t>Egyéb működési célú támogatások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bevételei </w:t>
      </w:r>
      <w:r w:rsidR="008762E5" w:rsidRPr="00394BC9">
        <w:rPr>
          <w:rFonts w:ascii="Arial" w:hAnsi="Arial" w:cs="Arial"/>
          <w:color w:val="auto"/>
          <w:sz w:val="22"/>
          <w:szCs w:val="22"/>
          <w:u w:val="single"/>
        </w:rPr>
        <w:t>á</w:t>
      </w:r>
      <w:r w:rsidRPr="00394BC9">
        <w:rPr>
          <w:rFonts w:ascii="Arial" w:hAnsi="Arial" w:cs="Arial"/>
          <w:color w:val="auto"/>
          <w:sz w:val="22"/>
          <w:szCs w:val="22"/>
          <w:u w:val="single"/>
        </w:rPr>
        <w:t>llamháztartáson belülről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394BC9">
        <w:rPr>
          <w:rFonts w:ascii="Arial" w:hAnsi="Arial" w:cs="Arial"/>
          <w:color w:val="auto"/>
          <w:sz w:val="22"/>
          <w:szCs w:val="22"/>
        </w:rPr>
        <w:t>6.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melléklet): </w:t>
      </w:r>
      <w:r w:rsidR="00FA5E32" w:rsidRPr="00394BC9">
        <w:rPr>
          <w:rFonts w:ascii="Arial" w:hAnsi="Arial" w:cs="Arial"/>
          <w:color w:val="auto"/>
          <w:sz w:val="22"/>
          <w:szCs w:val="22"/>
        </w:rPr>
        <w:t>202</w:t>
      </w:r>
      <w:r w:rsidR="00E70440" w:rsidRPr="00394BC9">
        <w:rPr>
          <w:rFonts w:ascii="Arial" w:hAnsi="Arial" w:cs="Arial"/>
          <w:color w:val="auto"/>
          <w:sz w:val="22"/>
          <w:szCs w:val="22"/>
        </w:rPr>
        <w:t>4</w:t>
      </w:r>
      <w:r w:rsidR="00FA5E32" w:rsidRPr="00394BC9">
        <w:rPr>
          <w:rFonts w:ascii="Arial" w:hAnsi="Arial" w:cs="Arial"/>
          <w:color w:val="auto"/>
          <w:sz w:val="22"/>
          <w:szCs w:val="22"/>
        </w:rPr>
        <w:t>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évi tervezett összege </w:t>
      </w:r>
      <w:r w:rsidR="00E70440" w:rsidRPr="00394BC9">
        <w:rPr>
          <w:rFonts w:ascii="Arial" w:hAnsi="Arial" w:cs="Arial"/>
          <w:color w:val="auto"/>
          <w:sz w:val="22"/>
          <w:szCs w:val="22"/>
        </w:rPr>
        <w:t>13 260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394BC9">
        <w:rPr>
          <w:rFonts w:ascii="Arial" w:hAnsi="Arial" w:cs="Arial"/>
          <w:color w:val="auto"/>
          <w:sz w:val="22"/>
          <w:szCs w:val="22"/>
        </w:rPr>
        <w:t>000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394BC9">
        <w:rPr>
          <w:rFonts w:ascii="Arial" w:hAnsi="Arial" w:cs="Arial"/>
          <w:color w:val="auto"/>
          <w:sz w:val="22"/>
          <w:szCs w:val="22"/>
        </w:rPr>
        <w:t>forint</w:t>
      </w:r>
      <w:r w:rsidRPr="00394BC9">
        <w:rPr>
          <w:rFonts w:ascii="Arial" w:hAnsi="Arial" w:cs="Arial"/>
          <w:color w:val="auto"/>
          <w:sz w:val="22"/>
          <w:szCs w:val="22"/>
        </w:rPr>
        <w:t>.</w:t>
      </w:r>
    </w:p>
    <w:p w14:paraId="170ACA09" w14:textId="5B15C545" w:rsidR="00556CEE" w:rsidRPr="00394BC9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i/>
          <w:iCs/>
          <w:color w:val="auto"/>
          <w:sz w:val="22"/>
          <w:szCs w:val="22"/>
        </w:rPr>
        <w:t xml:space="preserve">- </w:t>
      </w:r>
      <w:r w:rsidR="0009700A" w:rsidRPr="00394BC9">
        <w:rPr>
          <w:rFonts w:ascii="Arial" w:hAnsi="Arial" w:cs="Arial"/>
          <w:i/>
          <w:iCs/>
          <w:color w:val="auto"/>
          <w:sz w:val="22"/>
          <w:szCs w:val="22"/>
        </w:rPr>
        <w:t xml:space="preserve">Az </w:t>
      </w:r>
      <w:r w:rsidR="00B045AC" w:rsidRPr="00394BC9">
        <w:rPr>
          <w:rFonts w:ascii="Arial" w:hAnsi="Arial" w:cs="Arial"/>
          <w:i/>
          <w:iCs/>
          <w:color w:val="auto"/>
          <w:sz w:val="22"/>
          <w:szCs w:val="22"/>
        </w:rPr>
        <w:t>Önkormányzat</w:t>
      </w:r>
      <w:r w:rsidR="00B045AC" w:rsidRPr="00394BC9">
        <w:rPr>
          <w:rFonts w:ascii="Arial" w:hAnsi="Arial" w:cs="Arial"/>
          <w:color w:val="auto"/>
          <w:sz w:val="22"/>
          <w:szCs w:val="22"/>
        </w:rPr>
        <w:t xml:space="preserve"> </w:t>
      </w:r>
      <w:r w:rsidR="00E70440" w:rsidRPr="00394BC9">
        <w:rPr>
          <w:rFonts w:ascii="Arial" w:hAnsi="Arial" w:cs="Arial"/>
          <w:color w:val="auto"/>
          <w:sz w:val="22"/>
          <w:szCs w:val="22"/>
        </w:rPr>
        <w:t>a 2023. évi "Válaszd a hazait!" pályázat 2024. évben történő elszámolása után kapja meg az elnyert 8 000 </w:t>
      </w:r>
      <w:r w:rsidR="00C827C2">
        <w:rPr>
          <w:rFonts w:ascii="Arial" w:hAnsi="Arial" w:cs="Arial"/>
          <w:color w:val="auto"/>
          <w:sz w:val="22"/>
          <w:szCs w:val="22"/>
        </w:rPr>
        <w:t>000</w:t>
      </w:r>
      <w:r w:rsidR="00E70440" w:rsidRPr="00394BC9">
        <w:rPr>
          <w:rFonts w:ascii="Arial" w:hAnsi="Arial" w:cs="Arial"/>
          <w:color w:val="auto"/>
          <w:sz w:val="22"/>
          <w:szCs w:val="22"/>
        </w:rPr>
        <w:t xml:space="preserve"> forint támogatást. </w:t>
      </w:r>
    </w:p>
    <w:p w14:paraId="04C09079" w14:textId="2CB0A10B" w:rsidR="00B045AC" w:rsidRPr="00394BC9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i/>
          <w:color w:val="auto"/>
          <w:sz w:val="22"/>
          <w:szCs w:val="22"/>
        </w:rPr>
        <w:t xml:space="preserve">- </w:t>
      </w:r>
      <w:r w:rsidR="00B045AC" w:rsidRPr="00394BC9">
        <w:rPr>
          <w:rFonts w:ascii="Arial" w:hAnsi="Arial" w:cs="Arial"/>
          <w:i/>
          <w:color w:val="auto"/>
          <w:sz w:val="22"/>
          <w:szCs w:val="22"/>
        </w:rPr>
        <w:t>Teréz Anya Szociális Integrált Intézménynél</w:t>
      </w:r>
      <w:r w:rsidR="00B045AC" w:rsidRPr="00394BC9">
        <w:rPr>
          <w:rFonts w:ascii="Arial" w:hAnsi="Arial" w:cs="Arial"/>
          <w:color w:val="auto"/>
          <w:sz w:val="22"/>
          <w:szCs w:val="22"/>
        </w:rPr>
        <w:t xml:space="preserve"> az Áht-n belülről átvett támogatás tervezhető összege </w:t>
      </w:r>
      <w:r w:rsidR="00394BC9" w:rsidRPr="00394BC9">
        <w:rPr>
          <w:rFonts w:ascii="Arial" w:hAnsi="Arial" w:cs="Arial"/>
          <w:color w:val="auto"/>
          <w:sz w:val="22"/>
          <w:szCs w:val="22"/>
        </w:rPr>
        <w:t xml:space="preserve">2 760 </w:t>
      </w:r>
      <w:r w:rsidR="00C827C2">
        <w:rPr>
          <w:rFonts w:ascii="Arial" w:hAnsi="Arial" w:cs="Arial"/>
          <w:color w:val="auto"/>
          <w:sz w:val="22"/>
          <w:szCs w:val="22"/>
        </w:rPr>
        <w:t>000</w:t>
      </w:r>
      <w:r w:rsidR="00B045AC" w:rsidRPr="00394BC9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394BC9">
        <w:rPr>
          <w:rFonts w:ascii="Arial" w:hAnsi="Arial" w:cs="Arial"/>
          <w:color w:val="auto"/>
          <w:sz w:val="22"/>
          <w:szCs w:val="22"/>
        </w:rPr>
        <w:t>forint</w:t>
      </w:r>
      <w:r w:rsidR="00B045AC" w:rsidRPr="00394BC9">
        <w:rPr>
          <w:rFonts w:ascii="Arial" w:hAnsi="Arial" w:cs="Arial"/>
          <w:color w:val="auto"/>
          <w:sz w:val="22"/>
          <w:szCs w:val="22"/>
        </w:rPr>
        <w:t>. Az előirányzat tartalmazza a Társadalom Biztosítási Alaptól várható támogatás összegét</w:t>
      </w:r>
      <w:r w:rsidR="00394BC9" w:rsidRPr="00394BC9">
        <w:rPr>
          <w:rFonts w:ascii="Arial" w:hAnsi="Arial" w:cs="Arial"/>
          <w:color w:val="auto"/>
          <w:sz w:val="22"/>
          <w:szCs w:val="22"/>
        </w:rPr>
        <w:t>, a jelzőrendszeres házi segítségnyújtás és a közfoglalkoztatottak után járó támogatás tervezett összegét.</w:t>
      </w:r>
    </w:p>
    <w:p w14:paraId="3173DB5A" w14:textId="167BA22E" w:rsidR="002B30A1" w:rsidRPr="00394BC9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color w:val="auto"/>
          <w:sz w:val="22"/>
          <w:szCs w:val="22"/>
        </w:rPr>
        <w:t xml:space="preserve">- </w:t>
      </w:r>
      <w:r w:rsidRPr="00394BC9">
        <w:rPr>
          <w:rFonts w:ascii="Arial" w:hAnsi="Arial" w:cs="Arial"/>
          <w:i/>
          <w:color w:val="auto"/>
          <w:sz w:val="22"/>
          <w:szCs w:val="22"/>
        </w:rPr>
        <w:t xml:space="preserve">GAMESZ 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által közfoglalkoztatottak után járó támogatás tervezett összege </w:t>
      </w:r>
      <w:r w:rsidR="00394BC9" w:rsidRPr="00394BC9">
        <w:rPr>
          <w:rFonts w:ascii="Arial" w:hAnsi="Arial" w:cs="Arial"/>
          <w:color w:val="auto"/>
          <w:sz w:val="22"/>
          <w:szCs w:val="22"/>
        </w:rPr>
        <w:t>2 500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</w:t>
      </w:r>
      <w:r w:rsidR="00C827C2">
        <w:rPr>
          <w:rFonts w:ascii="Arial" w:hAnsi="Arial" w:cs="Arial"/>
          <w:color w:val="auto"/>
          <w:sz w:val="22"/>
          <w:szCs w:val="22"/>
        </w:rPr>
        <w:t>000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forint.</w:t>
      </w:r>
    </w:p>
    <w:p w14:paraId="6A73311F" w14:textId="77777777"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C929E6C" w14:textId="20097077" w:rsidR="008762E5" w:rsidRPr="00E73E32" w:rsidRDefault="000507F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3E32">
        <w:rPr>
          <w:rFonts w:ascii="Arial" w:hAnsi="Arial" w:cs="Arial"/>
          <w:color w:val="auto"/>
          <w:sz w:val="22"/>
          <w:szCs w:val="22"/>
          <w:u w:val="single"/>
        </w:rPr>
        <w:t>Államháztartáson kívülről</w:t>
      </w:r>
      <w:r w:rsidRPr="00E73E32">
        <w:rPr>
          <w:rFonts w:ascii="Arial" w:hAnsi="Arial" w:cs="Arial"/>
          <w:color w:val="auto"/>
          <w:sz w:val="22"/>
          <w:szCs w:val="22"/>
        </w:rPr>
        <w:t xml:space="preserve"> átvett pénzeszköz előirányzatát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a </w:t>
      </w:r>
      <w:r w:rsidR="00394BC9" w:rsidRPr="00E73E32">
        <w:rPr>
          <w:rFonts w:ascii="Arial" w:hAnsi="Arial" w:cs="Arial"/>
          <w:i/>
          <w:iCs/>
          <w:color w:val="auto"/>
          <w:sz w:val="22"/>
          <w:szCs w:val="22"/>
        </w:rPr>
        <w:t>Gróf I. Festetics György Művelődési Központ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 által üzemeltetett Árpádházi templom adománydobozába látogatók által juttatott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– az</w:t>
      </w:r>
      <w:r w:rsid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E73E32" w:rsidRPr="00E73E32">
        <w:rPr>
          <w:rFonts w:ascii="Arial" w:hAnsi="Arial" w:cs="Arial"/>
          <w:color w:val="auto"/>
          <w:sz w:val="22"/>
          <w:szCs w:val="22"/>
        </w:rPr>
        <w:t xml:space="preserve">elmúlt évek teljesülése alapján tervezett -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összeg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teszi ki.</w:t>
      </w:r>
    </w:p>
    <w:p w14:paraId="7897945A" w14:textId="77777777" w:rsidR="00394BC9" w:rsidRPr="0030684E" w:rsidRDefault="00394BC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9A9E76B" w14:textId="19C52146" w:rsidR="00175F08" w:rsidRPr="00C827C2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27C2">
        <w:rPr>
          <w:rFonts w:ascii="Arial" w:hAnsi="Arial" w:cs="Arial"/>
          <w:b/>
          <w:color w:val="auto"/>
          <w:sz w:val="22"/>
          <w:szCs w:val="22"/>
        </w:rPr>
        <w:lastRenderedPageBreak/>
        <w:t>Közhatalmi bevétel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C827C2">
        <w:rPr>
          <w:rFonts w:ascii="Arial" w:hAnsi="Arial" w:cs="Arial"/>
          <w:color w:val="auto"/>
          <w:sz w:val="22"/>
          <w:szCs w:val="22"/>
        </w:rPr>
        <w:t>5.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melléklet) tervezett összege az Önkormányzat költségvetésében jelenik meg, mely </w:t>
      </w:r>
      <w:r w:rsidR="00771091" w:rsidRPr="00C827C2">
        <w:rPr>
          <w:rFonts w:ascii="Arial" w:hAnsi="Arial" w:cs="Arial"/>
          <w:color w:val="auto"/>
          <w:sz w:val="22"/>
          <w:szCs w:val="22"/>
        </w:rPr>
        <w:t>1 498 000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C827C2">
        <w:rPr>
          <w:rFonts w:ascii="Arial" w:hAnsi="Arial" w:cs="Arial"/>
          <w:color w:val="auto"/>
          <w:sz w:val="22"/>
          <w:szCs w:val="22"/>
        </w:rPr>
        <w:t>000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C827C2">
        <w:rPr>
          <w:rFonts w:ascii="Arial" w:hAnsi="Arial" w:cs="Arial"/>
          <w:color w:val="auto"/>
          <w:sz w:val="22"/>
          <w:szCs w:val="22"/>
        </w:rPr>
        <w:t>forint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. </w:t>
      </w:r>
      <w:r w:rsidR="00A63191" w:rsidRPr="00C827C2">
        <w:rPr>
          <w:rFonts w:ascii="Arial" w:hAnsi="Arial" w:cs="Arial"/>
          <w:color w:val="auto"/>
          <w:sz w:val="22"/>
          <w:szCs w:val="22"/>
        </w:rPr>
        <w:t>Az adómértékek a</w:t>
      </w:r>
      <w:r w:rsidR="005048AA" w:rsidRPr="00C827C2">
        <w:rPr>
          <w:rFonts w:ascii="Arial" w:hAnsi="Arial" w:cs="Arial"/>
          <w:color w:val="auto"/>
          <w:sz w:val="22"/>
          <w:szCs w:val="22"/>
        </w:rPr>
        <w:t xml:space="preserve"> Hévíz Város Önkormányzat képviselő-testületének</w:t>
      </w:r>
      <w:r w:rsidR="00A63191"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5048AA" w:rsidRPr="00C827C2">
        <w:rPr>
          <w:rFonts w:ascii="Arial" w:hAnsi="Arial" w:cs="Arial"/>
          <w:color w:val="auto"/>
          <w:sz w:val="22"/>
          <w:szCs w:val="22"/>
        </w:rPr>
        <w:t>3</w:t>
      </w:r>
      <w:r w:rsidR="00C827C2" w:rsidRPr="00C827C2">
        <w:rPr>
          <w:rFonts w:ascii="Arial" w:hAnsi="Arial" w:cs="Arial"/>
          <w:color w:val="auto"/>
          <w:sz w:val="22"/>
          <w:szCs w:val="22"/>
        </w:rPr>
        <w:t>3</w:t>
      </w:r>
      <w:r w:rsidR="005048AA" w:rsidRPr="00C827C2">
        <w:rPr>
          <w:rFonts w:ascii="Arial" w:hAnsi="Arial" w:cs="Arial"/>
          <w:color w:val="auto"/>
          <w:sz w:val="22"/>
          <w:szCs w:val="22"/>
        </w:rPr>
        <w:t>/202</w:t>
      </w:r>
      <w:r w:rsidR="00C827C2" w:rsidRPr="00C827C2">
        <w:rPr>
          <w:rFonts w:ascii="Arial" w:hAnsi="Arial" w:cs="Arial"/>
          <w:color w:val="auto"/>
          <w:sz w:val="22"/>
          <w:szCs w:val="22"/>
        </w:rPr>
        <w:t>3</w:t>
      </w:r>
      <w:r w:rsidR="005048AA" w:rsidRPr="00C827C2">
        <w:rPr>
          <w:rFonts w:ascii="Arial" w:hAnsi="Arial" w:cs="Arial"/>
          <w:color w:val="auto"/>
          <w:sz w:val="22"/>
          <w:szCs w:val="22"/>
        </w:rPr>
        <w:t xml:space="preserve"> (XI.</w:t>
      </w:r>
      <w:r w:rsidR="00C827C2" w:rsidRPr="00C827C2">
        <w:rPr>
          <w:rFonts w:ascii="Arial" w:hAnsi="Arial" w:cs="Arial"/>
          <w:color w:val="auto"/>
          <w:sz w:val="22"/>
          <w:szCs w:val="22"/>
        </w:rPr>
        <w:t>30</w:t>
      </w:r>
      <w:r w:rsidR="005048AA" w:rsidRPr="00C827C2">
        <w:rPr>
          <w:rFonts w:ascii="Arial" w:hAnsi="Arial" w:cs="Arial"/>
          <w:color w:val="auto"/>
          <w:sz w:val="22"/>
          <w:szCs w:val="22"/>
        </w:rPr>
        <w:t>.) rendeletével módosított helyi adókról szóló 4/2010 (II.10.) rendeletben meghatározottak szerint kerültek figyelembe vételre. Az idegenforgalmi adó 202</w:t>
      </w:r>
      <w:r w:rsidR="00C827C2" w:rsidRPr="00C827C2">
        <w:rPr>
          <w:rFonts w:ascii="Arial" w:hAnsi="Arial" w:cs="Arial"/>
          <w:color w:val="auto"/>
          <w:sz w:val="22"/>
          <w:szCs w:val="22"/>
        </w:rPr>
        <w:t>4</w:t>
      </w:r>
      <w:r w:rsidR="005048AA" w:rsidRPr="00C827C2">
        <w:rPr>
          <w:rFonts w:ascii="Arial" w:hAnsi="Arial" w:cs="Arial"/>
          <w:color w:val="auto"/>
          <w:sz w:val="22"/>
          <w:szCs w:val="22"/>
        </w:rPr>
        <w:t>. évi előirányzat</w:t>
      </w:r>
      <w:r w:rsidR="00175F08" w:rsidRPr="00C827C2">
        <w:rPr>
          <w:rFonts w:ascii="Arial" w:hAnsi="Arial" w:cs="Arial"/>
          <w:color w:val="auto"/>
          <w:sz w:val="22"/>
          <w:szCs w:val="22"/>
        </w:rPr>
        <w:t>ának alapja</w:t>
      </w:r>
      <w:r w:rsidR="005048AA"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4F50B6" w:rsidRPr="00C827C2">
        <w:rPr>
          <w:rFonts w:ascii="Arial" w:hAnsi="Arial" w:cs="Arial"/>
          <w:color w:val="auto"/>
          <w:sz w:val="22"/>
          <w:szCs w:val="22"/>
        </w:rPr>
        <w:t>a 202</w:t>
      </w:r>
      <w:r w:rsidR="00C827C2" w:rsidRPr="00C827C2">
        <w:rPr>
          <w:rFonts w:ascii="Arial" w:hAnsi="Arial" w:cs="Arial"/>
          <w:color w:val="auto"/>
          <w:sz w:val="22"/>
          <w:szCs w:val="22"/>
        </w:rPr>
        <w:t>3</w:t>
      </w:r>
      <w:r w:rsidR="004F50B6" w:rsidRPr="00C827C2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175F08" w:rsidRPr="00C827C2">
        <w:rPr>
          <w:rFonts w:ascii="Arial" w:hAnsi="Arial" w:cs="Arial"/>
          <w:color w:val="auto"/>
          <w:sz w:val="22"/>
          <w:szCs w:val="22"/>
        </w:rPr>
        <w:t xml:space="preserve">Hévízen eltöltött vendégéjszakák száma.  </w:t>
      </w:r>
    </w:p>
    <w:p w14:paraId="2666DE63" w14:textId="6770ED67" w:rsidR="00175F08" w:rsidRPr="00C827C2" w:rsidRDefault="00C827C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27C2">
        <w:rPr>
          <w:rFonts w:ascii="Arial" w:hAnsi="Arial" w:cs="Arial"/>
          <w:color w:val="auto"/>
          <w:sz w:val="22"/>
          <w:szCs w:val="22"/>
        </w:rPr>
        <w:t>A 2024. évre vonatkozó, 2023. június 30-i adatok alapján az</w:t>
      </w:r>
      <w:r w:rsidR="00175F08"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Pr="00C827C2">
        <w:rPr>
          <w:rFonts w:ascii="Arial" w:hAnsi="Arial" w:cs="Arial"/>
          <w:color w:val="auto"/>
          <w:sz w:val="22"/>
          <w:szCs w:val="22"/>
        </w:rPr>
        <w:t>a</w:t>
      </w:r>
      <w:r w:rsidR="00061EAE" w:rsidRPr="00C827C2">
        <w:rPr>
          <w:rFonts w:ascii="Arial" w:hAnsi="Arial" w:cs="Arial"/>
          <w:color w:val="auto"/>
          <w:sz w:val="22"/>
          <w:szCs w:val="22"/>
        </w:rPr>
        <w:t>dóerőképesség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84 544 forint/fő.</w:t>
      </w:r>
    </w:p>
    <w:p w14:paraId="38996AF8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35E63F" w14:textId="6CADD0BC" w:rsidR="00A77BE0" w:rsidRPr="007B484A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B484A">
        <w:rPr>
          <w:rFonts w:ascii="Arial" w:hAnsi="Arial" w:cs="Arial"/>
          <w:color w:val="auto"/>
          <w:sz w:val="22"/>
          <w:szCs w:val="22"/>
        </w:rPr>
        <w:t>A</w:t>
      </w:r>
      <w:r w:rsidRPr="007B484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B484A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bevételek</w:t>
      </w:r>
      <w:r w:rsidRPr="007B484A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7B484A" w:rsidRPr="007B484A">
        <w:rPr>
          <w:rFonts w:ascii="Arial" w:hAnsi="Arial" w:cs="Arial"/>
          <w:color w:val="auto"/>
          <w:sz w:val="22"/>
          <w:szCs w:val="22"/>
        </w:rPr>
        <w:t>2 145 000</w:t>
      </w:r>
      <w:r w:rsidRPr="007B484A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7B484A">
        <w:rPr>
          <w:rFonts w:ascii="Arial" w:hAnsi="Arial" w:cs="Arial"/>
          <w:color w:val="auto"/>
          <w:sz w:val="22"/>
          <w:szCs w:val="22"/>
        </w:rPr>
        <w:t>forint</w:t>
      </w:r>
      <w:r w:rsidRPr="007B484A">
        <w:rPr>
          <w:rFonts w:ascii="Arial" w:hAnsi="Arial" w:cs="Arial"/>
          <w:color w:val="auto"/>
          <w:sz w:val="22"/>
          <w:szCs w:val="22"/>
        </w:rPr>
        <w:t>.</w:t>
      </w:r>
      <w:r w:rsidR="00B22F9B" w:rsidRPr="007B484A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7B484A">
        <w:rPr>
          <w:rFonts w:ascii="Arial" w:hAnsi="Arial" w:cs="Arial"/>
          <w:color w:val="auto"/>
          <w:sz w:val="22"/>
          <w:szCs w:val="22"/>
        </w:rPr>
        <w:t>7</w:t>
      </w:r>
      <w:r w:rsidR="00B22F9B" w:rsidRPr="007B484A">
        <w:rPr>
          <w:rFonts w:ascii="Arial" w:hAnsi="Arial" w:cs="Arial"/>
          <w:color w:val="auto"/>
          <w:sz w:val="22"/>
          <w:szCs w:val="22"/>
        </w:rPr>
        <w:t>. melléklet)</w:t>
      </w:r>
      <w:r w:rsidR="007B484A" w:rsidRPr="007B484A">
        <w:rPr>
          <w:rFonts w:ascii="Arial" w:hAnsi="Arial" w:cs="Arial"/>
          <w:color w:val="auto"/>
          <w:sz w:val="22"/>
          <w:szCs w:val="22"/>
        </w:rPr>
        <w:t xml:space="preserve">, melyet a </w:t>
      </w:r>
      <w:r w:rsidRPr="007B484A">
        <w:rPr>
          <w:rFonts w:ascii="Arial" w:hAnsi="Arial" w:cs="Arial"/>
          <w:color w:val="auto"/>
          <w:sz w:val="22"/>
          <w:szCs w:val="22"/>
        </w:rPr>
        <w:t>munkáltatói lakásépítési kölcsön 202</w:t>
      </w:r>
      <w:r w:rsidR="007B484A" w:rsidRPr="007B484A">
        <w:rPr>
          <w:rFonts w:ascii="Arial" w:hAnsi="Arial" w:cs="Arial"/>
          <w:color w:val="auto"/>
          <w:sz w:val="22"/>
          <w:szCs w:val="22"/>
        </w:rPr>
        <w:t>4</w:t>
      </w:r>
      <w:r w:rsidRPr="007B484A">
        <w:rPr>
          <w:rFonts w:ascii="Arial" w:hAnsi="Arial" w:cs="Arial"/>
          <w:color w:val="auto"/>
          <w:sz w:val="22"/>
          <w:szCs w:val="22"/>
        </w:rPr>
        <w:t xml:space="preserve">. évben várható megtérülése </w:t>
      </w:r>
      <w:r w:rsidR="007B484A" w:rsidRPr="007B484A">
        <w:rPr>
          <w:rFonts w:ascii="Arial" w:hAnsi="Arial" w:cs="Arial"/>
          <w:color w:val="auto"/>
          <w:sz w:val="22"/>
          <w:szCs w:val="22"/>
        </w:rPr>
        <w:t>tesz ki.</w:t>
      </w:r>
    </w:p>
    <w:p w14:paraId="2F8FB818" w14:textId="0663383F" w:rsidR="00396C13" w:rsidRPr="007B484A" w:rsidRDefault="007B484A" w:rsidP="00514A0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B484A">
        <w:rPr>
          <w:rFonts w:ascii="Arial" w:hAnsi="Arial" w:cs="Arial"/>
        </w:rPr>
        <w:t>A beruházásokkal kapcsolatos pályázati összegek 2024. év előtt kiutalásra kerültek, így azok a pénzmaradvány részét képezik.</w:t>
      </w:r>
    </w:p>
    <w:p w14:paraId="0C1C2A4E" w14:textId="77777777" w:rsidR="00396C13" w:rsidRPr="0030684E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8434A68" w14:textId="7E8FBC70" w:rsidR="006D6A05" w:rsidRPr="00E140C5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40C5">
        <w:rPr>
          <w:rFonts w:ascii="Arial" w:hAnsi="Arial" w:cs="Arial"/>
          <w:b/>
          <w:i/>
          <w:iCs/>
          <w:color w:val="auto"/>
          <w:sz w:val="22"/>
          <w:szCs w:val="22"/>
          <w:u w:val="single"/>
        </w:rPr>
        <w:t>Finanszírozási bevételek</w:t>
      </w:r>
      <w:r w:rsidR="006449A8" w:rsidRPr="00E140C5">
        <w:rPr>
          <w:rFonts w:ascii="Arial" w:hAnsi="Arial" w:cs="Arial"/>
          <w:b/>
          <w:i/>
          <w:iCs/>
          <w:color w:val="auto"/>
          <w:sz w:val="22"/>
          <w:szCs w:val="22"/>
          <w:u w:val="single"/>
        </w:rPr>
        <w:t>et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az előző évi költségvetési maradvány összege </w:t>
      </w:r>
      <w:r w:rsidR="00300773" w:rsidRPr="00E140C5">
        <w:rPr>
          <w:rFonts w:ascii="Arial" w:hAnsi="Arial" w:cs="Arial"/>
          <w:color w:val="auto"/>
          <w:sz w:val="22"/>
          <w:szCs w:val="22"/>
        </w:rPr>
        <w:t>1 639 315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 w:rsidRPr="00E140C5">
        <w:rPr>
          <w:rFonts w:ascii="Arial" w:hAnsi="Arial" w:cs="Arial"/>
          <w:color w:val="auto"/>
          <w:sz w:val="22"/>
          <w:szCs w:val="22"/>
        </w:rPr>
        <w:t>orint</w:t>
      </w:r>
      <w:r w:rsidR="00981A0B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értékben (melyből az önkormányzat részére kiutalt, de még fel nem használt pályázati támogatások: </w:t>
      </w:r>
      <w:r w:rsidR="00300773" w:rsidRPr="00E140C5">
        <w:rPr>
          <w:rFonts w:ascii="Arial" w:hAnsi="Arial" w:cs="Arial"/>
          <w:color w:val="auto"/>
          <w:sz w:val="22"/>
          <w:szCs w:val="22"/>
        </w:rPr>
        <w:t>1 018 523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 w:rsidRPr="00E140C5">
        <w:rPr>
          <w:rFonts w:ascii="Arial" w:hAnsi="Arial" w:cs="Arial"/>
          <w:color w:val="auto"/>
          <w:sz w:val="22"/>
          <w:szCs w:val="22"/>
        </w:rPr>
        <w:t>orint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), valamint az államháztartáson belüli megelőzések pedig </w:t>
      </w:r>
      <w:r w:rsidR="00300773" w:rsidRPr="00E140C5">
        <w:rPr>
          <w:rFonts w:ascii="Arial" w:hAnsi="Arial" w:cs="Arial"/>
          <w:color w:val="auto"/>
          <w:sz w:val="22"/>
          <w:szCs w:val="22"/>
        </w:rPr>
        <w:t>17 701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 w:rsidRPr="00E140C5">
        <w:rPr>
          <w:rFonts w:ascii="Arial" w:hAnsi="Arial" w:cs="Arial"/>
          <w:color w:val="auto"/>
          <w:sz w:val="22"/>
          <w:szCs w:val="22"/>
        </w:rPr>
        <w:t>orint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 értékben teszi ki.</w:t>
      </w:r>
    </w:p>
    <w:p w14:paraId="588A4FE5" w14:textId="77777777" w:rsidR="00A77BE0" w:rsidRPr="00E140C5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14:paraId="4D27F568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140C5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14:paraId="10FE823B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ED6D70C" w14:textId="6FDD8030" w:rsidR="00A56BA0" w:rsidRPr="00E140C5" w:rsidRDefault="00EE727A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E140C5">
        <w:rPr>
          <w:rFonts w:ascii="Arial" w:hAnsi="Arial" w:cs="Arial"/>
          <w:b/>
          <w:color w:val="auto"/>
          <w:sz w:val="22"/>
          <w:szCs w:val="22"/>
          <w:u w:val="single"/>
        </w:rPr>
        <w:t>202</w:t>
      </w:r>
      <w:r w:rsidR="00E140C5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4</w:t>
      </w:r>
      <w:r w:rsidR="00A56BA0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. évre tervezett kiadási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előirányzatok összege – azonosan a bevételi előirányzattal </w:t>
      </w:r>
      <w:r w:rsidR="008464FC" w:rsidRPr="00E140C5">
        <w:rPr>
          <w:rFonts w:ascii="Arial" w:hAnsi="Arial" w:cs="Arial"/>
          <w:color w:val="auto"/>
          <w:sz w:val="22"/>
          <w:szCs w:val="22"/>
        </w:rPr>
        <w:t>–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E140C5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4 267 816</w:t>
      </w:r>
      <w:r w:rsidR="00071636" w:rsidRPr="00E140C5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  <w:r w:rsidR="00D53EE8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000</w:t>
      </w:r>
      <w:r w:rsidR="006C04DB" w:rsidRPr="00E140C5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f</w:t>
      </w:r>
      <w:r w:rsidR="006E6B55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orint</w:t>
      </w:r>
      <w:r w:rsidR="00A56BA0" w:rsidRPr="00E140C5">
        <w:rPr>
          <w:rFonts w:ascii="Arial" w:hAnsi="Arial" w:cs="Arial"/>
          <w:b/>
          <w:color w:val="auto"/>
          <w:sz w:val="22"/>
          <w:szCs w:val="22"/>
          <w:u w:val="single"/>
        </w:rPr>
        <w:t>.</w:t>
      </w:r>
    </w:p>
    <w:p w14:paraId="63049105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13C465B" w14:textId="78E9D418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40C5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kiadások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E140C5" w:rsidRPr="00E140C5">
        <w:rPr>
          <w:rFonts w:ascii="Arial" w:hAnsi="Arial" w:cs="Arial"/>
          <w:color w:val="auto"/>
          <w:sz w:val="22"/>
          <w:szCs w:val="22"/>
        </w:rPr>
        <w:t>4 100 391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E140C5">
        <w:rPr>
          <w:rFonts w:ascii="Arial" w:hAnsi="Arial" w:cs="Arial"/>
          <w:color w:val="auto"/>
          <w:sz w:val="22"/>
          <w:szCs w:val="22"/>
        </w:rPr>
        <w:t>f</w:t>
      </w:r>
      <w:r w:rsidR="006E6B55" w:rsidRPr="00E140C5">
        <w:rPr>
          <w:rFonts w:ascii="Arial" w:hAnsi="Arial" w:cs="Arial"/>
          <w:color w:val="auto"/>
          <w:sz w:val="22"/>
          <w:szCs w:val="22"/>
        </w:rPr>
        <w:t>orint</w:t>
      </w:r>
      <w:r w:rsidRPr="00E140C5">
        <w:rPr>
          <w:rFonts w:ascii="Arial" w:hAnsi="Arial" w:cs="Arial"/>
          <w:color w:val="auto"/>
          <w:sz w:val="22"/>
          <w:szCs w:val="22"/>
        </w:rPr>
        <w:t>.</w:t>
      </w:r>
    </w:p>
    <w:p w14:paraId="4063ED38" w14:textId="77777777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4906737" w14:textId="2E242D0E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40C5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kiadások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E140C5" w:rsidRPr="00E140C5">
        <w:rPr>
          <w:rFonts w:ascii="Arial" w:hAnsi="Arial" w:cs="Arial"/>
          <w:color w:val="auto"/>
          <w:sz w:val="22"/>
          <w:szCs w:val="22"/>
        </w:rPr>
        <w:t>3 222 263</w:t>
      </w:r>
      <w:r w:rsidR="006F31CE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6F31CE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E140C5">
        <w:rPr>
          <w:rFonts w:ascii="Arial" w:hAnsi="Arial" w:cs="Arial"/>
          <w:color w:val="auto"/>
          <w:sz w:val="22"/>
          <w:szCs w:val="22"/>
        </w:rPr>
        <w:t>f</w:t>
      </w:r>
      <w:r w:rsidR="006E6B55" w:rsidRPr="00E140C5">
        <w:rPr>
          <w:rFonts w:ascii="Arial" w:hAnsi="Arial" w:cs="Arial"/>
          <w:color w:val="auto"/>
          <w:sz w:val="22"/>
          <w:szCs w:val="22"/>
        </w:rPr>
        <w:t>orint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2D49C12" w14:textId="77777777" w:rsidR="009553F7" w:rsidRPr="0030684E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1743860" w14:textId="755BF25A" w:rsidR="009553F7" w:rsidRPr="002F4CB2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4CB2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13</w:t>
      </w:r>
      <w:r w:rsidR="00071636" w:rsidRPr="002F4CB2">
        <w:rPr>
          <w:rFonts w:ascii="Arial" w:hAnsi="Arial" w:cs="Arial"/>
          <w:color w:val="auto"/>
          <w:sz w:val="22"/>
          <w:szCs w:val="22"/>
        </w:rPr>
        <w:t>.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2F4CB2">
        <w:rPr>
          <w:rFonts w:ascii="Arial" w:hAnsi="Arial" w:cs="Arial"/>
          <w:color w:val="auto"/>
          <w:sz w:val="22"/>
          <w:szCs w:val="22"/>
        </w:rPr>
        <w:t>ben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láthatóak</w:t>
      </w:r>
      <w:r w:rsidRPr="002F4CB2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kiemelt előirányzato</w:t>
      </w:r>
      <w:r w:rsidR="009C35C8" w:rsidRPr="002F4CB2">
        <w:rPr>
          <w:rFonts w:ascii="Arial" w:hAnsi="Arial" w:cs="Arial"/>
          <w:color w:val="auto"/>
          <w:sz w:val="22"/>
          <w:szCs w:val="22"/>
        </w:rPr>
        <w:t>kat kormányzati funkciók szerinti bontásban a 15. melléklet, illetve az ahhoz kapcsolódó</w:t>
      </w:r>
      <w:r w:rsidR="007E4BF7" w:rsidRPr="002F4CB2">
        <w:rPr>
          <w:rFonts w:ascii="Arial" w:hAnsi="Arial" w:cs="Arial"/>
          <w:color w:val="auto"/>
          <w:sz w:val="22"/>
          <w:szCs w:val="22"/>
        </w:rPr>
        <w:t>,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összefoglaló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16-</w:t>
      </w:r>
      <w:r w:rsidR="002F4CB2" w:rsidRPr="002F4CB2">
        <w:rPr>
          <w:rFonts w:ascii="Arial" w:hAnsi="Arial" w:cs="Arial"/>
          <w:color w:val="auto"/>
          <w:sz w:val="22"/>
          <w:szCs w:val="22"/>
        </w:rPr>
        <w:t>19</w:t>
      </w:r>
      <w:r w:rsidR="006F678E" w:rsidRPr="002F4CB2">
        <w:rPr>
          <w:rFonts w:ascii="Arial" w:hAnsi="Arial" w:cs="Arial"/>
          <w:color w:val="auto"/>
          <w:sz w:val="22"/>
          <w:szCs w:val="22"/>
        </w:rPr>
        <w:t>.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mellékletek)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tartalmazzák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2F4CB2">
        <w:rPr>
          <w:rFonts w:ascii="Arial" w:hAnsi="Arial" w:cs="Arial"/>
          <w:color w:val="auto"/>
          <w:sz w:val="22"/>
          <w:szCs w:val="22"/>
        </w:rPr>
        <w:t>ok mértékét.</w:t>
      </w:r>
      <w:r w:rsidR="009C35C8" w:rsidRPr="002F4CB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2A3B2E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BD7BE7" w14:textId="469C88B6" w:rsidR="009560B7" w:rsidRPr="000C65F0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65F0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2F4CB2" w:rsidRPr="000C65F0">
        <w:rPr>
          <w:rFonts w:ascii="Arial" w:hAnsi="Arial" w:cs="Arial"/>
          <w:color w:val="auto"/>
          <w:sz w:val="22"/>
          <w:szCs w:val="22"/>
        </w:rPr>
        <w:t>1 070 421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0C65F0">
        <w:rPr>
          <w:rFonts w:ascii="Arial" w:hAnsi="Arial" w:cs="Arial"/>
          <w:color w:val="auto"/>
          <w:sz w:val="22"/>
          <w:szCs w:val="22"/>
        </w:rPr>
        <w:t>000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0C65F0">
        <w:rPr>
          <w:rFonts w:ascii="Arial" w:hAnsi="Arial" w:cs="Arial"/>
          <w:color w:val="auto"/>
          <w:sz w:val="22"/>
          <w:szCs w:val="22"/>
        </w:rPr>
        <w:t>f</w:t>
      </w:r>
      <w:r w:rsidR="006E6B55" w:rsidRPr="000C65F0">
        <w:rPr>
          <w:rFonts w:ascii="Arial" w:hAnsi="Arial" w:cs="Arial"/>
          <w:color w:val="auto"/>
          <w:sz w:val="22"/>
          <w:szCs w:val="22"/>
        </w:rPr>
        <w:t>orint</w:t>
      </w:r>
      <w:r w:rsidR="00AA110D" w:rsidRPr="000C65F0">
        <w:rPr>
          <w:rFonts w:ascii="Arial" w:hAnsi="Arial" w:cs="Arial"/>
          <w:color w:val="auto"/>
          <w:sz w:val="22"/>
          <w:szCs w:val="22"/>
        </w:rPr>
        <w:t>.</w:t>
      </w:r>
      <w:r w:rsidR="008464FC" w:rsidRPr="000C65F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7BE360B" w14:textId="62C36867" w:rsidR="00AC7C48" w:rsidRPr="000C65F0" w:rsidRDefault="00AA110D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65F0">
        <w:rPr>
          <w:rFonts w:ascii="Arial" w:hAnsi="Arial" w:cs="Arial"/>
          <w:color w:val="auto"/>
          <w:sz w:val="22"/>
          <w:szCs w:val="22"/>
        </w:rPr>
        <w:t xml:space="preserve">A </w:t>
      </w:r>
      <w:r w:rsidR="000C65F0" w:rsidRPr="000C65F0">
        <w:rPr>
          <w:rFonts w:ascii="Arial" w:hAnsi="Arial" w:cs="Arial"/>
          <w:color w:val="auto"/>
          <w:sz w:val="22"/>
          <w:szCs w:val="22"/>
        </w:rPr>
        <w:t>508/2023 (XI.20.)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Korm. rendelet alapján </w:t>
      </w:r>
      <w:r w:rsidR="000C65F0" w:rsidRPr="000C65F0">
        <w:rPr>
          <w:rFonts w:ascii="Arial" w:hAnsi="Arial" w:cs="Arial"/>
          <w:color w:val="auto"/>
          <w:sz w:val="22"/>
          <w:szCs w:val="22"/>
        </w:rPr>
        <w:t>2023. decembertől</w:t>
      </w:r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a kötelező legkisebb </w:t>
      </w:r>
      <w:r w:rsidR="00ED4F71" w:rsidRPr="000C65F0">
        <w:rPr>
          <w:rFonts w:ascii="Arial" w:hAnsi="Arial" w:cs="Arial"/>
          <w:color w:val="auto"/>
          <w:sz w:val="22"/>
          <w:szCs w:val="22"/>
        </w:rPr>
        <w:t>minimálbé</w:t>
      </w:r>
      <w:r w:rsidR="00EE727A" w:rsidRPr="000C65F0">
        <w:rPr>
          <w:rFonts w:ascii="Arial" w:hAnsi="Arial" w:cs="Arial"/>
          <w:color w:val="auto"/>
          <w:sz w:val="22"/>
          <w:szCs w:val="22"/>
        </w:rPr>
        <w:t>r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2F4CB2" w:rsidRPr="000C65F0">
        <w:rPr>
          <w:rFonts w:ascii="Arial" w:hAnsi="Arial" w:cs="Arial"/>
          <w:color w:val="auto"/>
          <w:sz w:val="22"/>
          <w:szCs w:val="22"/>
        </w:rPr>
        <w:t>266 800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0C65F0">
        <w:rPr>
          <w:rFonts w:ascii="Arial" w:hAnsi="Arial" w:cs="Arial"/>
          <w:color w:val="auto"/>
          <w:sz w:val="22"/>
          <w:szCs w:val="22"/>
        </w:rPr>
        <w:t>f</w:t>
      </w:r>
      <w:r w:rsidR="006E6B55" w:rsidRPr="000C65F0">
        <w:rPr>
          <w:rFonts w:ascii="Arial" w:hAnsi="Arial" w:cs="Arial"/>
          <w:color w:val="auto"/>
          <w:sz w:val="22"/>
          <w:szCs w:val="22"/>
        </w:rPr>
        <w:t>orint</w:t>
      </w:r>
      <w:r w:rsidRPr="000C65F0">
        <w:rPr>
          <w:rFonts w:ascii="Arial" w:hAnsi="Arial" w:cs="Arial"/>
          <w:color w:val="auto"/>
          <w:sz w:val="22"/>
          <w:szCs w:val="22"/>
        </w:rPr>
        <w:t>/</w:t>
      </w:r>
      <w:proofErr w:type="gramStart"/>
      <w:r w:rsidRPr="000C65F0">
        <w:rPr>
          <w:rFonts w:ascii="Arial" w:hAnsi="Arial" w:cs="Arial"/>
          <w:color w:val="auto"/>
          <w:sz w:val="22"/>
          <w:szCs w:val="22"/>
        </w:rPr>
        <w:t>hó</w:t>
      </w:r>
      <w:r w:rsidR="009560B7" w:rsidRPr="000C65F0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="009560B7" w:rsidRPr="000C65F0">
        <w:rPr>
          <w:rFonts w:ascii="Arial" w:hAnsi="Arial" w:cs="Arial"/>
          <w:color w:val="auto"/>
          <w:sz w:val="22"/>
          <w:szCs w:val="22"/>
        </w:rPr>
        <w:t>ra</w:t>
      </w:r>
      <w:proofErr w:type="spellEnd"/>
      <w:r w:rsidRPr="000C65F0">
        <w:rPr>
          <w:rFonts w:ascii="Arial" w:hAnsi="Arial" w:cs="Arial"/>
          <w:color w:val="auto"/>
          <w:sz w:val="22"/>
          <w:szCs w:val="22"/>
        </w:rPr>
        <w:t>,</w:t>
      </w:r>
      <w:proofErr w:type="gramEnd"/>
      <w:r w:rsidR="00EE727A" w:rsidRPr="000C65F0">
        <w:rPr>
          <w:rFonts w:ascii="Arial" w:hAnsi="Arial" w:cs="Arial"/>
          <w:color w:val="auto"/>
          <w:sz w:val="22"/>
          <w:szCs w:val="22"/>
        </w:rPr>
        <w:t xml:space="preserve"> és a garantált bérminimum 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pedig </w:t>
      </w:r>
      <w:r w:rsidR="002F4CB2" w:rsidRPr="000C65F0">
        <w:rPr>
          <w:rFonts w:ascii="Arial" w:hAnsi="Arial" w:cs="Arial"/>
          <w:color w:val="auto"/>
          <w:sz w:val="22"/>
          <w:szCs w:val="22"/>
        </w:rPr>
        <w:t>326 000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0C65F0">
        <w:rPr>
          <w:rFonts w:ascii="Arial" w:hAnsi="Arial" w:cs="Arial"/>
          <w:color w:val="auto"/>
          <w:sz w:val="22"/>
          <w:szCs w:val="22"/>
        </w:rPr>
        <w:t>f</w:t>
      </w:r>
      <w:r w:rsidR="006E6B55" w:rsidRPr="000C65F0">
        <w:rPr>
          <w:rFonts w:ascii="Arial" w:hAnsi="Arial" w:cs="Arial"/>
          <w:color w:val="auto"/>
          <w:sz w:val="22"/>
          <w:szCs w:val="22"/>
        </w:rPr>
        <w:t>orint</w:t>
      </w:r>
      <w:r w:rsidRPr="000C65F0">
        <w:rPr>
          <w:rFonts w:ascii="Arial" w:hAnsi="Arial" w:cs="Arial"/>
          <w:color w:val="auto"/>
          <w:sz w:val="22"/>
          <w:szCs w:val="22"/>
        </w:rPr>
        <w:t>/hó</w:t>
      </w:r>
      <w:r w:rsidR="009560B7" w:rsidRPr="000C65F0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="009560B7" w:rsidRPr="000C65F0">
        <w:rPr>
          <w:rFonts w:ascii="Arial" w:hAnsi="Arial" w:cs="Arial"/>
          <w:color w:val="auto"/>
          <w:sz w:val="22"/>
          <w:szCs w:val="22"/>
        </w:rPr>
        <w:t>ra</w:t>
      </w:r>
      <w:proofErr w:type="spellEnd"/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4839C5" w:rsidRPr="000C65F0">
        <w:rPr>
          <w:rFonts w:ascii="Arial" w:hAnsi="Arial" w:cs="Arial"/>
          <w:color w:val="auto"/>
          <w:sz w:val="22"/>
          <w:szCs w:val="22"/>
        </w:rPr>
        <w:t>nőtt</w:t>
      </w:r>
      <w:r w:rsidR="009560B7" w:rsidRPr="000C65F0">
        <w:rPr>
          <w:rFonts w:ascii="Arial" w:hAnsi="Arial" w:cs="Arial"/>
          <w:color w:val="auto"/>
          <w:sz w:val="22"/>
          <w:szCs w:val="22"/>
        </w:rPr>
        <w:t>, mely</w:t>
      </w:r>
      <w:r w:rsidR="000C65F0" w:rsidRPr="000C65F0">
        <w:rPr>
          <w:rFonts w:ascii="Arial" w:hAnsi="Arial" w:cs="Arial"/>
          <w:color w:val="auto"/>
          <w:sz w:val="22"/>
          <w:szCs w:val="22"/>
        </w:rPr>
        <w:t>ek</w:t>
      </w:r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0C65F0" w:rsidRPr="000C65F0">
        <w:rPr>
          <w:rFonts w:ascii="Arial" w:hAnsi="Arial" w:cs="Arial"/>
          <w:color w:val="auto"/>
          <w:sz w:val="22"/>
          <w:szCs w:val="22"/>
        </w:rPr>
        <w:t xml:space="preserve">15 és 10 </w:t>
      </w:r>
      <w:r w:rsidR="009560B7" w:rsidRPr="000C65F0">
        <w:rPr>
          <w:rFonts w:ascii="Arial" w:hAnsi="Arial" w:cs="Arial"/>
          <w:color w:val="auto"/>
          <w:sz w:val="22"/>
          <w:szCs w:val="22"/>
        </w:rPr>
        <w:t>%-os béremelkedést jelent</w:t>
      </w:r>
      <w:r w:rsidR="000C65F0" w:rsidRPr="000C65F0">
        <w:rPr>
          <w:rFonts w:ascii="Arial" w:hAnsi="Arial" w:cs="Arial"/>
          <w:color w:val="auto"/>
          <w:sz w:val="22"/>
          <w:szCs w:val="22"/>
        </w:rPr>
        <w:t>enek</w:t>
      </w:r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jogszabályi alapon a legalacsonyabb keresetűek számára. </w:t>
      </w:r>
      <w:r w:rsidR="000C65F0" w:rsidRPr="000C65F0">
        <w:rPr>
          <w:rFonts w:ascii="Arial" w:hAnsi="Arial" w:cs="Arial"/>
          <w:color w:val="auto"/>
          <w:sz w:val="22"/>
          <w:szCs w:val="22"/>
        </w:rPr>
        <w:t>A</w:t>
      </w:r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minimálbér emelésen túl más</w:t>
      </w:r>
      <w:r w:rsidR="000C65F0" w:rsidRPr="000C65F0">
        <w:rPr>
          <w:rFonts w:ascii="Arial" w:hAnsi="Arial" w:cs="Arial"/>
          <w:color w:val="auto"/>
          <w:sz w:val="22"/>
          <w:szCs w:val="22"/>
        </w:rPr>
        <w:t xml:space="preserve"> olyan</w:t>
      </w:r>
      <w:r w:rsidR="009560B7" w:rsidRPr="000C65F0">
        <w:rPr>
          <w:rFonts w:ascii="Arial" w:hAnsi="Arial" w:cs="Arial"/>
          <w:color w:val="auto"/>
          <w:sz w:val="22"/>
          <w:szCs w:val="22"/>
        </w:rPr>
        <w:t xml:space="preserve"> béremelést központilag nem szabályoztak</w:t>
      </w:r>
      <w:r w:rsidR="000C65F0" w:rsidRPr="000C65F0">
        <w:rPr>
          <w:rFonts w:ascii="Arial" w:hAnsi="Arial" w:cs="Arial"/>
          <w:color w:val="auto"/>
          <w:sz w:val="22"/>
          <w:szCs w:val="22"/>
        </w:rPr>
        <w:t>, mely az önkormányzat és intézményeit érintené, így munkáltatói és fenntartói hatáskörben egységesen 15 % béremelés került tervezésre.</w:t>
      </w:r>
    </w:p>
    <w:p w14:paraId="23C626EC" w14:textId="06F2793B" w:rsidR="00AF4000" w:rsidRPr="000C65F0" w:rsidRDefault="003C2807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</w:rPr>
      </w:pPr>
      <w:r w:rsidRPr="000C65F0">
        <w:rPr>
          <w:rFonts w:ascii="Arial" w:hAnsi="Arial" w:cs="Arial"/>
          <w:color w:val="auto"/>
          <w:sz w:val="22"/>
          <w:szCs w:val="22"/>
        </w:rPr>
        <w:t>A Kormány a munkába járás címen adható költségtérítés szabálya</w:t>
      </w:r>
      <w:r w:rsidR="000C65F0" w:rsidRPr="000C65F0">
        <w:rPr>
          <w:rFonts w:ascii="Arial" w:hAnsi="Arial" w:cs="Arial"/>
          <w:color w:val="auto"/>
          <w:sz w:val="22"/>
          <w:szCs w:val="22"/>
        </w:rPr>
        <w:t xml:space="preserve">it 2023. évben a veszélyhelyzetre tekintettel külön rendeletben határozta meg, majd a </w:t>
      </w:r>
      <w:r w:rsidR="00D607E6">
        <w:rPr>
          <w:rFonts w:ascii="Arial" w:hAnsi="Arial" w:cs="Arial"/>
          <w:color w:val="auto"/>
          <w:sz w:val="22"/>
          <w:szCs w:val="22"/>
        </w:rPr>
        <w:t>„</w:t>
      </w:r>
      <w:r w:rsidR="00AF4000" w:rsidRPr="000C65F0">
        <w:rPr>
          <w:rFonts w:ascii="Arial" w:hAnsi="Arial" w:cs="Arial"/>
          <w:color w:val="auto"/>
          <w:sz w:val="22"/>
          <w:szCs w:val="22"/>
        </w:rPr>
        <w:t>30 Ft/km</w:t>
      </w:r>
      <w:r w:rsidR="00D607E6">
        <w:rPr>
          <w:rFonts w:ascii="Arial" w:hAnsi="Arial" w:cs="Arial"/>
          <w:color w:val="auto"/>
          <w:sz w:val="22"/>
          <w:szCs w:val="22"/>
        </w:rPr>
        <w:t>”</w:t>
      </w:r>
      <w:r w:rsidR="00AF4000" w:rsidRPr="000C65F0">
        <w:rPr>
          <w:rFonts w:ascii="Arial" w:hAnsi="Arial" w:cs="Arial"/>
          <w:color w:val="auto"/>
          <w:sz w:val="22"/>
          <w:szCs w:val="22"/>
        </w:rPr>
        <w:t xml:space="preserve"> </w:t>
      </w:r>
      <w:r w:rsidR="000C65F0" w:rsidRPr="000C65F0">
        <w:rPr>
          <w:rFonts w:ascii="Arial" w:hAnsi="Arial" w:cs="Arial"/>
          <w:color w:val="auto"/>
          <w:sz w:val="22"/>
          <w:szCs w:val="22"/>
        </w:rPr>
        <w:t>beépítésre került</w:t>
      </w:r>
      <w:r w:rsidR="00AF4000" w:rsidRPr="000C65F0">
        <w:rPr>
          <w:rFonts w:ascii="Arial" w:hAnsi="Arial" w:cs="Arial"/>
          <w:color w:val="auto"/>
          <w:sz w:val="22"/>
          <w:szCs w:val="22"/>
        </w:rPr>
        <w:t xml:space="preserve"> a személyi jövedelemadóról szóló 1995. évi CXVII. </w:t>
      </w:r>
      <w:r w:rsidR="00801574" w:rsidRPr="000C65F0">
        <w:rPr>
          <w:rFonts w:ascii="Arial" w:hAnsi="Arial" w:cs="Arial"/>
          <w:color w:val="auto"/>
          <w:sz w:val="22"/>
          <w:szCs w:val="22"/>
        </w:rPr>
        <w:t>törvény</w:t>
      </w:r>
      <w:r w:rsidR="008A10A7" w:rsidRPr="000C65F0">
        <w:rPr>
          <w:rFonts w:ascii="Arial" w:hAnsi="Arial" w:cs="Arial"/>
          <w:color w:val="auto"/>
          <w:sz w:val="22"/>
          <w:szCs w:val="22"/>
        </w:rPr>
        <w:t xml:space="preserve"> (továbbiakban SZJA tv.)</w:t>
      </w:r>
      <w:r w:rsidR="00AF4000" w:rsidRPr="000C65F0">
        <w:rPr>
          <w:rFonts w:ascii="Arial" w:hAnsi="Arial" w:cs="Arial"/>
          <w:color w:val="auto"/>
          <w:sz w:val="22"/>
          <w:szCs w:val="22"/>
        </w:rPr>
        <w:t xml:space="preserve"> 25. § (2) bekezdésébe</w:t>
      </w:r>
      <w:r w:rsidR="000C65F0" w:rsidRPr="000C65F0">
        <w:rPr>
          <w:rFonts w:ascii="Arial" w:hAnsi="Arial" w:cs="Arial"/>
          <w:color w:val="auto"/>
          <w:sz w:val="22"/>
          <w:szCs w:val="22"/>
        </w:rPr>
        <w:t>.</w:t>
      </w:r>
      <w:r w:rsidR="0044158B" w:rsidRPr="000C65F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44158B" w:rsidRPr="000C65F0">
        <w:rPr>
          <w:rFonts w:ascii="Arial" w:hAnsi="Arial" w:cs="Arial"/>
          <w:color w:val="auto"/>
          <w:sz w:val="22"/>
          <w:szCs w:val="22"/>
        </w:rPr>
        <w:t>Minden érintett dolgozó munkába járásához rendelkezésre áll a szükséges forrás.</w:t>
      </w:r>
    </w:p>
    <w:p w14:paraId="172C1CCA" w14:textId="77777777" w:rsidR="00AC7C48" w:rsidRPr="0030684E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24F2D6F" w14:textId="09433A9A" w:rsidR="00AC7C48" w:rsidRPr="003C0138" w:rsidRDefault="00A3323C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 xml:space="preserve">A közszolgálati tisztviselőkről szóló 2011. évi CXCIX. </w:t>
      </w:r>
      <w:r w:rsidR="00801574" w:rsidRPr="003C0138">
        <w:rPr>
          <w:rFonts w:ascii="Arial" w:hAnsi="Arial" w:cs="Arial"/>
        </w:rPr>
        <w:t>törvény</w:t>
      </w:r>
      <w:r w:rsidRPr="003C0138">
        <w:rPr>
          <w:rFonts w:ascii="Arial" w:hAnsi="Arial" w:cs="Arial"/>
        </w:rPr>
        <w:t xml:space="preserve"> (továbbiakban: Kttv.) 143. § (1) bekezdése előírja, hogy az illetmény kifizetése a </w:t>
      </w:r>
      <w:r w:rsidR="0044158B" w:rsidRPr="003C0138">
        <w:rPr>
          <w:rFonts w:ascii="Arial" w:hAnsi="Arial" w:cs="Arial"/>
        </w:rPr>
        <w:t>köz</w:t>
      </w:r>
      <w:r w:rsidRPr="003C0138">
        <w:rPr>
          <w:rFonts w:ascii="Arial" w:hAnsi="Arial" w:cs="Arial"/>
        </w:rPr>
        <w:t xml:space="preserve">tisztviselő által választott fizetési számlára történő átutalással, fizetési számla hiányában pénzforgalmi számláról történő készpénzkifizetés kézbesítése útján történik, melyhez a (2) bekezdés alapján a </w:t>
      </w:r>
      <w:r w:rsidR="0044158B" w:rsidRPr="003C0138">
        <w:rPr>
          <w:rFonts w:ascii="Arial" w:hAnsi="Arial" w:cs="Arial"/>
        </w:rPr>
        <w:t>köz</w:t>
      </w:r>
      <w:r w:rsidRPr="003C0138">
        <w:rPr>
          <w:rFonts w:ascii="Arial" w:hAnsi="Arial" w:cs="Arial"/>
        </w:rPr>
        <w:t xml:space="preserve">tisztviselő </w:t>
      </w:r>
      <w:r w:rsidRPr="003C0138">
        <w:rPr>
          <w:rFonts w:ascii="Arial" w:hAnsi="Arial" w:cs="Arial"/>
        </w:rPr>
        <w:lastRenderedPageBreak/>
        <w:t xml:space="preserve">részére legfeljebb havonta a központi költségvetésről szóló </w:t>
      </w:r>
      <w:r w:rsidR="00A46DA3" w:rsidRPr="003C0138">
        <w:rPr>
          <w:rFonts w:ascii="Arial" w:hAnsi="Arial" w:cs="Arial"/>
        </w:rPr>
        <w:t>Kvtv.</w:t>
      </w:r>
      <w:r w:rsidR="00EA1B5A">
        <w:rPr>
          <w:rFonts w:ascii="Arial" w:hAnsi="Arial" w:cs="Arial"/>
        </w:rPr>
        <w:t>-</w:t>
      </w:r>
      <w:r w:rsidRPr="003C0138">
        <w:rPr>
          <w:rFonts w:ascii="Arial" w:hAnsi="Arial" w:cs="Arial"/>
        </w:rPr>
        <w:t xml:space="preserve">ben meghatározott mértékű bankszámla-hozzájárulás adható. </w:t>
      </w:r>
    </w:p>
    <w:p w14:paraId="10F95E79" w14:textId="4859D394" w:rsidR="009E0A27" w:rsidRPr="003C0138" w:rsidRDefault="00846D96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 xml:space="preserve">A vonatkozó </w:t>
      </w:r>
      <w:r w:rsidR="00A46DA3" w:rsidRPr="003C0138">
        <w:rPr>
          <w:rFonts w:ascii="Arial" w:hAnsi="Arial" w:cs="Arial"/>
        </w:rPr>
        <w:t>Kvtv.</w:t>
      </w:r>
      <w:r w:rsidRPr="003C0138">
        <w:rPr>
          <w:rFonts w:ascii="Arial" w:hAnsi="Arial" w:cs="Arial"/>
        </w:rPr>
        <w:t xml:space="preserve"> 65. § </w:t>
      </w:r>
      <w:r w:rsidR="00A3323C" w:rsidRPr="003C0138">
        <w:rPr>
          <w:rFonts w:ascii="Arial" w:hAnsi="Arial" w:cs="Arial"/>
        </w:rPr>
        <w:t xml:space="preserve">(5) </w:t>
      </w:r>
      <w:r w:rsidRPr="003C0138">
        <w:rPr>
          <w:rFonts w:ascii="Arial" w:hAnsi="Arial" w:cs="Arial"/>
        </w:rPr>
        <w:t xml:space="preserve">bekezdése alapján </w:t>
      </w:r>
      <w:r w:rsidR="00A3323C" w:rsidRPr="003C0138">
        <w:rPr>
          <w:rFonts w:ascii="Arial" w:hAnsi="Arial" w:cs="Arial"/>
        </w:rPr>
        <w:t>az egy foglalkoztatottnak havonta adható bankszámla-hozzájárulás mértéke a 202</w:t>
      </w:r>
      <w:r w:rsidR="003C0138" w:rsidRPr="003C0138">
        <w:rPr>
          <w:rFonts w:ascii="Arial" w:hAnsi="Arial" w:cs="Arial"/>
        </w:rPr>
        <w:t>4</w:t>
      </w:r>
      <w:r w:rsidR="00A3323C" w:rsidRPr="003C0138">
        <w:rPr>
          <w:rFonts w:ascii="Arial" w:hAnsi="Arial" w:cs="Arial"/>
        </w:rPr>
        <w:t>. évben</w:t>
      </w:r>
      <w:r w:rsidR="003C0138" w:rsidRPr="003C0138">
        <w:rPr>
          <w:rFonts w:ascii="Arial" w:hAnsi="Arial" w:cs="Arial"/>
        </w:rPr>
        <w:t xml:space="preserve"> is változatlanul</w:t>
      </w:r>
      <w:r w:rsidR="00A3323C" w:rsidRPr="003C0138">
        <w:rPr>
          <w:rFonts w:ascii="Arial" w:hAnsi="Arial" w:cs="Arial"/>
        </w:rPr>
        <w:t xml:space="preserve"> legfeljebb 1000 forint.</w:t>
      </w:r>
      <w:r w:rsidRPr="003C0138">
        <w:rPr>
          <w:rFonts w:ascii="Arial" w:hAnsi="Arial" w:cs="Arial"/>
        </w:rPr>
        <w:t xml:space="preserve"> </w:t>
      </w:r>
      <w:r w:rsidR="003C52E7" w:rsidRPr="003C0138">
        <w:rPr>
          <w:rFonts w:ascii="Arial" w:hAnsi="Arial" w:cs="Arial"/>
        </w:rPr>
        <w:t>A leírtak alapján évente bruttó 12 000 Ft/fő hozzájárulást jelent</w:t>
      </w:r>
      <w:r w:rsidR="003C0138" w:rsidRPr="003C0138">
        <w:rPr>
          <w:rFonts w:ascii="Arial" w:hAnsi="Arial" w:cs="Arial"/>
        </w:rPr>
        <w:t>het</w:t>
      </w:r>
      <w:r w:rsidR="003C52E7" w:rsidRPr="003C0138">
        <w:rPr>
          <w:rFonts w:ascii="Arial" w:hAnsi="Arial" w:cs="Arial"/>
        </w:rPr>
        <w:t xml:space="preserve"> a dolgozók bankköltségéhez</w:t>
      </w:r>
      <w:r w:rsidR="0044158B" w:rsidRPr="003C0138">
        <w:rPr>
          <w:rFonts w:ascii="Arial" w:hAnsi="Arial" w:cs="Arial"/>
        </w:rPr>
        <w:t>, melynek számfejtése, kifizetése évente utólag egyösszegben</w:t>
      </w:r>
      <w:r w:rsidR="003C0138" w:rsidRPr="003C0138">
        <w:rPr>
          <w:rFonts w:ascii="Arial" w:hAnsi="Arial" w:cs="Arial"/>
        </w:rPr>
        <w:t xml:space="preserve"> is</w:t>
      </w:r>
      <w:r w:rsidR="0044158B" w:rsidRPr="003C0138">
        <w:rPr>
          <w:rFonts w:ascii="Arial" w:hAnsi="Arial" w:cs="Arial"/>
        </w:rPr>
        <w:t xml:space="preserve"> történ</w:t>
      </w:r>
      <w:r w:rsidR="003C0138" w:rsidRPr="003C0138">
        <w:rPr>
          <w:rFonts w:ascii="Arial" w:hAnsi="Arial" w:cs="Arial"/>
        </w:rPr>
        <w:t>het</w:t>
      </w:r>
      <w:r w:rsidR="0044158B" w:rsidRPr="003C0138">
        <w:rPr>
          <w:rFonts w:ascii="Arial" w:hAnsi="Arial" w:cs="Arial"/>
        </w:rPr>
        <w:t>.</w:t>
      </w:r>
      <w:r w:rsidR="009E0A27" w:rsidRPr="003C0138">
        <w:rPr>
          <w:rFonts w:ascii="Arial" w:hAnsi="Arial" w:cs="Arial"/>
        </w:rPr>
        <w:t xml:space="preserve"> Javasolt a polgármesteri hivatalban az egységes foglalkoztatás politika miatt a köztisztviselőkön kívüli 2 fő munkavállaó részére is biztosítani.</w:t>
      </w:r>
    </w:p>
    <w:p w14:paraId="341230AC" w14:textId="77777777" w:rsidR="004F1944" w:rsidRPr="0030684E" w:rsidRDefault="004F194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E20336" w14:textId="3874281E" w:rsidR="002E159C" w:rsidRPr="003C013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C0138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3C0138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3C0138" w:rsidRPr="003C0138">
        <w:rPr>
          <w:rFonts w:ascii="Arial" w:hAnsi="Arial" w:cs="Arial"/>
          <w:color w:val="auto"/>
          <w:sz w:val="22"/>
          <w:szCs w:val="22"/>
        </w:rPr>
        <w:t>4</w:t>
      </w:r>
      <w:r w:rsidRPr="003C0138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3C0138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3C0138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</w:t>
      </w:r>
    </w:p>
    <w:p w14:paraId="51A20875" w14:textId="77777777" w:rsidR="001C35CC" w:rsidRPr="0030684E" w:rsidRDefault="001C35C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02B422D" w14:textId="7F4DD19B" w:rsidR="00D12AC5" w:rsidRPr="003C0138" w:rsidRDefault="00D12AC5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>202</w:t>
      </w:r>
      <w:r w:rsidR="003C0138" w:rsidRPr="003C0138">
        <w:rPr>
          <w:rFonts w:ascii="Arial" w:hAnsi="Arial" w:cs="Arial"/>
        </w:rPr>
        <w:t>4</w:t>
      </w:r>
      <w:r w:rsidRPr="003C0138">
        <w:rPr>
          <w:rFonts w:ascii="Arial" w:hAnsi="Arial" w:cs="Arial"/>
        </w:rPr>
        <w:t xml:space="preserve">. évben </w:t>
      </w:r>
      <w:r w:rsidR="003C0138" w:rsidRPr="003C0138">
        <w:rPr>
          <w:rFonts w:ascii="Arial" w:hAnsi="Arial" w:cs="Arial"/>
        </w:rPr>
        <w:t>is a 2023. évhez hasonlóan</w:t>
      </w:r>
      <w:r w:rsidR="002810D2" w:rsidRPr="003C0138">
        <w:rPr>
          <w:rFonts w:ascii="Arial" w:hAnsi="Arial" w:cs="Arial"/>
        </w:rPr>
        <w:t xml:space="preserve"> az intézmények a személyi juttatások kiemelt kiadási előirányzaton képzett maradványa a költségvetési rendeletben foglaltak szerint jutalomként kifizethető.</w:t>
      </w:r>
      <w:r w:rsidR="00C41B26" w:rsidRPr="003C0138">
        <w:rPr>
          <w:rFonts w:ascii="Arial" w:hAnsi="Arial" w:cs="Arial"/>
        </w:rPr>
        <w:t xml:space="preserve">  </w:t>
      </w:r>
      <w:r w:rsidR="00846D96" w:rsidRPr="003C0138">
        <w:rPr>
          <w:rFonts w:ascii="Arial" w:hAnsi="Arial" w:cs="Arial"/>
        </w:rPr>
        <w:t>A Kttv.</w:t>
      </w:r>
      <w:r w:rsidR="00C41B26" w:rsidRPr="003C0138">
        <w:rPr>
          <w:rFonts w:ascii="Arial" w:hAnsi="Arial" w:cs="Arial"/>
        </w:rPr>
        <w:t xml:space="preserve"> lehetőséget biztosít a hivatali szervezet vezetője részére rendkívüli, célhoz köthető feladatok megállapítására a k</w:t>
      </w:r>
      <w:r w:rsidR="008A1D87" w:rsidRPr="003C0138">
        <w:rPr>
          <w:rFonts w:ascii="Arial" w:hAnsi="Arial" w:cs="Arial"/>
        </w:rPr>
        <w:t>öztisztviselő</w:t>
      </w:r>
      <w:r w:rsidR="00C41B26" w:rsidRPr="003C0138">
        <w:rPr>
          <w:rFonts w:ascii="Arial" w:hAnsi="Arial" w:cs="Arial"/>
        </w:rPr>
        <w:t xml:space="preserve"> részére, amelynek teljesítése a munkakör ellátásából adódó általános munkaterhet jelentősen meghaladja (a továbbiakban: célfeladat). A célfeladat eredményes végrehajtásáért - a </w:t>
      </w:r>
      <w:r w:rsidR="008A1D87" w:rsidRPr="003C0138">
        <w:rPr>
          <w:rFonts w:ascii="Arial" w:hAnsi="Arial" w:cs="Arial"/>
        </w:rPr>
        <w:t xml:space="preserve">köztisztviselő </w:t>
      </w:r>
      <w:r w:rsidR="00C41B26" w:rsidRPr="003C0138">
        <w:rPr>
          <w:rFonts w:ascii="Arial" w:hAnsi="Arial" w:cs="Arial"/>
        </w:rPr>
        <w:t xml:space="preserve">illetményén felül - céljuttatás határozható meg a megállapított személyi juttatások előirányzatán belül. </w:t>
      </w:r>
      <w:r w:rsidR="00846D96" w:rsidRPr="003C0138">
        <w:rPr>
          <w:rFonts w:ascii="Arial" w:hAnsi="Arial" w:cs="Arial"/>
        </w:rPr>
        <w:t xml:space="preserve">Az elmúlt évek gazdaságot érintő eseményei </w:t>
      </w:r>
      <w:r w:rsidR="006E707B" w:rsidRPr="003C0138">
        <w:rPr>
          <w:rFonts w:ascii="Arial" w:hAnsi="Arial" w:cs="Arial"/>
        </w:rPr>
        <w:t>miatt szükségessé vált célfeladatok meghatározása az önkormányzati feladatok végrehajtása érdekében, melyre</w:t>
      </w:r>
      <w:r w:rsidR="00846D96" w:rsidRPr="003C0138">
        <w:rPr>
          <w:rFonts w:ascii="Arial" w:hAnsi="Arial" w:cs="Arial"/>
        </w:rPr>
        <w:t xml:space="preserve"> ez évben is</w:t>
      </w:r>
      <w:r w:rsidR="006E707B" w:rsidRPr="003C0138">
        <w:rPr>
          <w:rFonts w:ascii="Arial" w:hAnsi="Arial" w:cs="Arial"/>
        </w:rPr>
        <w:t xml:space="preserve"> 3</w:t>
      </w:r>
      <w:r w:rsidR="006C04DB" w:rsidRPr="003C0138">
        <w:rPr>
          <w:rFonts w:ascii="Arial" w:hAnsi="Arial" w:cs="Arial"/>
        </w:rPr>
        <w:t xml:space="preserve"> </w:t>
      </w:r>
      <w:r w:rsidR="006E707B" w:rsidRPr="003C0138">
        <w:rPr>
          <w:rFonts w:ascii="Arial" w:hAnsi="Arial" w:cs="Arial"/>
        </w:rPr>
        <w:t xml:space="preserve">000 </w:t>
      </w:r>
      <w:r w:rsidR="00D53EE8" w:rsidRPr="003C0138">
        <w:rPr>
          <w:rFonts w:ascii="Arial" w:hAnsi="Arial" w:cs="Arial"/>
        </w:rPr>
        <w:t>000</w:t>
      </w:r>
      <w:r w:rsidR="006C04DB" w:rsidRPr="003C0138">
        <w:rPr>
          <w:rFonts w:ascii="Arial" w:hAnsi="Arial" w:cs="Arial"/>
        </w:rPr>
        <w:t xml:space="preserve"> f</w:t>
      </w:r>
      <w:r w:rsidR="006E6B55" w:rsidRPr="003C0138">
        <w:rPr>
          <w:rFonts w:ascii="Arial" w:hAnsi="Arial" w:cs="Arial"/>
        </w:rPr>
        <w:t>orint</w:t>
      </w:r>
      <w:r w:rsidR="006E707B" w:rsidRPr="003C0138">
        <w:rPr>
          <w:rFonts w:ascii="Arial" w:hAnsi="Arial" w:cs="Arial"/>
        </w:rPr>
        <w:t xml:space="preserve"> került betervezésre.</w:t>
      </w:r>
      <w:r w:rsidR="00F9146A" w:rsidRPr="003C0138">
        <w:rPr>
          <w:rFonts w:ascii="Arial" w:hAnsi="Arial" w:cs="Arial"/>
        </w:rPr>
        <w:t xml:space="preserve"> </w:t>
      </w:r>
      <w:r w:rsidR="00C41B26" w:rsidRPr="003C0138">
        <w:rPr>
          <w:rFonts w:ascii="Arial" w:hAnsi="Arial" w:cs="Arial"/>
        </w:rPr>
        <w:t xml:space="preserve">A Kttv. </w:t>
      </w:r>
      <w:r w:rsidRPr="003C0138">
        <w:rPr>
          <w:rFonts w:ascii="Arial" w:hAnsi="Arial" w:cs="Arial"/>
        </w:rPr>
        <w:t>alapján a köztisztviselői cafetéria kötelező juttatás</w:t>
      </w:r>
      <w:r w:rsidR="006E707B" w:rsidRPr="003C0138">
        <w:rPr>
          <w:rFonts w:ascii="Arial" w:hAnsi="Arial" w:cs="Arial"/>
        </w:rPr>
        <w:t xml:space="preserve">. </w:t>
      </w:r>
      <w:r w:rsidR="00D53EE8" w:rsidRPr="003C0138">
        <w:rPr>
          <w:rFonts w:ascii="Arial" w:hAnsi="Arial" w:cs="Arial"/>
        </w:rPr>
        <w:t>A</w:t>
      </w:r>
      <w:r w:rsidR="00F9146A" w:rsidRPr="003C0138">
        <w:rPr>
          <w:rFonts w:ascii="Arial" w:hAnsi="Arial" w:cs="Arial"/>
        </w:rPr>
        <w:t xml:space="preserve"> </w:t>
      </w:r>
      <w:r w:rsidR="00A46DA3" w:rsidRPr="003C0138">
        <w:rPr>
          <w:rFonts w:ascii="Arial" w:hAnsi="Arial" w:cs="Arial"/>
        </w:rPr>
        <w:t>Kvtv.</w:t>
      </w:r>
      <w:r w:rsidR="00F9146A" w:rsidRPr="003C0138">
        <w:rPr>
          <w:rFonts w:ascii="Arial" w:hAnsi="Arial" w:cs="Arial"/>
        </w:rPr>
        <w:t xml:space="preserve"> 6</w:t>
      </w:r>
      <w:r w:rsidR="003C0138" w:rsidRPr="003C0138">
        <w:rPr>
          <w:rFonts w:ascii="Arial" w:hAnsi="Arial" w:cs="Arial"/>
        </w:rPr>
        <w:t>2</w:t>
      </w:r>
      <w:r w:rsidR="00F9146A" w:rsidRPr="003C0138">
        <w:rPr>
          <w:rFonts w:ascii="Arial" w:hAnsi="Arial" w:cs="Arial"/>
        </w:rPr>
        <w:t>. § (4) bekezdése alapján</w:t>
      </w:r>
      <w:r w:rsidR="006E707B" w:rsidRPr="003C0138">
        <w:rPr>
          <w:rFonts w:ascii="Arial" w:hAnsi="Arial" w:cs="Arial"/>
        </w:rPr>
        <w:t xml:space="preserve"> az előirányzott </w:t>
      </w:r>
      <w:r w:rsidR="000000FE" w:rsidRPr="003C0138">
        <w:rPr>
          <w:rFonts w:ascii="Arial" w:hAnsi="Arial" w:cs="Arial"/>
        </w:rPr>
        <w:t xml:space="preserve">cafetéria </w:t>
      </w:r>
      <w:r w:rsidR="006E707B" w:rsidRPr="003C0138">
        <w:rPr>
          <w:rFonts w:ascii="Arial" w:hAnsi="Arial" w:cs="Arial"/>
        </w:rPr>
        <w:t>keret</w:t>
      </w:r>
      <w:r w:rsidR="00F9146A" w:rsidRPr="003C0138">
        <w:rPr>
          <w:rFonts w:ascii="Arial" w:hAnsi="Arial" w:cs="Arial"/>
        </w:rPr>
        <w:t xml:space="preserve"> nettó 400</w:t>
      </w:r>
      <w:r w:rsidR="006C04DB" w:rsidRPr="003C0138">
        <w:rPr>
          <w:rFonts w:ascii="Arial" w:hAnsi="Arial" w:cs="Arial"/>
        </w:rPr>
        <w:t xml:space="preserve"> </w:t>
      </w:r>
      <w:r w:rsidR="00F9146A" w:rsidRPr="003C0138">
        <w:rPr>
          <w:rFonts w:ascii="Arial" w:hAnsi="Arial" w:cs="Arial"/>
        </w:rPr>
        <w:t>000 (</w:t>
      </w:r>
      <w:r w:rsidRPr="003C0138">
        <w:rPr>
          <w:rFonts w:ascii="Arial" w:hAnsi="Arial" w:cs="Arial"/>
        </w:rPr>
        <w:t xml:space="preserve">bruttó </w:t>
      </w:r>
      <w:r w:rsidR="00F9146A" w:rsidRPr="003C0138">
        <w:rPr>
          <w:rFonts w:ascii="Arial" w:hAnsi="Arial" w:cs="Arial"/>
        </w:rPr>
        <w:t>512</w:t>
      </w:r>
      <w:r w:rsidR="006C04DB" w:rsidRPr="003C0138">
        <w:rPr>
          <w:rFonts w:ascii="Arial" w:hAnsi="Arial" w:cs="Arial"/>
        </w:rPr>
        <w:t xml:space="preserve"> </w:t>
      </w:r>
      <w:r w:rsidRPr="003C0138">
        <w:rPr>
          <w:rFonts w:ascii="Arial" w:hAnsi="Arial" w:cs="Arial"/>
        </w:rPr>
        <w:t>000</w:t>
      </w:r>
      <w:r w:rsidR="00F9146A" w:rsidRPr="003C0138">
        <w:rPr>
          <w:rFonts w:ascii="Arial" w:hAnsi="Arial" w:cs="Arial"/>
        </w:rPr>
        <w:t>)</w:t>
      </w:r>
      <w:r w:rsidRPr="003C0138">
        <w:rPr>
          <w:rFonts w:ascii="Arial" w:hAnsi="Arial" w:cs="Arial"/>
        </w:rPr>
        <w:t xml:space="preserve"> </w:t>
      </w:r>
      <w:r w:rsidR="006C04DB" w:rsidRPr="003C0138">
        <w:rPr>
          <w:rFonts w:ascii="Arial" w:hAnsi="Arial" w:cs="Arial"/>
        </w:rPr>
        <w:t>f</w:t>
      </w:r>
      <w:r w:rsidR="006E6B55" w:rsidRPr="003C0138">
        <w:rPr>
          <w:rFonts w:ascii="Arial" w:hAnsi="Arial" w:cs="Arial"/>
        </w:rPr>
        <w:t>orint</w:t>
      </w:r>
      <w:r w:rsidRPr="003C0138">
        <w:rPr>
          <w:rFonts w:ascii="Arial" w:hAnsi="Arial" w:cs="Arial"/>
        </w:rPr>
        <w:t>/fő/év</w:t>
      </w:r>
      <w:r w:rsidR="00F9146A" w:rsidRPr="003C0138">
        <w:rPr>
          <w:rFonts w:ascii="Arial" w:hAnsi="Arial" w:cs="Arial"/>
        </w:rPr>
        <w:t>, mely</w:t>
      </w:r>
      <w:r w:rsidR="006E707B" w:rsidRPr="003C0138">
        <w:rPr>
          <w:rFonts w:ascii="Arial" w:hAnsi="Arial" w:cs="Arial"/>
        </w:rPr>
        <w:t xml:space="preserve">et </w:t>
      </w:r>
      <w:r w:rsidR="009E0A27" w:rsidRPr="003C0138">
        <w:rPr>
          <w:rFonts w:ascii="Arial" w:hAnsi="Arial" w:cs="Arial"/>
        </w:rPr>
        <w:t xml:space="preserve">szintén </w:t>
      </w:r>
      <w:r w:rsidR="00F9146A" w:rsidRPr="003C0138">
        <w:rPr>
          <w:rFonts w:ascii="Arial" w:hAnsi="Arial" w:cs="Arial"/>
        </w:rPr>
        <w:t>j</w:t>
      </w:r>
      <w:r w:rsidRPr="003C0138">
        <w:rPr>
          <w:rFonts w:ascii="Arial" w:hAnsi="Arial" w:cs="Arial"/>
        </w:rPr>
        <w:t>avasolt a polgármesteri hivatalban az egységes foglalkoztatás politika miatt a köztisztviselőkön kívüli 2 fő munkavállaó részére is biztosítani.</w:t>
      </w:r>
      <w:r w:rsidR="003C0138" w:rsidRPr="003C0138">
        <w:rPr>
          <w:rFonts w:ascii="Arial" w:hAnsi="Arial" w:cs="Arial"/>
        </w:rPr>
        <w:t xml:space="preserve"> Az intézményeknél a nem Kttv. alapján foglalkoztatottak részére is adható cafetéria juttatás, melynek 2024. évben betervezett összege nettó 200 000 (bruttó 256 000) forint/fő/év.</w:t>
      </w:r>
    </w:p>
    <w:p w14:paraId="269691BD" w14:textId="77777777" w:rsidR="00B40A61" w:rsidRPr="0030684E" w:rsidRDefault="00B40A61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961CDE2" w14:textId="282686CF" w:rsidR="001B6EC2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6237E9" w:rsidRPr="006237E9">
        <w:rPr>
          <w:rFonts w:ascii="Arial" w:hAnsi="Arial" w:cs="Arial"/>
          <w:color w:val="auto"/>
          <w:sz w:val="22"/>
          <w:szCs w:val="22"/>
        </w:rPr>
        <w:t>130 140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6237E9">
        <w:rPr>
          <w:rFonts w:ascii="Arial" w:hAnsi="Arial" w:cs="Arial"/>
          <w:color w:val="auto"/>
          <w:sz w:val="22"/>
          <w:szCs w:val="22"/>
        </w:rPr>
        <w:t>000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6237E9">
        <w:rPr>
          <w:rFonts w:ascii="Arial" w:hAnsi="Arial" w:cs="Arial"/>
          <w:color w:val="auto"/>
          <w:sz w:val="22"/>
          <w:szCs w:val="22"/>
        </w:rPr>
        <w:t>f</w:t>
      </w:r>
      <w:r w:rsidR="006E6B55" w:rsidRPr="006237E9">
        <w:rPr>
          <w:rFonts w:ascii="Arial" w:hAnsi="Arial" w:cs="Arial"/>
          <w:color w:val="auto"/>
          <w:sz w:val="22"/>
          <w:szCs w:val="22"/>
        </w:rPr>
        <w:t>orint</w:t>
      </w:r>
      <w:r w:rsidR="00A84F28" w:rsidRPr="006237E9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</w:t>
      </w:r>
      <w:r w:rsidR="00801574" w:rsidRPr="006237E9">
        <w:rPr>
          <w:rFonts w:ascii="Arial" w:hAnsi="Arial" w:cs="Arial"/>
          <w:color w:val="auto"/>
          <w:sz w:val="22"/>
          <w:szCs w:val="22"/>
        </w:rPr>
        <w:t>törvény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szerint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6237E9">
        <w:rPr>
          <w:rFonts w:ascii="Arial" w:hAnsi="Arial" w:cs="Arial"/>
          <w:color w:val="auto"/>
          <w:sz w:val="22"/>
          <w:szCs w:val="22"/>
        </w:rPr>
        <w:t>13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14:paraId="38244938" w14:textId="77777777" w:rsidR="003575FC" w:rsidRPr="0030684E" w:rsidRDefault="003575F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319B565" w14:textId="2B8B6A6C" w:rsidR="008B32CF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6237E9" w:rsidRPr="006237E9">
        <w:rPr>
          <w:rFonts w:ascii="Arial" w:hAnsi="Arial" w:cs="Arial"/>
          <w:color w:val="auto"/>
          <w:sz w:val="22"/>
          <w:szCs w:val="22"/>
        </w:rPr>
        <w:t>1 609 197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6237E9">
        <w:rPr>
          <w:rFonts w:ascii="Arial" w:hAnsi="Arial" w:cs="Arial"/>
          <w:color w:val="auto"/>
          <w:sz w:val="22"/>
          <w:szCs w:val="22"/>
        </w:rPr>
        <w:t>000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6237E9">
        <w:rPr>
          <w:rFonts w:ascii="Arial" w:hAnsi="Arial" w:cs="Arial"/>
          <w:color w:val="auto"/>
          <w:sz w:val="22"/>
          <w:szCs w:val="22"/>
        </w:rPr>
        <w:t>f</w:t>
      </w:r>
      <w:r w:rsidR="006E6B55" w:rsidRPr="006237E9">
        <w:rPr>
          <w:rFonts w:ascii="Arial" w:hAnsi="Arial" w:cs="Arial"/>
          <w:color w:val="auto"/>
          <w:sz w:val="22"/>
          <w:szCs w:val="22"/>
        </w:rPr>
        <w:t>orint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3575FC" w:rsidRPr="006237E9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Az előirányzat kialakításánál </w:t>
      </w:r>
      <w:r w:rsidR="006237E9" w:rsidRPr="006237E9">
        <w:rPr>
          <w:rFonts w:ascii="Arial" w:hAnsi="Arial" w:cs="Arial"/>
          <w:color w:val="auto"/>
          <w:sz w:val="22"/>
          <w:szCs w:val="22"/>
        </w:rPr>
        <w:t xml:space="preserve">ez évben is </w:t>
      </w:r>
      <w:r w:rsidRPr="006237E9">
        <w:rPr>
          <w:rFonts w:ascii="Arial" w:hAnsi="Arial" w:cs="Arial"/>
          <w:color w:val="auto"/>
          <w:sz w:val="22"/>
          <w:szCs w:val="22"/>
        </w:rPr>
        <w:t>a takarékos gazdálkodás szempontját tartották szem előtt az intézmények</w:t>
      </w:r>
      <w:r w:rsidR="00981A0B" w:rsidRPr="006237E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E66E434" w14:textId="182D8B5D" w:rsidR="00325FEF" w:rsidRPr="006237E9" w:rsidRDefault="00325FE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color w:val="auto"/>
          <w:sz w:val="22"/>
          <w:szCs w:val="22"/>
        </w:rPr>
        <w:t xml:space="preserve">Ezen a soron jelenik meg Keszthely és Alsópáhok részére az </w:t>
      </w:r>
      <w:r w:rsidR="00094449" w:rsidRPr="006237E9">
        <w:rPr>
          <w:rFonts w:ascii="Arial" w:hAnsi="Arial" w:cs="Arial"/>
          <w:bCs/>
          <w:color w:val="auto"/>
          <w:sz w:val="22"/>
          <w:szCs w:val="22"/>
        </w:rPr>
        <w:t>1991.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évben kötött szerződés alapján évente fizetendő összeg.</w:t>
      </w:r>
    </w:p>
    <w:p w14:paraId="6C50CB8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A6B912B" w14:textId="6B56BED9" w:rsidR="0006770F" w:rsidRPr="00A74145" w:rsidRDefault="008A7BEE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A74145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A74145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A74145">
        <w:rPr>
          <w:rFonts w:ascii="Arial" w:hAnsi="Arial" w:cs="Arial"/>
          <w:color w:val="auto"/>
          <w:sz w:val="22"/>
          <w:szCs w:val="22"/>
        </w:rPr>
        <w:t>202</w:t>
      </w:r>
      <w:r w:rsidR="00603D10" w:rsidRPr="00A74145">
        <w:rPr>
          <w:rFonts w:ascii="Arial" w:hAnsi="Arial" w:cs="Arial"/>
          <w:color w:val="auto"/>
          <w:sz w:val="22"/>
          <w:szCs w:val="22"/>
        </w:rPr>
        <w:t>4</w:t>
      </w:r>
      <w:r w:rsidR="002374DE" w:rsidRPr="00A74145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az államháztartáson belülre átadott támogatás előirányzat </w:t>
      </w:r>
      <w:r w:rsidR="00A74145" w:rsidRPr="00A74145">
        <w:rPr>
          <w:rFonts w:ascii="Arial" w:hAnsi="Arial" w:cs="Arial"/>
          <w:color w:val="auto"/>
          <w:sz w:val="22"/>
          <w:szCs w:val="22"/>
        </w:rPr>
        <w:t>18 009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, az államháztartáson kívülre átadott támogatás előirányzata </w:t>
      </w:r>
      <w:r w:rsidR="006C04DB" w:rsidRPr="00A74145">
        <w:rPr>
          <w:rFonts w:ascii="Arial" w:hAnsi="Arial" w:cs="Arial"/>
          <w:color w:val="auto"/>
          <w:sz w:val="22"/>
          <w:szCs w:val="22"/>
        </w:rPr>
        <w:br/>
      </w:r>
      <w:r w:rsidR="00A74145" w:rsidRPr="00A74145">
        <w:rPr>
          <w:rFonts w:ascii="Arial" w:hAnsi="Arial" w:cs="Arial"/>
          <w:color w:val="auto"/>
          <w:sz w:val="22"/>
          <w:szCs w:val="22"/>
        </w:rPr>
        <w:t>175 380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A74145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bontását az </w:t>
      </w:r>
      <w:r w:rsidR="006F678E" w:rsidRPr="00A74145">
        <w:rPr>
          <w:rFonts w:ascii="Arial" w:hAnsi="Arial" w:cs="Arial"/>
          <w:color w:val="auto"/>
          <w:sz w:val="22"/>
          <w:szCs w:val="22"/>
        </w:rPr>
        <w:t>8</w:t>
      </w:r>
      <w:r w:rsidR="00A56BA0" w:rsidRPr="00A74145">
        <w:rPr>
          <w:rFonts w:ascii="Arial" w:hAnsi="Arial" w:cs="Arial"/>
          <w:color w:val="auto"/>
          <w:sz w:val="22"/>
          <w:szCs w:val="22"/>
        </w:rPr>
        <w:t>. melléklet tartalmazza</w:t>
      </w:r>
      <w:r w:rsidR="00A74145" w:rsidRPr="00A74145">
        <w:rPr>
          <w:rFonts w:ascii="Arial" w:hAnsi="Arial" w:cs="Arial"/>
          <w:color w:val="auto"/>
          <w:sz w:val="22"/>
          <w:szCs w:val="22"/>
        </w:rPr>
        <w:t>.</w:t>
      </w:r>
      <w:r w:rsidR="00325FEF" w:rsidRPr="00A7414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909130F" w14:textId="77777777" w:rsidR="0006770F" w:rsidRPr="00A74145" w:rsidRDefault="0006770F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B0E1E49" w14:textId="03D639BF" w:rsidR="004B3053" w:rsidRPr="00A74145" w:rsidRDefault="002467E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74145">
        <w:rPr>
          <w:rFonts w:ascii="Arial" w:hAnsi="Arial" w:cs="Arial"/>
          <w:color w:val="auto"/>
          <w:sz w:val="22"/>
          <w:szCs w:val="22"/>
        </w:rPr>
        <w:t>A támogatáso</w:t>
      </w:r>
      <w:r w:rsidR="002C6CF6" w:rsidRPr="00A74145">
        <w:rPr>
          <w:rFonts w:ascii="Arial" w:hAnsi="Arial" w:cs="Arial"/>
          <w:color w:val="auto"/>
          <w:sz w:val="22"/>
          <w:szCs w:val="22"/>
        </w:rPr>
        <w:t xml:space="preserve">k között 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kiemelkedő a Hévízi </w:t>
      </w:r>
      <w:r w:rsidRPr="00A74145">
        <w:rPr>
          <w:rFonts w:ascii="Arial" w:hAnsi="Arial" w:cs="Arial"/>
          <w:color w:val="auto"/>
          <w:sz w:val="22"/>
          <w:szCs w:val="22"/>
        </w:rPr>
        <w:t>Turisztikai Nonprofit K</w:t>
      </w:r>
      <w:r w:rsidR="006E6B55" w:rsidRPr="00A74145">
        <w:rPr>
          <w:rFonts w:ascii="Arial" w:hAnsi="Arial" w:cs="Arial"/>
          <w:color w:val="auto"/>
          <w:sz w:val="22"/>
          <w:szCs w:val="22"/>
        </w:rPr>
        <w:t>ft</w:t>
      </w:r>
      <w:r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A74145" w:rsidRPr="00A74145">
        <w:rPr>
          <w:rFonts w:ascii="Arial" w:hAnsi="Arial" w:cs="Arial"/>
          <w:color w:val="auto"/>
          <w:sz w:val="22"/>
          <w:szCs w:val="22"/>
        </w:rPr>
        <w:t>80</w:t>
      </w:r>
      <w:r w:rsidR="006C04D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A74145">
        <w:rPr>
          <w:rFonts w:ascii="Arial" w:hAnsi="Arial" w:cs="Arial"/>
          <w:color w:val="auto"/>
          <w:sz w:val="22"/>
          <w:szCs w:val="22"/>
        </w:rPr>
        <w:t>000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, valamint a Hévíz Sportkör </w:t>
      </w:r>
      <w:r w:rsidR="00A74145" w:rsidRPr="00A74145">
        <w:rPr>
          <w:rFonts w:ascii="Arial" w:hAnsi="Arial" w:cs="Arial"/>
          <w:color w:val="auto"/>
          <w:sz w:val="22"/>
          <w:szCs w:val="22"/>
        </w:rPr>
        <w:t xml:space="preserve">60 000 000 forint, 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TAO pályázat működési célú önrészére biztosított </w:t>
      </w:r>
      <w:r w:rsidR="00A74145" w:rsidRPr="00A74145">
        <w:rPr>
          <w:rFonts w:ascii="Arial" w:hAnsi="Arial" w:cs="Arial"/>
          <w:color w:val="auto"/>
          <w:sz w:val="22"/>
          <w:szCs w:val="22"/>
        </w:rPr>
        <w:t>27 180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17131B" w:rsidRPr="00A74145">
        <w:rPr>
          <w:rFonts w:ascii="Arial" w:hAnsi="Arial" w:cs="Arial"/>
          <w:color w:val="auto"/>
          <w:sz w:val="22"/>
          <w:szCs w:val="22"/>
        </w:rPr>
        <w:t xml:space="preserve"> támogatási összege. </w:t>
      </w:r>
    </w:p>
    <w:p w14:paraId="07ACA520" w14:textId="77777777" w:rsidR="0017131B" w:rsidRPr="00A74145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5475E7F" w14:textId="0C884163" w:rsidR="004864AE" w:rsidRPr="00A74145" w:rsidRDefault="004864A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74145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A7414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56BA0" w:rsidRPr="00A74145">
        <w:rPr>
          <w:rFonts w:ascii="Arial" w:hAnsi="Arial" w:cs="Arial"/>
          <w:b/>
          <w:color w:val="auto"/>
          <w:sz w:val="22"/>
          <w:szCs w:val="22"/>
          <w:u w:val="single"/>
        </w:rPr>
        <w:t>tartalék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tervezett </w:t>
      </w:r>
      <w:r w:rsidR="00A56BA0" w:rsidRPr="00125D3A">
        <w:rPr>
          <w:rFonts w:ascii="Arial" w:hAnsi="Arial" w:cs="Arial"/>
          <w:color w:val="auto"/>
          <w:sz w:val="22"/>
          <w:szCs w:val="22"/>
        </w:rPr>
        <w:t xml:space="preserve">összege </w:t>
      </w:r>
      <w:r w:rsidR="00A74145" w:rsidRPr="00125D3A">
        <w:rPr>
          <w:rFonts w:ascii="Arial" w:hAnsi="Arial" w:cs="Arial"/>
          <w:color w:val="auto"/>
          <w:sz w:val="22"/>
          <w:szCs w:val="22"/>
        </w:rPr>
        <w:t>108 883</w:t>
      </w:r>
      <w:r w:rsidR="00A66742" w:rsidRPr="00125D3A">
        <w:rPr>
          <w:rFonts w:ascii="Arial" w:hAnsi="Arial" w:cs="Arial"/>
          <w:color w:val="auto"/>
          <w:sz w:val="22"/>
          <w:szCs w:val="22"/>
        </w:rPr>
        <w:t xml:space="preserve"> 000</w:t>
      </w:r>
      <w:r w:rsidR="00A56BA0" w:rsidRPr="00125D3A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125D3A">
        <w:rPr>
          <w:rFonts w:ascii="Arial" w:hAnsi="Arial" w:cs="Arial"/>
          <w:color w:val="auto"/>
          <w:sz w:val="22"/>
          <w:szCs w:val="22"/>
        </w:rPr>
        <w:t>f</w:t>
      </w:r>
      <w:r w:rsidR="006E6B55" w:rsidRPr="00125D3A">
        <w:rPr>
          <w:rFonts w:ascii="Arial" w:hAnsi="Arial" w:cs="Arial"/>
          <w:color w:val="auto"/>
          <w:sz w:val="22"/>
          <w:szCs w:val="22"/>
        </w:rPr>
        <w:t>orint</w:t>
      </w:r>
      <w:r w:rsidR="00716C98" w:rsidRPr="00125D3A">
        <w:rPr>
          <w:rFonts w:ascii="Arial" w:hAnsi="Arial" w:cs="Arial"/>
          <w:color w:val="auto"/>
          <w:sz w:val="22"/>
          <w:szCs w:val="22"/>
        </w:rPr>
        <w:t>,</w:t>
      </w:r>
      <w:r w:rsidR="004B3053" w:rsidRPr="00125D3A">
        <w:rPr>
          <w:rFonts w:ascii="Arial" w:hAnsi="Arial" w:cs="Arial"/>
          <w:color w:val="auto"/>
          <w:sz w:val="22"/>
          <w:szCs w:val="22"/>
        </w:rPr>
        <w:t xml:space="preserve"> melyből a </w:t>
      </w:r>
      <w:r w:rsidR="004B3053" w:rsidRPr="00A74145">
        <w:rPr>
          <w:rFonts w:ascii="Arial" w:hAnsi="Arial" w:cs="Arial"/>
          <w:color w:val="auto"/>
          <w:sz w:val="22"/>
          <w:szCs w:val="22"/>
        </w:rPr>
        <w:t xml:space="preserve">működési céltartalék előirányzata </w:t>
      </w:r>
      <w:r w:rsidR="00A66742" w:rsidRPr="00A74145">
        <w:rPr>
          <w:rFonts w:ascii="Arial" w:hAnsi="Arial" w:cs="Arial"/>
          <w:color w:val="auto"/>
          <w:sz w:val="22"/>
          <w:szCs w:val="22"/>
        </w:rPr>
        <w:t>5 000</w:t>
      </w:r>
      <w:r w:rsidR="004B3053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4B3053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4B3053" w:rsidRPr="00A74145">
        <w:rPr>
          <w:rFonts w:ascii="Arial" w:hAnsi="Arial" w:cs="Arial"/>
          <w:color w:val="auto"/>
          <w:sz w:val="22"/>
          <w:szCs w:val="22"/>
        </w:rPr>
        <w:t xml:space="preserve">, </w:t>
      </w:r>
      <w:r w:rsidR="00716C98" w:rsidRPr="00A74145">
        <w:rPr>
          <w:rFonts w:ascii="Arial" w:hAnsi="Arial" w:cs="Arial"/>
          <w:color w:val="auto"/>
          <w:sz w:val="22"/>
          <w:szCs w:val="22"/>
        </w:rPr>
        <w:t xml:space="preserve">az általános tartalék pedig </w:t>
      </w:r>
      <w:r w:rsidR="0017131B" w:rsidRPr="00A74145">
        <w:rPr>
          <w:rFonts w:ascii="Arial" w:hAnsi="Arial" w:cs="Arial"/>
          <w:color w:val="auto"/>
          <w:sz w:val="22"/>
          <w:szCs w:val="22"/>
        </w:rPr>
        <w:t>2</w:t>
      </w:r>
      <w:r w:rsidR="002C6CF6" w:rsidRPr="00A74145">
        <w:rPr>
          <w:rFonts w:ascii="Arial" w:hAnsi="Arial" w:cs="Arial"/>
          <w:color w:val="auto"/>
          <w:sz w:val="22"/>
          <w:szCs w:val="22"/>
        </w:rPr>
        <w:t>0</w:t>
      </w:r>
      <w:r w:rsidR="006C04DB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2C6CF6" w:rsidRPr="00A74145">
        <w:rPr>
          <w:rFonts w:ascii="Arial" w:hAnsi="Arial" w:cs="Arial"/>
          <w:color w:val="auto"/>
          <w:sz w:val="22"/>
          <w:szCs w:val="22"/>
        </w:rPr>
        <w:t>000</w:t>
      </w:r>
      <w:r w:rsidR="00716C98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A74145">
        <w:rPr>
          <w:rFonts w:ascii="Arial" w:hAnsi="Arial" w:cs="Arial"/>
          <w:color w:val="auto"/>
          <w:sz w:val="22"/>
          <w:szCs w:val="22"/>
        </w:rPr>
        <w:t>000</w:t>
      </w:r>
      <w:r w:rsidR="00716C98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. </w:t>
      </w:r>
      <w:r w:rsidRPr="00A74145">
        <w:rPr>
          <w:rFonts w:ascii="Arial" w:hAnsi="Arial" w:cs="Arial"/>
          <w:color w:val="auto"/>
          <w:sz w:val="22"/>
          <w:szCs w:val="22"/>
        </w:rPr>
        <w:t xml:space="preserve">A felhalmozási tartalék </w:t>
      </w:r>
      <w:r w:rsidR="00A74145" w:rsidRPr="00A74145">
        <w:rPr>
          <w:rFonts w:ascii="Arial" w:hAnsi="Arial" w:cs="Arial"/>
          <w:color w:val="auto"/>
          <w:sz w:val="22"/>
          <w:szCs w:val="22"/>
        </w:rPr>
        <w:t>83 883 000</w:t>
      </w:r>
      <w:r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74145">
        <w:rPr>
          <w:rFonts w:ascii="Arial" w:hAnsi="Arial" w:cs="Arial"/>
          <w:color w:val="auto"/>
          <w:sz w:val="22"/>
          <w:szCs w:val="22"/>
        </w:rPr>
        <w:t>f</w:t>
      </w:r>
      <w:r w:rsidR="006E6B55" w:rsidRPr="00A74145">
        <w:rPr>
          <w:rFonts w:ascii="Arial" w:hAnsi="Arial" w:cs="Arial"/>
          <w:color w:val="auto"/>
          <w:sz w:val="22"/>
          <w:szCs w:val="22"/>
        </w:rPr>
        <w:t>orint</w:t>
      </w:r>
      <w:r w:rsidR="0017131B" w:rsidRPr="00A74145">
        <w:rPr>
          <w:rFonts w:ascii="Arial" w:hAnsi="Arial" w:cs="Arial"/>
          <w:color w:val="auto"/>
          <w:sz w:val="22"/>
          <w:szCs w:val="22"/>
        </w:rPr>
        <w:t>.</w:t>
      </w:r>
      <w:r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A74145">
        <w:rPr>
          <w:rFonts w:ascii="Arial" w:hAnsi="Arial" w:cs="Arial"/>
          <w:color w:val="auto"/>
          <w:sz w:val="22"/>
          <w:szCs w:val="22"/>
        </w:rPr>
        <w:t>(</w:t>
      </w:r>
      <w:r w:rsidR="006F678E" w:rsidRPr="00A74145">
        <w:rPr>
          <w:rFonts w:ascii="Arial" w:hAnsi="Arial" w:cs="Arial"/>
          <w:color w:val="auto"/>
          <w:sz w:val="22"/>
          <w:szCs w:val="22"/>
        </w:rPr>
        <w:t>10</w:t>
      </w:r>
      <w:r w:rsidR="009F5C8B" w:rsidRPr="00A74145">
        <w:rPr>
          <w:rFonts w:ascii="Arial" w:hAnsi="Arial" w:cs="Arial"/>
          <w:color w:val="auto"/>
          <w:sz w:val="22"/>
          <w:szCs w:val="22"/>
        </w:rPr>
        <w:t>. melléklet)</w:t>
      </w:r>
    </w:p>
    <w:p w14:paraId="1E00E583" w14:textId="77777777" w:rsidR="0017131B" w:rsidRPr="0030684E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3718EFC" w14:textId="032ACEBF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kiadások</w:t>
      </w:r>
      <w:r w:rsidRPr="003878EE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3878EE">
        <w:rPr>
          <w:rFonts w:ascii="Arial" w:hAnsi="Arial" w:cs="Arial"/>
          <w:color w:val="auto"/>
          <w:sz w:val="22"/>
          <w:szCs w:val="22"/>
        </w:rPr>
        <w:t>összege</w:t>
      </w:r>
      <w:r w:rsidR="00716C98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3878EE" w:rsidRPr="003878EE">
        <w:rPr>
          <w:rFonts w:ascii="Arial" w:hAnsi="Arial" w:cs="Arial"/>
          <w:color w:val="auto"/>
          <w:sz w:val="22"/>
          <w:szCs w:val="22"/>
        </w:rPr>
        <w:t>878 128</w:t>
      </w:r>
      <w:r w:rsidR="0088781F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3878EE">
        <w:rPr>
          <w:rFonts w:ascii="Arial" w:hAnsi="Arial" w:cs="Arial"/>
          <w:color w:val="auto"/>
          <w:sz w:val="22"/>
          <w:szCs w:val="22"/>
        </w:rPr>
        <w:t>000</w:t>
      </w:r>
      <w:r w:rsidR="0088781F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878EE">
        <w:rPr>
          <w:rFonts w:ascii="Arial" w:hAnsi="Arial" w:cs="Arial"/>
          <w:color w:val="auto"/>
          <w:sz w:val="22"/>
          <w:szCs w:val="22"/>
        </w:rPr>
        <w:t>f</w:t>
      </w:r>
      <w:r w:rsidR="006E6B55" w:rsidRPr="003878EE">
        <w:rPr>
          <w:rFonts w:ascii="Arial" w:hAnsi="Arial" w:cs="Arial"/>
          <w:color w:val="auto"/>
          <w:sz w:val="22"/>
          <w:szCs w:val="22"/>
        </w:rPr>
        <w:t>orint</w:t>
      </w:r>
      <w:r w:rsidR="0088781F" w:rsidRPr="003878EE">
        <w:rPr>
          <w:rFonts w:ascii="Arial" w:hAnsi="Arial" w:cs="Arial"/>
          <w:color w:val="auto"/>
          <w:sz w:val="22"/>
          <w:szCs w:val="22"/>
        </w:rPr>
        <w:t>.</w:t>
      </w:r>
    </w:p>
    <w:p w14:paraId="56871C75" w14:textId="7B1CDE49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  <w:u w:val="single"/>
        </w:rPr>
        <w:t>Beruházások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eddig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 w:rsidR="003878EE" w:rsidRPr="003878EE">
        <w:rPr>
          <w:rFonts w:ascii="Arial" w:hAnsi="Arial" w:cs="Arial"/>
          <w:color w:val="auto"/>
          <w:sz w:val="22"/>
          <w:szCs w:val="22"/>
        </w:rPr>
        <w:t>787 479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3878EE">
        <w:rPr>
          <w:rFonts w:ascii="Arial" w:hAnsi="Arial" w:cs="Arial"/>
          <w:color w:val="auto"/>
          <w:sz w:val="22"/>
          <w:szCs w:val="22"/>
        </w:rPr>
        <w:t>000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878EE">
        <w:rPr>
          <w:rFonts w:ascii="Arial" w:hAnsi="Arial" w:cs="Arial"/>
          <w:color w:val="auto"/>
          <w:sz w:val="22"/>
          <w:szCs w:val="22"/>
        </w:rPr>
        <w:t>f</w:t>
      </w:r>
      <w:r w:rsidR="006E6B55" w:rsidRPr="003878EE">
        <w:rPr>
          <w:rFonts w:ascii="Arial" w:hAnsi="Arial" w:cs="Arial"/>
          <w:color w:val="auto"/>
          <w:sz w:val="22"/>
          <w:szCs w:val="22"/>
        </w:rPr>
        <w:t>orint</w:t>
      </w:r>
      <w:r w:rsidR="00D22D53" w:rsidRPr="003878EE">
        <w:rPr>
          <w:rFonts w:ascii="Arial" w:hAnsi="Arial" w:cs="Arial"/>
          <w:color w:val="auto"/>
          <w:sz w:val="22"/>
          <w:szCs w:val="22"/>
        </w:rPr>
        <w:t>,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3878EE">
        <w:rPr>
          <w:rFonts w:ascii="Arial" w:hAnsi="Arial" w:cs="Arial"/>
          <w:color w:val="auto"/>
          <w:sz w:val="22"/>
          <w:szCs w:val="22"/>
          <w:u w:val="single"/>
        </w:rPr>
        <w:t xml:space="preserve">Felújítások 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tervezett összege pedig </w:t>
      </w:r>
      <w:r w:rsidR="00A66742" w:rsidRPr="003878EE">
        <w:rPr>
          <w:rFonts w:ascii="Arial" w:hAnsi="Arial" w:cs="Arial"/>
          <w:color w:val="auto"/>
          <w:sz w:val="22"/>
          <w:szCs w:val="22"/>
        </w:rPr>
        <w:t>5 715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3878EE">
        <w:rPr>
          <w:rFonts w:ascii="Arial" w:hAnsi="Arial" w:cs="Arial"/>
          <w:color w:val="auto"/>
          <w:sz w:val="22"/>
          <w:szCs w:val="22"/>
        </w:rPr>
        <w:t>000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878EE">
        <w:rPr>
          <w:rFonts w:ascii="Arial" w:hAnsi="Arial" w:cs="Arial"/>
          <w:color w:val="auto"/>
          <w:sz w:val="22"/>
          <w:szCs w:val="22"/>
        </w:rPr>
        <w:t>f</w:t>
      </w:r>
      <w:r w:rsidR="006E6B55" w:rsidRPr="003878EE">
        <w:rPr>
          <w:rFonts w:ascii="Arial" w:hAnsi="Arial" w:cs="Arial"/>
          <w:color w:val="auto"/>
          <w:sz w:val="22"/>
          <w:szCs w:val="22"/>
        </w:rPr>
        <w:t>orint</w:t>
      </w:r>
      <w:r w:rsidR="00EE518C" w:rsidRPr="003878EE">
        <w:rPr>
          <w:rFonts w:ascii="Arial" w:hAnsi="Arial" w:cs="Arial"/>
          <w:color w:val="auto"/>
          <w:sz w:val="22"/>
          <w:szCs w:val="22"/>
        </w:rPr>
        <w:t>. Ezek az összegek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3878EE">
        <w:rPr>
          <w:rFonts w:ascii="Arial" w:hAnsi="Arial" w:cs="Arial"/>
          <w:color w:val="auto"/>
          <w:sz w:val="22"/>
          <w:szCs w:val="22"/>
        </w:rPr>
        <w:t>növekedhet</w:t>
      </w:r>
      <w:r w:rsidR="00EE518C" w:rsidRPr="003878EE">
        <w:rPr>
          <w:rFonts w:ascii="Arial" w:hAnsi="Arial" w:cs="Arial"/>
          <w:color w:val="auto"/>
          <w:sz w:val="22"/>
          <w:szCs w:val="22"/>
        </w:rPr>
        <w:t>nek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3878EE">
        <w:rPr>
          <w:rFonts w:ascii="Arial" w:hAnsi="Arial" w:cs="Arial"/>
          <w:color w:val="auto"/>
          <w:sz w:val="22"/>
          <w:szCs w:val="22"/>
        </w:rPr>
        <w:t>az év közben elnyert EU-s és kormányzati pályázatok hatására</w:t>
      </w:r>
      <w:r w:rsidR="0017131B" w:rsidRPr="003878EE">
        <w:rPr>
          <w:rFonts w:ascii="Arial" w:hAnsi="Arial" w:cs="Arial"/>
          <w:color w:val="auto"/>
          <w:sz w:val="22"/>
          <w:szCs w:val="22"/>
        </w:rPr>
        <w:t>.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5B9637" w14:textId="77777777" w:rsidR="00D22D53" w:rsidRPr="003878EE" w:rsidRDefault="00D22D5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C88B773" w14:textId="6903407D" w:rsidR="0051317F" w:rsidRPr="003878EE" w:rsidRDefault="00A066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14:paraId="777C1E55" w14:textId="77777777" w:rsidR="006D6A05" w:rsidRPr="003878EE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A4A746" w14:textId="6AD4FEE8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felhalmozási kiadások részletes - intézményenkénti és felhalmozási célonkénti - tervezését az</w:t>
      </w:r>
      <w:r w:rsidR="00766CAE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F678E" w:rsidRPr="003878EE">
        <w:rPr>
          <w:rFonts w:ascii="Arial" w:hAnsi="Arial" w:cs="Arial"/>
          <w:color w:val="auto"/>
          <w:sz w:val="22"/>
          <w:szCs w:val="22"/>
        </w:rPr>
        <w:t>9</w:t>
      </w:r>
      <w:r w:rsidRPr="003878EE">
        <w:rPr>
          <w:rFonts w:ascii="Arial" w:hAnsi="Arial" w:cs="Arial"/>
          <w:color w:val="auto"/>
          <w:sz w:val="22"/>
          <w:szCs w:val="22"/>
        </w:rPr>
        <w:t>. melléklet tartalmazza.</w:t>
      </w:r>
    </w:p>
    <w:p w14:paraId="1AB22723" w14:textId="77777777" w:rsidR="001C2987" w:rsidRPr="0030684E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F94232F" w14:textId="77777777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878EE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14:paraId="3116A821" w14:textId="41C7D714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ttó finanszírozás keretében </w:t>
      </w:r>
      <w:r w:rsidR="00A66742" w:rsidRPr="003878EE">
        <w:rPr>
          <w:rFonts w:ascii="Arial" w:hAnsi="Arial" w:cs="Arial"/>
          <w:color w:val="auto"/>
          <w:sz w:val="22"/>
          <w:szCs w:val="22"/>
        </w:rPr>
        <w:t>202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3</w:t>
      </w:r>
      <w:r w:rsidR="00A66742" w:rsidRPr="003878EE">
        <w:rPr>
          <w:rFonts w:ascii="Arial" w:hAnsi="Arial" w:cs="Arial"/>
          <w:color w:val="auto"/>
          <w:sz w:val="22"/>
          <w:szCs w:val="22"/>
        </w:rPr>
        <w:t>. évben kiutalt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 a 202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4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3878EE">
        <w:rPr>
          <w:rFonts w:ascii="Arial" w:hAnsi="Arial" w:cs="Arial"/>
          <w:color w:val="auto"/>
          <w:sz w:val="22"/>
          <w:szCs w:val="22"/>
        </w:rPr>
        <w:t xml:space="preserve">A </w:t>
      </w:r>
      <w:r w:rsidR="00C84CE1" w:rsidRPr="003878EE">
        <w:rPr>
          <w:rFonts w:ascii="Arial" w:hAnsi="Arial" w:cs="Arial"/>
          <w:color w:val="auto"/>
          <w:sz w:val="22"/>
          <w:szCs w:val="22"/>
        </w:rPr>
        <w:t>202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4</w:t>
      </w:r>
      <w:r w:rsidR="005A0F0C" w:rsidRPr="003878EE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3878EE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3878EE">
        <w:rPr>
          <w:rFonts w:ascii="Arial" w:hAnsi="Arial" w:cs="Arial"/>
          <w:color w:val="auto"/>
          <w:sz w:val="22"/>
          <w:szCs w:val="22"/>
        </w:rPr>
        <w:t>e</w:t>
      </w:r>
      <w:r w:rsidR="002A4A3D" w:rsidRPr="003878EE">
        <w:rPr>
          <w:rFonts w:ascii="Arial" w:hAnsi="Arial" w:cs="Arial"/>
          <w:color w:val="auto"/>
          <w:sz w:val="22"/>
          <w:szCs w:val="22"/>
        </w:rPr>
        <w:t>zés</w:t>
      </w:r>
      <w:r w:rsidR="005A0F0C" w:rsidRPr="003878EE">
        <w:rPr>
          <w:rFonts w:ascii="Arial" w:hAnsi="Arial" w:cs="Arial"/>
          <w:color w:val="auto"/>
          <w:sz w:val="22"/>
          <w:szCs w:val="22"/>
        </w:rPr>
        <w:t>t vissza kell vezetni.</w:t>
      </w:r>
    </w:p>
    <w:p w14:paraId="054FBAC6" w14:textId="63DD39B6" w:rsidR="00A66742" w:rsidRPr="003878EE" w:rsidRDefault="00A6674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hosszú lejáratú fejlesztési hitel részleteit a 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2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melléklet tartalmazza. A hitelállomány fennmaradó összege </w:t>
      </w:r>
      <w:r w:rsidR="003878EE" w:rsidRPr="003878EE">
        <w:rPr>
          <w:rFonts w:ascii="Arial" w:hAnsi="Arial" w:cs="Arial"/>
          <w:color w:val="auto"/>
          <w:sz w:val="22"/>
          <w:szCs w:val="22"/>
        </w:rPr>
        <w:t>598 895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3878EE">
        <w:rPr>
          <w:rFonts w:ascii="Arial" w:hAnsi="Arial" w:cs="Arial"/>
          <w:color w:val="auto"/>
          <w:sz w:val="22"/>
          <w:szCs w:val="22"/>
        </w:rPr>
        <w:t>000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forint, az utána fizetendő éves kamat </w:t>
      </w:r>
      <w:r w:rsidR="003878EE" w:rsidRPr="003878EE">
        <w:rPr>
          <w:rFonts w:ascii="Arial" w:hAnsi="Arial" w:cs="Arial"/>
          <w:color w:val="auto"/>
          <w:sz w:val="22"/>
          <w:szCs w:val="22"/>
        </w:rPr>
        <w:t>51 490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 w:rsidRPr="003878EE">
        <w:rPr>
          <w:rFonts w:ascii="Arial" w:hAnsi="Arial" w:cs="Arial"/>
          <w:color w:val="auto"/>
          <w:sz w:val="22"/>
          <w:szCs w:val="22"/>
        </w:rPr>
        <w:t>000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forint.</w:t>
      </w:r>
    </w:p>
    <w:p w14:paraId="4D3CBC99" w14:textId="77777777" w:rsidR="00390D87" w:rsidRPr="0030684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E1C25C8" w14:textId="77777777" w:rsidR="001C2987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749B3">
        <w:rPr>
          <w:rFonts w:ascii="Arial" w:hAnsi="Arial" w:cs="Arial"/>
          <w:b/>
          <w:color w:val="auto"/>
          <w:sz w:val="22"/>
          <w:szCs w:val="22"/>
        </w:rPr>
        <w:t>Létszám</w:t>
      </w:r>
    </w:p>
    <w:p w14:paraId="08E2283A" w14:textId="7BD97B60" w:rsidR="001F39FC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D749B3">
        <w:rPr>
          <w:rFonts w:ascii="Arial" w:hAnsi="Arial" w:cs="Arial"/>
          <w:color w:val="auto"/>
          <w:sz w:val="22"/>
          <w:szCs w:val="22"/>
        </w:rPr>
        <w:t>s intézményei létszámkerete 202</w:t>
      </w:r>
      <w:r w:rsidR="003878EE" w:rsidRPr="00D749B3">
        <w:rPr>
          <w:rFonts w:ascii="Arial" w:hAnsi="Arial" w:cs="Arial"/>
          <w:color w:val="auto"/>
          <w:sz w:val="22"/>
          <w:szCs w:val="22"/>
        </w:rPr>
        <w:t>4</w:t>
      </w:r>
      <w:r w:rsidR="0084093C" w:rsidRPr="00D749B3">
        <w:rPr>
          <w:rFonts w:ascii="Arial" w:hAnsi="Arial" w:cs="Arial"/>
          <w:color w:val="auto"/>
          <w:sz w:val="22"/>
          <w:szCs w:val="22"/>
        </w:rPr>
        <w:t>.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január 1</w:t>
      </w:r>
      <w:r w:rsidR="001F39FC" w:rsidRPr="00D749B3">
        <w:rPr>
          <w:rFonts w:ascii="Arial" w:hAnsi="Arial" w:cs="Arial"/>
          <w:color w:val="auto"/>
          <w:sz w:val="22"/>
          <w:szCs w:val="22"/>
        </w:rPr>
        <w:t xml:space="preserve">. </w:t>
      </w:r>
      <w:r w:rsidRPr="00D749B3">
        <w:rPr>
          <w:rFonts w:ascii="Arial" w:hAnsi="Arial" w:cs="Arial"/>
          <w:color w:val="auto"/>
          <w:sz w:val="22"/>
          <w:szCs w:val="22"/>
        </w:rPr>
        <w:t>napj</w:t>
      </w:r>
      <w:r w:rsidR="00A77338" w:rsidRPr="00D749B3">
        <w:rPr>
          <w:rFonts w:ascii="Arial" w:hAnsi="Arial" w:cs="Arial"/>
          <w:color w:val="auto"/>
          <w:sz w:val="22"/>
          <w:szCs w:val="22"/>
        </w:rPr>
        <w:t>á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val 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149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főre </w:t>
      </w:r>
      <w:r w:rsidR="005D49FB" w:rsidRPr="00D749B3">
        <w:rPr>
          <w:rFonts w:ascii="Arial" w:hAnsi="Arial" w:cs="Arial"/>
          <w:color w:val="auto"/>
          <w:sz w:val="22"/>
          <w:szCs w:val="22"/>
        </w:rPr>
        <w:t>csökkent a megtett intézkedések hatására.</w:t>
      </w:r>
      <w:r w:rsidR="00450F94" w:rsidRPr="00D749B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72DDFE2" w14:textId="37B9AAF6" w:rsidR="00B850EB" w:rsidRPr="00D749B3" w:rsidRDefault="00A77338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 xml:space="preserve">A létszámok nagyságát és összetételét az </w:t>
      </w:r>
      <w:r w:rsidR="006F678E" w:rsidRPr="00D749B3">
        <w:rPr>
          <w:rFonts w:ascii="Arial" w:hAnsi="Arial" w:cs="Arial"/>
          <w:color w:val="auto"/>
          <w:sz w:val="22"/>
          <w:szCs w:val="22"/>
        </w:rPr>
        <w:t>2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</w:t>
      </w:r>
      <w:r w:rsidRPr="00D749B3">
        <w:rPr>
          <w:rFonts w:ascii="Arial" w:hAnsi="Arial" w:cs="Arial"/>
          <w:color w:val="auto"/>
          <w:sz w:val="22"/>
          <w:szCs w:val="22"/>
        </w:rPr>
        <w:t>. melléklet részletesen tartalmazza</w:t>
      </w:r>
      <w:r w:rsidR="00781C75" w:rsidRPr="00D749B3">
        <w:rPr>
          <w:rFonts w:ascii="Arial" w:hAnsi="Arial" w:cs="Arial"/>
          <w:color w:val="auto"/>
          <w:sz w:val="22"/>
          <w:szCs w:val="22"/>
        </w:rPr>
        <w:t xml:space="preserve">, melynek részeként megjelenik az állandó munkavállalók mellett - a júniustól augusztusig terjedő időszakra </w:t>
      </w:r>
      <w:r w:rsidR="008605CC" w:rsidRPr="00D749B3">
        <w:rPr>
          <w:rFonts w:ascii="Arial" w:hAnsi="Arial" w:cs="Arial"/>
          <w:color w:val="auto"/>
          <w:sz w:val="22"/>
          <w:szCs w:val="22"/>
        </w:rPr>
        <w:t xml:space="preserve">– a </w:t>
      </w:r>
      <w:r w:rsidR="008605CC" w:rsidRPr="00D749B3">
        <w:rPr>
          <w:rFonts w:ascii="Arial" w:hAnsi="Arial" w:cs="Arial"/>
          <w:i/>
          <w:color w:val="auto"/>
          <w:sz w:val="22"/>
          <w:szCs w:val="22"/>
        </w:rPr>
        <w:t>polgármesteri hivatalban</w:t>
      </w:r>
      <w:r w:rsidR="00781C75" w:rsidRPr="00D749B3">
        <w:rPr>
          <w:rFonts w:ascii="Arial" w:hAnsi="Arial" w:cs="Arial"/>
          <w:color w:val="auto"/>
          <w:sz w:val="22"/>
          <w:szCs w:val="22"/>
        </w:rPr>
        <w:t xml:space="preserve"> 2 fő adóellenőr alkalmazás</w:t>
      </w:r>
      <w:r w:rsidR="00004800">
        <w:rPr>
          <w:rFonts w:ascii="Arial" w:hAnsi="Arial" w:cs="Arial"/>
          <w:color w:val="auto"/>
          <w:sz w:val="22"/>
          <w:szCs w:val="22"/>
        </w:rPr>
        <w:t>ának lehetősége</w:t>
      </w:r>
      <w:r w:rsidR="00781C75" w:rsidRPr="00D749B3">
        <w:rPr>
          <w:rFonts w:ascii="Arial" w:hAnsi="Arial" w:cs="Arial"/>
          <w:color w:val="auto"/>
          <w:sz w:val="22"/>
          <w:szCs w:val="22"/>
        </w:rPr>
        <w:t>.</w:t>
      </w:r>
    </w:p>
    <w:p w14:paraId="761702B8" w14:textId="7C5F3AE1" w:rsidR="003878EE" w:rsidRPr="00D749B3" w:rsidRDefault="003878EE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49B3">
        <w:rPr>
          <w:rFonts w:ascii="Arial" w:hAnsi="Arial" w:cs="Arial"/>
          <w:bCs/>
          <w:color w:val="auto"/>
          <w:sz w:val="22"/>
          <w:szCs w:val="22"/>
        </w:rPr>
        <w:t xml:space="preserve">Az </w:t>
      </w:r>
      <w:r w:rsidRPr="00D749B3">
        <w:rPr>
          <w:rFonts w:ascii="Arial" w:hAnsi="Arial" w:cs="Arial"/>
          <w:bCs/>
          <w:i/>
          <w:color w:val="auto"/>
          <w:sz w:val="22"/>
          <w:szCs w:val="22"/>
        </w:rPr>
        <w:t xml:space="preserve">önkormányzat </w:t>
      </w:r>
      <w:r w:rsidRPr="00D749B3">
        <w:rPr>
          <w:rFonts w:ascii="Arial" w:hAnsi="Arial" w:cs="Arial"/>
          <w:bCs/>
          <w:color w:val="auto"/>
          <w:sz w:val="22"/>
          <w:szCs w:val="22"/>
        </w:rPr>
        <w:t>esetében</w:t>
      </w:r>
      <w:r w:rsidR="008605CC" w:rsidRPr="00D749B3">
        <w:rPr>
          <w:rFonts w:ascii="Arial" w:hAnsi="Arial" w:cs="Arial"/>
          <w:bCs/>
          <w:color w:val="auto"/>
          <w:sz w:val="22"/>
          <w:szCs w:val="22"/>
        </w:rPr>
        <w:t xml:space="preserve"> a</w:t>
      </w:r>
      <w:r w:rsidRPr="00D749B3">
        <w:rPr>
          <w:rFonts w:ascii="Arial" w:hAnsi="Arial" w:cs="Arial"/>
          <w:bCs/>
          <w:color w:val="auto"/>
          <w:sz w:val="22"/>
          <w:szCs w:val="22"/>
        </w:rPr>
        <w:t xml:space="preserve"> 2024. október 1 utáni időszakra főállású alpolgármester </w:t>
      </w:r>
      <w:r w:rsidR="008605CC" w:rsidRPr="00D749B3">
        <w:rPr>
          <w:rFonts w:ascii="Arial" w:hAnsi="Arial" w:cs="Arial"/>
          <w:bCs/>
          <w:color w:val="auto"/>
          <w:sz w:val="22"/>
          <w:szCs w:val="22"/>
        </w:rPr>
        <w:t>részére biztosított az álláshely.</w:t>
      </w:r>
    </w:p>
    <w:p w14:paraId="6C62CD3C" w14:textId="021B7628" w:rsidR="008605CC" w:rsidRPr="00D749B3" w:rsidRDefault="008605CC" w:rsidP="00514A0C">
      <w:pPr>
        <w:pStyle w:val="Default"/>
        <w:spacing w:line="276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 xml:space="preserve">A </w:t>
      </w:r>
      <w:r w:rsidRPr="00D749B3">
        <w:rPr>
          <w:rFonts w:ascii="Arial" w:hAnsi="Arial" w:cs="Arial"/>
          <w:i/>
          <w:iCs/>
          <w:color w:val="auto"/>
          <w:sz w:val="22"/>
          <w:szCs w:val="22"/>
        </w:rPr>
        <w:t>Gróf I. Festetics György Művelődési Központ</w:t>
      </w:r>
      <w:r w:rsidRPr="00D749B3">
        <w:rPr>
          <w:rFonts w:ascii="Arial" w:hAnsi="Arial" w:cs="Arial"/>
          <w:iCs/>
          <w:color w:val="auto"/>
          <w:sz w:val="22"/>
          <w:szCs w:val="22"/>
        </w:rPr>
        <w:t xml:space="preserve"> feladatainak ellátásához, szabadságok kiadásához szükséges az 1 fő 4 órás munkaviszonyt 8 órás munkaviszonnyá változtatni.</w:t>
      </w:r>
    </w:p>
    <w:p w14:paraId="72908E48" w14:textId="49D9A4FE" w:rsidR="008605CC" w:rsidRPr="00D749B3" w:rsidRDefault="008605CC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>A</w:t>
      </w:r>
      <w:r w:rsidRPr="00D749B3">
        <w:rPr>
          <w:rFonts w:ascii="Arial" w:hAnsi="Arial" w:cs="Arial"/>
          <w:i/>
          <w:color w:val="auto"/>
          <w:sz w:val="22"/>
          <w:szCs w:val="22"/>
        </w:rPr>
        <w:t xml:space="preserve"> Teréz Anya Szociális Integrált Intézménynél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szakmailag célszerűbbnek tűnik a megbízási szerződéssel foglalkoztatott gyógytornász helyett 1 fő 4 órás, közalkalmazotti jogviszonyban alkalmazása, valamint szükséges 1 fő</w:t>
      </w:r>
      <w:r w:rsidR="00D749B3" w:rsidRPr="00D749B3">
        <w:rPr>
          <w:rFonts w:ascii="Arial" w:hAnsi="Arial" w:cs="Arial"/>
          <w:color w:val="auto"/>
          <w:sz w:val="22"/>
          <w:szCs w:val="22"/>
        </w:rPr>
        <w:t>t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főállásban foglalkoztatni takarító/kisegítő </w:t>
      </w:r>
      <w:r w:rsidR="00D749B3" w:rsidRPr="00D749B3">
        <w:rPr>
          <w:rFonts w:ascii="Arial" w:hAnsi="Arial" w:cs="Arial"/>
          <w:color w:val="auto"/>
          <w:sz w:val="22"/>
          <w:szCs w:val="22"/>
        </w:rPr>
        <w:t>munkakörben a Deák téri épületbe való költözés</w:t>
      </w:r>
      <w:r w:rsidR="00D749B3">
        <w:rPr>
          <w:rFonts w:ascii="Arial" w:hAnsi="Arial" w:cs="Arial"/>
          <w:color w:val="auto"/>
          <w:sz w:val="22"/>
          <w:szCs w:val="22"/>
        </w:rPr>
        <w:t xml:space="preserve"> és a szabadságolások</w:t>
      </w:r>
      <w:r w:rsidR="00D749B3" w:rsidRPr="00D749B3">
        <w:rPr>
          <w:rFonts w:ascii="Arial" w:hAnsi="Arial" w:cs="Arial"/>
          <w:color w:val="auto"/>
          <w:sz w:val="22"/>
          <w:szCs w:val="22"/>
        </w:rPr>
        <w:t xml:space="preserve"> miatt.</w:t>
      </w:r>
    </w:p>
    <w:p w14:paraId="65F2BE63" w14:textId="77777777" w:rsidR="0084093C" w:rsidRPr="00DD0CDD" w:rsidRDefault="0084093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C7EBB46" w14:textId="77777777" w:rsidR="00A56BA0" w:rsidRPr="00DD0CDD" w:rsidRDefault="00A56BA0" w:rsidP="00514A0C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DD0CDD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14:paraId="6E5093A2" w14:textId="282DBE56" w:rsidR="0093459D" w:rsidRPr="00DD0CDD" w:rsidRDefault="00ED5CED" w:rsidP="00514A0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D0CDD">
        <w:rPr>
          <w:rFonts w:ascii="Arial" w:hAnsi="Arial" w:cs="Arial"/>
          <w:color w:val="auto"/>
          <w:sz w:val="22"/>
          <w:szCs w:val="22"/>
        </w:rPr>
        <w:t xml:space="preserve">Az </w:t>
      </w:r>
      <w:r w:rsidR="00E40C0C" w:rsidRPr="00DD0CDD">
        <w:rPr>
          <w:rFonts w:ascii="Arial" w:hAnsi="Arial" w:cs="Arial"/>
          <w:color w:val="auto"/>
          <w:sz w:val="22"/>
          <w:szCs w:val="22"/>
        </w:rPr>
        <w:t xml:space="preserve">Áht. </w:t>
      </w:r>
      <w:r w:rsidRPr="00DD0CDD">
        <w:rPr>
          <w:rFonts w:ascii="Arial" w:hAnsi="Arial" w:cs="Arial"/>
          <w:color w:val="auto"/>
          <w:sz w:val="22"/>
          <w:szCs w:val="22"/>
        </w:rPr>
        <w:t>24. § (4) bekezdés c) pontja írja elő a költségvetés előkészítésekor a képviselő-testület részére tájékoztatásként a közvetetett támogatásokat tartalmazó kimutatást. A k</w:t>
      </w:r>
      <w:r w:rsidR="00A56BA0" w:rsidRPr="00DD0CDD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DD0CDD">
        <w:rPr>
          <w:rFonts w:ascii="Arial" w:hAnsi="Arial" w:cs="Arial"/>
          <w:color w:val="auto"/>
          <w:sz w:val="22"/>
          <w:szCs w:val="22"/>
        </w:rPr>
        <w:t>támogatások 202</w:t>
      </w:r>
      <w:r w:rsidR="00DD0CDD" w:rsidRPr="00DD0CDD">
        <w:rPr>
          <w:rFonts w:ascii="Arial" w:hAnsi="Arial" w:cs="Arial"/>
          <w:color w:val="auto"/>
          <w:sz w:val="22"/>
          <w:szCs w:val="22"/>
        </w:rPr>
        <w:t>4</w:t>
      </w:r>
      <w:r w:rsidR="00A77338" w:rsidRPr="00DD0CDD">
        <w:rPr>
          <w:rFonts w:ascii="Arial" w:hAnsi="Arial" w:cs="Arial"/>
          <w:color w:val="auto"/>
          <w:sz w:val="22"/>
          <w:szCs w:val="22"/>
        </w:rPr>
        <w:t>. év</w:t>
      </w:r>
      <w:r w:rsidR="0093459D" w:rsidRPr="00DD0CDD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DD0CDD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C84CE1" w:rsidRPr="00DD0CDD">
        <w:rPr>
          <w:rFonts w:ascii="Arial" w:hAnsi="Arial" w:cs="Arial"/>
          <w:color w:val="auto"/>
          <w:sz w:val="22"/>
          <w:szCs w:val="22"/>
        </w:rPr>
        <w:t xml:space="preserve"> </w:t>
      </w:r>
      <w:r w:rsidR="00DD0CDD" w:rsidRPr="00DD0CDD">
        <w:rPr>
          <w:rFonts w:ascii="Arial" w:hAnsi="Arial" w:cs="Arial"/>
          <w:color w:val="auto"/>
          <w:sz w:val="22"/>
          <w:szCs w:val="22"/>
        </w:rPr>
        <w:t>246 941</w:t>
      </w:r>
      <w:r w:rsidR="00F239A4" w:rsidRPr="00DD0CDD">
        <w:rPr>
          <w:rFonts w:ascii="Arial" w:hAnsi="Arial" w:cs="Arial"/>
          <w:color w:val="auto"/>
          <w:sz w:val="22"/>
          <w:szCs w:val="22"/>
        </w:rPr>
        <w:t xml:space="preserve"> </w:t>
      </w:r>
      <w:r w:rsidR="00801574" w:rsidRPr="00DD0CDD">
        <w:rPr>
          <w:rFonts w:ascii="Arial" w:hAnsi="Arial" w:cs="Arial"/>
          <w:color w:val="auto"/>
          <w:sz w:val="22"/>
          <w:szCs w:val="22"/>
        </w:rPr>
        <w:t>000</w:t>
      </w:r>
      <w:r w:rsidR="00F239A4" w:rsidRPr="00DD0CDD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DD0CDD">
        <w:rPr>
          <w:rFonts w:ascii="Arial" w:hAnsi="Arial" w:cs="Arial"/>
          <w:color w:val="auto"/>
          <w:sz w:val="22"/>
          <w:szCs w:val="22"/>
        </w:rPr>
        <w:t>f</w:t>
      </w:r>
      <w:r w:rsidR="006E6B55" w:rsidRPr="00DD0CDD">
        <w:rPr>
          <w:rFonts w:ascii="Arial" w:hAnsi="Arial" w:cs="Arial"/>
          <w:color w:val="auto"/>
          <w:sz w:val="22"/>
          <w:szCs w:val="22"/>
        </w:rPr>
        <w:t>orint</w:t>
      </w:r>
      <w:r w:rsidR="00565040" w:rsidRPr="00DD0CDD">
        <w:rPr>
          <w:rFonts w:ascii="Arial" w:hAnsi="Arial" w:cs="Arial"/>
          <w:color w:val="auto"/>
          <w:sz w:val="22"/>
          <w:szCs w:val="22"/>
        </w:rPr>
        <w:t>, mely összeget a</w:t>
      </w:r>
      <w:r w:rsidRPr="00DD0CDD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DD0CDD">
        <w:rPr>
          <w:rFonts w:ascii="Arial" w:hAnsi="Arial" w:cs="Arial"/>
          <w:color w:val="auto"/>
          <w:sz w:val="22"/>
          <w:szCs w:val="22"/>
        </w:rPr>
        <w:t xml:space="preserve"> Teréz Anya Integrált Szociális Intézmény méltányossági okból biztosított támogatásai </w:t>
      </w:r>
      <w:r w:rsidR="00565040" w:rsidRPr="00DD0CDD">
        <w:rPr>
          <w:rFonts w:ascii="Arial" w:hAnsi="Arial" w:cs="Arial"/>
          <w:color w:val="auto"/>
          <w:sz w:val="22"/>
          <w:szCs w:val="22"/>
        </w:rPr>
        <w:t>teszik ki.</w:t>
      </w:r>
    </w:p>
    <w:p w14:paraId="243C976D" w14:textId="58C1AD23" w:rsidR="00D10592" w:rsidRPr="00DD0CDD" w:rsidRDefault="00A56BA0" w:rsidP="00514A0C">
      <w:pPr>
        <w:spacing w:after="0"/>
        <w:jc w:val="both"/>
        <w:rPr>
          <w:rFonts w:ascii="Arial" w:hAnsi="Arial" w:cs="Arial"/>
        </w:rPr>
      </w:pPr>
      <w:r w:rsidRPr="00DD0CDD">
        <w:rPr>
          <w:rFonts w:ascii="Arial" w:hAnsi="Arial" w:cs="Arial"/>
        </w:rPr>
        <w:t xml:space="preserve">A közvetett támogatások nyújtásának jogcímenként részletezett összegét a </w:t>
      </w:r>
      <w:r w:rsidR="006F678E" w:rsidRPr="00DD0CDD">
        <w:rPr>
          <w:rFonts w:ascii="Arial" w:hAnsi="Arial" w:cs="Arial"/>
        </w:rPr>
        <w:t>2</w:t>
      </w:r>
      <w:r w:rsidR="00DD0CDD" w:rsidRPr="00DD0CDD">
        <w:rPr>
          <w:rFonts w:ascii="Arial" w:hAnsi="Arial" w:cs="Arial"/>
        </w:rPr>
        <w:t>4</w:t>
      </w:r>
      <w:r w:rsidRPr="00DD0CDD">
        <w:rPr>
          <w:rFonts w:ascii="Arial" w:hAnsi="Arial" w:cs="Arial"/>
        </w:rPr>
        <w:t>. számú melléklet tartalmazza</w:t>
      </w:r>
      <w:r w:rsidR="00F239A4" w:rsidRPr="00DD0CDD">
        <w:rPr>
          <w:rFonts w:ascii="Arial" w:hAnsi="Arial" w:cs="Arial"/>
        </w:rPr>
        <w:t>.</w:t>
      </w:r>
    </w:p>
    <w:p w14:paraId="438A07E4" w14:textId="77777777" w:rsidR="00220C2E" w:rsidRPr="0030684E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6031842" w14:textId="1C235F97" w:rsidR="00220C2E" w:rsidRPr="001B68F6" w:rsidRDefault="00220C2E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Rendelet részletes indok</w:t>
      </w:r>
      <w:r w:rsidR="009B1FEA" w:rsidRPr="001B68F6">
        <w:rPr>
          <w:rFonts w:ascii="Arial" w:hAnsi="Arial" w:cs="Arial"/>
          <w:b/>
        </w:rPr>
        <w:t>o</w:t>
      </w:r>
      <w:r w:rsidRPr="001B68F6">
        <w:rPr>
          <w:rFonts w:ascii="Arial" w:hAnsi="Arial" w:cs="Arial"/>
          <w:b/>
        </w:rPr>
        <w:t>lás</w:t>
      </w:r>
    </w:p>
    <w:p w14:paraId="1416D1DD" w14:textId="4A7DD2FE" w:rsidR="009B1FEA" w:rsidRPr="001B68F6" w:rsidRDefault="009B1FEA" w:rsidP="00514A0C">
      <w:pPr>
        <w:spacing w:after="0"/>
        <w:jc w:val="center"/>
        <w:rPr>
          <w:rFonts w:ascii="Arial" w:hAnsi="Arial" w:cs="Arial"/>
          <w:b/>
        </w:rPr>
      </w:pPr>
    </w:p>
    <w:p w14:paraId="58142D98" w14:textId="001A604D" w:rsidR="009B1FEA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§</w:t>
      </w:r>
    </w:p>
    <w:p w14:paraId="48194457" w14:textId="2D96846E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 xml:space="preserve">A költségvetés szerkezetét határozza meg és </w:t>
      </w:r>
      <w:r w:rsidR="00E40C0C" w:rsidRPr="001B68F6">
        <w:rPr>
          <w:rFonts w:ascii="Arial" w:hAnsi="Arial" w:cs="Arial"/>
        </w:rPr>
        <w:t>személyi hatályát állapítja meg.</w:t>
      </w:r>
    </w:p>
    <w:p w14:paraId="4565B3A4" w14:textId="77777777" w:rsidR="009B1FEA" w:rsidRPr="001B68F6" w:rsidRDefault="009B1FEA" w:rsidP="00514A0C">
      <w:pPr>
        <w:spacing w:after="0"/>
        <w:rPr>
          <w:rFonts w:ascii="Arial" w:hAnsi="Arial" w:cs="Arial"/>
        </w:rPr>
      </w:pPr>
    </w:p>
    <w:p w14:paraId="0C5F87B7" w14:textId="47A9B1C1" w:rsidR="00220C2E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§</w:t>
      </w:r>
    </w:p>
    <w:p w14:paraId="47E61D3F" w14:textId="56E17F6C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Áht. előírásainak megfelelően meghatározza a költségvetés címrendjét.</w:t>
      </w:r>
    </w:p>
    <w:p w14:paraId="23E22C26" w14:textId="36C48672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1FCC257" w14:textId="042F23DD" w:rsidR="00220C2E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3 - 5. §</w:t>
      </w:r>
    </w:p>
    <w:p w14:paraId="38B8763F" w14:textId="17C1574C" w:rsidR="00220C2E" w:rsidRPr="001B68F6" w:rsidRDefault="00EF0925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az Önkormányzat</w:t>
      </w:r>
      <w:r w:rsidR="00220C2E" w:rsidRPr="001B68F6">
        <w:rPr>
          <w:rFonts w:ascii="Arial" w:hAnsi="Arial" w:cs="Arial"/>
        </w:rPr>
        <w:t xml:space="preserve"> bevétel</w:t>
      </w:r>
      <w:r w:rsidRPr="001B68F6">
        <w:rPr>
          <w:rFonts w:ascii="Arial" w:hAnsi="Arial" w:cs="Arial"/>
        </w:rPr>
        <w:t xml:space="preserve">i és kiadási </w:t>
      </w:r>
      <w:r w:rsidR="00220C2E" w:rsidRPr="001B68F6">
        <w:rPr>
          <w:rFonts w:ascii="Arial" w:hAnsi="Arial" w:cs="Arial"/>
        </w:rPr>
        <w:t>fő összegeit</w:t>
      </w:r>
      <w:r w:rsidRPr="001B68F6">
        <w:rPr>
          <w:rFonts w:ascii="Arial" w:hAnsi="Arial" w:cs="Arial"/>
        </w:rPr>
        <w:t>, kiemelt előirányzat</w:t>
      </w:r>
      <w:r w:rsidR="00BD7F59" w:rsidRPr="001B68F6">
        <w:rPr>
          <w:rFonts w:ascii="Arial" w:hAnsi="Arial" w:cs="Arial"/>
        </w:rPr>
        <w:t>a</w:t>
      </w:r>
      <w:r w:rsidRPr="001B68F6">
        <w:rPr>
          <w:rFonts w:ascii="Arial" w:hAnsi="Arial" w:cs="Arial"/>
        </w:rPr>
        <w:t>it</w:t>
      </w:r>
      <w:r w:rsidR="00220C2E" w:rsidRPr="001B68F6">
        <w:rPr>
          <w:rFonts w:ascii="Arial" w:hAnsi="Arial" w:cs="Arial"/>
        </w:rPr>
        <w:t xml:space="preserve"> a</w:t>
      </w:r>
      <w:r w:rsidR="009B1FEA" w:rsidRPr="001B68F6">
        <w:rPr>
          <w:rFonts w:ascii="Arial" w:hAnsi="Arial" w:cs="Arial"/>
        </w:rPr>
        <w:t xml:space="preserve"> </w:t>
      </w:r>
      <w:r w:rsidR="00220C2E" w:rsidRPr="001B68F6">
        <w:rPr>
          <w:rFonts w:ascii="Arial" w:hAnsi="Arial" w:cs="Arial"/>
        </w:rPr>
        <w:t>megfelelő hivatkozási hely</w:t>
      </w:r>
      <w:r w:rsidR="00905809" w:rsidRPr="001B68F6">
        <w:rPr>
          <w:rFonts w:ascii="Arial" w:hAnsi="Arial" w:cs="Arial"/>
        </w:rPr>
        <w:t>ek, mellékletek megjelölésével.</w:t>
      </w:r>
    </w:p>
    <w:p w14:paraId="6F3EC018" w14:textId="555C4F7B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161F7C7" w14:textId="47C222E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 xml:space="preserve">6 - </w:t>
      </w:r>
      <w:r w:rsidR="00BD1679" w:rsidRPr="001B68F6">
        <w:rPr>
          <w:rFonts w:ascii="Arial" w:hAnsi="Arial" w:cs="Arial"/>
          <w:b/>
          <w:bCs/>
        </w:rPr>
        <w:t>9</w:t>
      </w:r>
      <w:r w:rsidRPr="001B68F6">
        <w:rPr>
          <w:rFonts w:ascii="Arial" w:hAnsi="Arial" w:cs="Arial"/>
          <w:b/>
          <w:bCs/>
        </w:rPr>
        <w:t>. §</w:t>
      </w:r>
    </w:p>
    <w:p w14:paraId="02ABFF32" w14:textId="6C482917" w:rsidR="00905809" w:rsidRPr="001B68F6" w:rsidRDefault="00905809" w:rsidP="00514A0C">
      <w:pPr>
        <w:spacing w:after="0"/>
        <w:ind w:left="36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önkormányzat költségvetési szerveinek</w:t>
      </w:r>
      <w:r w:rsidR="00A146E7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bevételi és kiadási főösszegét rögzíti.</w:t>
      </w:r>
    </w:p>
    <w:p w14:paraId="32BB38D9" w14:textId="7777777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1B68028D" w14:textId="33594C6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BD1679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45A7EDE8" w14:textId="7555464C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szervek 20</w:t>
      </w:r>
      <w:r w:rsidR="00CE0CE9" w:rsidRPr="001B68F6">
        <w:rPr>
          <w:rFonts w:ascii="Arial" w:hAnsi="Arial" w:cs="Arial"/>
        </w:rPr>
        <w:t>2</w:t>
      </w:r>
      <w:r w:rsidR="00BD1679" w:rsidRPr="001B68F6">
        <w:rPr>
          <w:rFonts w:ascii="Arial" w:hAnsi="Arial" w:cs="Arial"/>
        </w:rPr>
        <w:t>4</w:t>
      </w:r>
      <w:r w:rsidRPr="001B68F6">
        <w:rPr>
          <w:rFonts w:ascii="Arial" w:hAnsi="Arial" w:cs="Arial"/>
        </w:rPr>
        <w:t>. január 1-ei létszámkeretét állapítja meg.</w:t>
      </w:r>
    </w:p>
    <w:p w14:paraId="7A2FC601" w14:textId="15CC06C8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B2C649" w14:textId="61C05A4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  <w:iCs/>
        </w:rPr>
        <w:t>1</w:t>
      </w:r>
      <w:r w:rsidR="00BD1679" w:rsidRPr="001B68F6">
        <w:rPr>
          <w:rFonts w:ascii="Arial" w:hAnsi="Arial" w:cs="Arial"/>
          <w:b/>
          <w:bCs/>
          <w:iCs/>
        </w:rPr>
        <w:t>1</w:t>
      </w:r>
      <w:r w:rsidRPr="001B68F6">
        <w:rPr>
          <w:rFonts w:ascii="Arial" w:hAnsi="Arial" w:cs="Arial"/>
          <w:b/>
          <w:bCs/>
          <w:iCs/>
        </w:rPr>
        <w:t>. §</w:t>
      </w:r>
    </w:p>
    <w:p w14:paraId="2C9B97BD" w14:textId="6754294B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cafetéria</w:t>
      </w:r>
      <w:r w:rsidR="00CE0CE9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összegét.</w:t>
      </w:r>
    </w:p>
    <w:p w14:paraId="22C115A3" w14:textId="6467DD90" w:rsidR="004E466B" w:rsidRPr="001B68F6" w:rsidRDefault="004E466B" w:rsidP="00514A0C">
      <w:pPr>
        <w:spacing w:after="0"/>
        <w:jc w:val="center"/>
        <w:rPr>
          <w:rFonts w:ascii="Arial" w:hAnsi="Arial" w:cs="Arial"/>
        </w:rPr>
      </w:pPr>
    </w:p>
    <w:p w14:paraId="3377EC02" w14:textId="37FA3256" w:rsidR="001B009A" w:rsidRPr="001B68F6" w:rsidRDefault="004E466B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1</w:t>
      </w:r>
      <w:r w:rsidR="00BD1679" w:rsidRPr="001B68F6">
        <w:rPr>
          <w:rFonts w:ascii="Arial" w:hAnsi="Arial" w:cs="Arial"/>
          <w:b/>
        </w:rPr>
        <w:t>2</w:t>
      </w:r>
      <w:r w:rsidR="001B009A" w:rsidRPr="001B68F6">
        <w:rPr>
          <w:rFonts w:ascii="Arial" w:hAnsi="Arial" w:cs="Arial"/>
          <w:b/>
        </w:rPr>
        <w:t xml:space="preserve"> §</w:t>
      </w:r>
    </w:p>
    <w:p w14:paraId="6485194D" w14:textId="4533E09E" w:rsidR="001B009A" w:rsidRPr="001B68F6" w:rsidRDefault="001B009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saját gépjárművel történő munkába járásának költségtérítését.</w:t>
      </w:r>
    </w:p>
    <w:p w14:paraId="1682D843" w14:textId="34AF469A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433447A1" w14:textId="1A36AC8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>. §</w:t>
      </w:r>
    </w:p>
    <w:p w14:paraId="68190673" w14:textId="05AD9E39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több éves kihatással járó kötelezettségeket állapítja meg.</w:t>
      </w:r>
    </w:p>
    <w:p w14:paraId="709BA1EF" w14:textId="1DA034A1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60FC00F" w14:textId="449E747F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>. §</w:t>
      </w:r>
    </w:p>
    <w:p w14:paraId="1CAB25E8" w14:textId="605ACEE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maradvány feletti jogokat és a felhasználás módját szabályozza.</w:t>
      </w:r>
    </w:p>
    <w:p w14:paraId="16C09757" w14:textId="757A9E26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7C1204D2" w14:textId="1A9BA996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>. §</w:t>
      </w:r>
    </w:p>
    <w:p w14:paraId="01FC2709" w14:textId="6238F80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költségvetés végrehajtásának szabályait.</w:t>
      </w:r>
    </w:p>
    <w:p w14:paraId="3E90432B" w14:textId="3F6D908D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4F5972" w14:textId="2F58E67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 xml:space="preserve"> – </w:t>
      </w:r>
      <w:r w:rsidR="006C04DB" w:rsidRPr="001B68F6">
        <w:rPr>
          <w:rFonts w:ascii="Arial" w:hAnsi="Arial" w:cs="Arial"/>
          <w:b/>
          <w:bCs/>
        </w:rPr>
        <w:t>19</w:t>
      </w:r>
      <w:r w:rsidRPr="001B68F6">
        <w:rPr>
          <w:rFonts w:ascii="Arial" w:hAnsi="Arial" w:cs="Arial"/>
          <w:b/>
          <w:bCs/>
        </w:rPr>
        <w:t>. §</w:t>
      </w:r>
    </w:p>
    <w:p w14:paraId="56BD2175" w14:textId="1F7F8817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Meghatározza a költségvetési szervek gazdálkodására vonatkozó szabályokat.</w:t>
      </w:r>
    </w:p>
    <w:p w14:paraId="7A9493AC" w14:textId="30F22BF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58D6D95" w14:textId="5DCF0539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5146B341" w14:textId="42D9F040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Megállapítja a Polgármester hatáskörét.</w:t>
      </w:r>
    </w:p>
    <w:p w14:paraId="3DE2B266" w14:textId="3CE2C32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2658FAD" w14:textId="5ACF7867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1</w:t>
      </w:r>
      <w:r w:rsidRPr="001B68F6">
        <w:rPr>
          <w:rFonts w:ascii="Arial" w:hAnsi="Arial" w:cs="Arial"/>
          <w:b/>
          <w:bCs/>
        </w:rPr>
        <w:t>. §</w:t>
      </w:r>
    </w:p>
    <w:p w14:paraId="5D217168" w14:textId="1469DBB2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Rögzíti, hogy tárgy évben mely banknál vezetett számlákon bonyolódhat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Pr="001B68F6">
        <w:rPr>
          <w:rFonts w:ascii="Arial" w:hAnsi="Arial" w:cs="Arial"/>
        </w:rPr>
        <w:t>pénzforgalom.</w:t>
      </w:r>
    </w:p>
    <w:p w14:paraId="3C1DF5F5" w14:textId="64719DFB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</w:p>
    <w:p w14:paraId="75C68830" w14:textId="0A5EC4C4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22. §</w:t>
      </w:r>
    </w:p>
    <w:p w14:paraId="70AF5596" w14:textId="11735926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</w:p>
    <w:p w14:paraId="112FD1D0" w14:textId="3CDE376E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készpénzben történő pénzforgalom szabályozását.</w:t>
      </w:r>
    </w:p>
    <w:p w14:paraId="0F3D6962" w14:textId="77777777" w:rsidR="00801574" w:rsidRPr="001B68F6" w:rsidRDefault="00801574" w:rsidP="00514A0C">
      <w:pPr>
        <w:spacing w:after="0"/>
        <w:jc w:val="center"/>
        <w:rPr>
          <w:rFonts w:ascii="Arial" w:hAnsi="Arial" w:cs="Arial"/>
          <w:b/>
          <w:bCs/>
        </w:rPr>
      </w:pPr>
    </w:p>
    <w:p w14:paraId="63CC2546" w14:textId="1E4F407E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 xml:space="preserve">. § </w:t>
      </w:r>
    </w:p>
    <w:p w14:paraId="4BAA510C" w14:textId="1B03E37A" w:rsidR="00220C2E" w:rsidRPr="001B68F6" w:rsidRDefault="009B1FE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 xml:space="preserve"> követelések, kintlévőségek nyomon követéséről és arról való lemondás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="00220C2E" w:rsidRPr="001B68F6">
        <w:rPr>
          <w:rFonts w:ascii="Arial" w:hAnsi="Arial" w:cs="Arial"/>
        </w:rPr>
        <w:t>lehetőségeit taglalja.</w:t>
      </w:r>
    </w:p>
    <w:p w14:paraId="7F3A81C7" w14:textId="0291B3EC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AB00554" w14:textId="54800FF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>. §</w:t>
      </w:r>
    </w:p>
    <w:p w14:paraId="2FA5D351" w14:textId="6BFB9936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>z egyes eljárások sajátos szabályait állapítja meg.</w:t>
      </w:r>
    </w:p>
    <w:p w14:paraId="07A88B9E" w14:textId="2E318DBA" w:rsidR="00220C2E" w:rsidRPr="001B68F6" w:rsidRDefault="00220C2E" w:rsidP="00514A0C">
      <w:pPr>
        <w:spacing w:after="0"/>
        <w:jc w:val="both"/>
        <w:rPr>
          <w:rFonts w:ascii="Arial" w:hAnsi="Arial" w:cs="Arial"/>
        </w:rPr>
      </w:pPr>
    </w:p>
    <w:p w14:paraId="65B2D7D0" w14:textId="097D31D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7</w:t>
      </w:r>
      <w:r w:rsidRPr="001B68F6">
        <w:rPr>
          <w:rFonts w:ascii="Arial" w:hAnsi="Arial" w:cs="Arial"/>
          <w:b/>
          <w:bCs/>
        </w:rPr>
        <w:t>-2</w:t>
      </w:r>
      <w:r w:rsidR="00BD1679" w:rsidRPr="001B68F6">
        <w:rPr>
          <w:rFonts w:ascii="Arial" w:hAnsi="Arial" w:cs="Arial"/>
          <w:b/>
          <w:bCs/>
        </w:rPr>
        <w:t>8</w:t>
      </w:r>
      <w:r w:rsidRPr="001B68F6">
        <w:rPr>
          <w:rFonts w:ascii="Arial" w:hAnsi="Arial" w:cs="Arial"/>
          <w:b/>
          <w:bCs/>
        </w:rPr>
        <w:t>. §</w:t>
      </w:r>
    </w:p>
    <w:p w14:paraId="6800E0EC" w14:textId="59888713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V</w:t>
      </w:r>
      <w:r w:rsidR="00220C2E" w:rsidRPr="001B68F6">
        <w:rPr>
          <w:rFonts w:ascii="Arial" w:hAnsi="Arial" w:cs="Arial"/>
        </w:rPr>
        <w:t>egyes rendelkezéseket állapít meg.</w:t>
      </w:r>
    </w:p>
    <w:p w14:paraId="687C1265" w14:textId="0AE54B6F" w:rsidR="00A66742" w:rsidRPr="0030684E" w:rsidRDefault="00A66742" w:rsidP="00E40C0C">
      <w:pPr>
        <w:rPr>
          <w:rFonts w:ascii="Arial" w:hAnsi="Arial" w:cs="Arial"/>
          <w:color w:val="FF0000"/>
        </w:rPr>
      </w:pPr>
    </w:p>
    <w:p w14:paraId="198B92A1" w14:textId="1A84F1E6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940BC00" w14:textId="437935B9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1C0EDF70" w14:textId="019E8E61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3AC8C5AD" w14:textId="43545EA8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16C02C0D" w14:textId="65669A1B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2C32DE2B" w14:textId="3681E1BA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2FBD68B3" w14:textId="1066637C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43035853" w14:textId="72603E8B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14C44E4" w14:textId="15FBDC56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A408C4E" w14:textId="19538DF7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3579F980" w14:textId="236562E4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038F91EF" w14:textId="35DE2DC7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278F0EBA" w14:textId="3634AA78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1D7CA094" w14:textId="5128FF38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2CD3DCB0" w14:textId="56C62181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0A003C57" w14:textId="46178D5A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109694EF" w14:textId="7BDC4320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4C082C91" w14:textId="70A29FF3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29DF0EFC" w14:textId="6D4EADFD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E75B7F2" w14:textId="051EB4A1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060445C1" w14:textId="6CF4B89B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0177032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A4545CB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818C12C" w14:textId="4E38208B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Tisztelt Képviselő-testület!</w:t>
      </w:r>
    </w:p>
    <w:p w14:paraId="38B76337" w14:textId="77777777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</w:p>
    <w:p w14:paraId="6E661197" w14:textId="01EF5CF9" w:rsidR="00D10592" w:rsidRPr="008C68B8" w:rsidRDefault="00D10592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előterjesztésben részletesen bemutatott számok és adatok pontosa</w:t>
      </w:r>
      <w:r w:rsidR="00A77338" w:rsidRPr="008C68B8">
        <w:rPr>
          <w:rFonts w:ascii="Arial" w:hAnsi="Arial" w:cs="Arial"/>
        </w:rPr>
        <w:t xml:space="preserve">n alátámasztják </w:t>
      </w:r>
      <w:r w:rsidRPr="008C68B8">
        <w:rPr>
          <w:rFonts w:ascii="Arial" w:hAnsi="Arial" w:cs="Arial"/>
        </w:rPr>
        <w:t>az állami támogatáspolitika változás</w:t>
      </w:r>
      <w:r w:rsidR="008C68B8" w:rsidRPr="008C68B8">
        <w:rPr>
          <w:rFonts w:ascii="Arial" w:hAnsi="Arial" w:cs="Arial"/>
        </w:rPr>
        <w:t>át</w:t>
      </w:r>
      <w:r w:rsidR="00A77A94" w:rsidRPr="008C68B8">
        <w:rPr>
          <w:rFonts w:ascii="Arial" w:hAnsi="Arial" w:cs="Arial"/>
        </w:rPr>
        <w:t>, valamint</w:t>
      </w:r>
      <w:r w:rsidR="00D325AC" w:rsidRPr="008C68B8">
        <w:rPr>
          <w:rFonts w:ascii="Arial" w:hAnsi="Arial" w:cs="Arial"/>
        </w:rPr>
        <w:t xml:space="preserve"> az elmúlt évek gazdaságát hátrányosan érintő különböző hatások enyhítés</w:t>
      </w:r>
      <w:r w:rsidR="008C68B8" w:rsidRPr="008C68B8">
        <w:rPr>
          <w:rFonts w:ascii="Arial" w:hAnsi="Arial" w:cs="Arial"/>
        </w:rPr>
        <w:t>ét</w:t>
      </w:r>
      <w:r w:rsidR="00D325AC" w:rsidRPr="008C68B8">
        <w:rPr>
          <w:rFonts w:ascii="Arial" w:hAnsi="Arial" w:cs="Arial"/>
        </w:rPr>
        <w:t>, kezelés</w:t>
      </w:r>
      <w:r w:rsidR="008C68B8" w:rsidRPr="008C68B8">
        <w:rPr>
          <w:rFonts w:ascii="Arial" w:hAnsi="Arial" w:cs="Arial"/>
        </w:rPr>
        <w:t>ét</w:t>
      </w:r>
      <w:r w:rsidR="00D325AC" w:rsidRPr="008C68B8">
        <w:rPr>
          <w:rFonts w:ascii="Arial" w:hAnsi="Arial" w:cs="Arial"/>
        </w:rPr>
        <w:t xml:space="preserve">. </w:t>
      </w:r>
      <w:r w:rsidR="00F41DA4" w:rsidRPr="008C68B8">
        <w:rPr>
          <w:rFonts w:ascii="Arial" w:hAnsi="Arial" w:cs="Arial"/>
        </w:rPr>
        <w:t>Az előterjesztés és a 202</w:t>
      </w:r>
      <w:r w:rsidR="00D325AC" w:rsidRPr="008C68B8">
        <w:rPr>
          <w:rFonts w:ascii="Arial" w:hAnsi="Arial" w:cs="Arial"/>
        </w:rPr>
        <w:t>4</w:t>
      </w:r>
      <w:r w:rsidRPr="008C68B8">
        <w:rPr>
          <w:rFonts w:ascii="Arial" w:hAnsi="Arial" w:cs="Arial"/>
        </w:rPr>
        <w:t xml:space="preserve">. évi költségvetés tervezett összeállítása során alapos mérlegelés az igények pontos felülvizsgálata és a jövőre vonatkozó megoldás szándéka alakította ki az előirányzatokat. </w:t>
      </w:r>
    </w:p>
    <w:p w14:paraId="5CBDBB2D" w14:textId="4C479C71" w:rsidR="00D10592" w:rsidRPr="008C68B8" w:rsidRDefault="008C68B8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Továbbra is</w:t>
      </w:r>
      <w:r w:rsidR="00D10592" w:rsidRPr="008C68B8">
        <w:rPr>
          <w:rFonts w:ascii="Arial" w:hAnsi="Arial" w:cs="Arial"/>
        </w:rPr>
        <w:t xml:space="preserve"> kiemelt cél, hogy az önkormányzati feladatellátás</w:t>
      </w:r>
      <w:r w:rsidRPr="008C68B8">
        <w:rPr>
          <w:rFonts w:ascii="Arial" w:hAnsi="Arial" w:cs="Arial"/>
        </w:rPr>
        <w:t>a</w:t>
      </w:r>
      <w:r w:rsidR="006648C6" w:rsidRPr="008C68B8">
        <w:rPr>
          <w:rFonts w:ascii="Arial" w:hAnsi="Arial" w:cs="Arial"/>
        </w:rPr>
        <w:t xml:space="preserve"> és a </w:t>
      </w:r>
      <w:r w:rsidR="00167D78" w:rsidRPr="008C68B8">
        <w:rPr>
          <w:rFonts w:ascii="Arial" w:hAnsi="Arial" w:cs="Arial"/>
        </w:rPr>
        <w:t xml:space="preserve">folyamatban lévő pályázati fejlesztések megvalósítása az </w:t>
      </w:r>
      <w:r w:rsidR="00D10592" w:rsidRPr="008C68B8">
        <w:rPr>
          <w:rFonts w:ascii="Arial" w:hAnsi="Arial" w:cs="Arial"/>
        </w:rPr>
        <w:t xml:space="preserve">ellátási színvonal csökkentése nélkül finanszírozható legyen. Ahhoz, hogy a város által elhatározott fejlesztéspolitika reális cél maradjon, az elkövetkező években </w:t>
      </w:r>
      <w:r w:rsidR="00F41DA4" w:rsidRPr="008C68B8">
        <w:rPr>
          <w:rFonts w:ascii="Arial" w:hAnsi="Arial" w:cs="Arial"/>
        </w:rPr>
        <w:t xml:space="preserve">továbbra is </w:t>
      </w:r>
      <w:r w:rsidR="00D10592" w:rsidRPr="008C68B8">
        <w:rPr>
          <w:rFonts w:ascii="Arial" w:hAnsi="Arial" w:cs="Arial"/>
        </w:rPr>
        <w:t>vizsgálni</w:t>
      </w:r>
      <w:r w:rsidR="00F41DA4" w:rsidRPr="008C68B8">
        <w:rPr>
          <w:rFonts w:ascii="Arial" w:hAnsi="Arial" w:cs="Arial"/>
        </w:rPr>
        <w:t xml:space="preserve"> kell</w:t>
      </w:r>
      <w:r w:rsidR="00D10592" w:rsidRPr="008C68B8">
        <w:rPr>
          <w:rFonts w:ascii="Arial" w:hAnsi="Arial" w:cs="Arial"/>
        </w:rPr>
        <w:t xml:space="preserve"> az önkormányzat által kötelezően ellátandó feladatok ellátási színvonalát és felül kell vizsgálni az önkormányzat által önként vállalt feladatok </w:t>
      </w:r>
      <w:r w:rsidR="008C6616" w:rsidRPr="008C68B8">
        <w:rPr>
          <w:rFonts w:ascii="Arial" w:hAnsi="Arial" w:cs="Arial"/>
        </w:rPr>
        <w:t>közép és hosszú távú fenntarthatóságát.</w:t>
      </w:r>
    </w:p>
    <w:p w14:paraId="75C287C8" w14:textId="0CFFEF11" w:rsidR="00D10592" w:rsidRPr="008C68B8" w:rsidRDefault="00167D78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 xml:space="preserve">A térítési díjak és a helyi adó mértékek </w:t>
      </w:r>
      <w:r w:rsidR="008C68B8" w:rsidRPr="008C68B8">
        <w:rPr>
          <w:rFonts w:ascii="Arial" w:hAnsi="Arial" w:cs="Arial"/>
        </w:rPr>
        <w:t xml:space="preserve">folyamatos </w:t>
      </w:r>
      <w:r w:rsidRPr="008C68B8">
        <w:rPr>
          <w:rFonts w:ascii="Arial" w:hAnsi="Arial" w:cs="Arial"/>
        </w:rPr>
        <w:t>felülvizsgálat</w:t>
      </w:r>
      <w:r w:rsidR="008C68B8" w:rsidRPr="008C68B8">
        <w:rPr>
          <w:rFonts w:ascii="Arial" w:hAnsi="Arial" w:cs="Arial"/>
        </w:rPr>
        <w:t>ot igényelnek,</w:t>
      </w:r>
      <w:r w:rsidRPr="008C68B8">
        <w:rPr>
          <w:rFonts w:ascii="Arial" w:hAnsi="Arial" w:cs="Arial"/>
        </w:rPr>
        <w:t xml:space="preserve"> </w:t>
      </w:r>
      <w:r w:rsidR="008C68B8" w:rsidRPr="008C68B8">
        <w:rPr>
          <w:rFonts w:ascii="Arial" w:hAnsi="Arial" w:cs="Arial"/>
        </w:rPr>
        <w:t>illetve</w:t>
      </w:r>
      <w:r w:rsidRPr="008C68B8">
        <w:rPr>
          <w:rFonts w:ascii="Arial" w:hAnsi="Arial" w:cs="Arial"/>
        </w:rPr>
        <w:t xml:space="preserve"> á</w:t>
      </w:r>
      <w:r w:rsidR="0093459D" w:rsidRPr="008C68B8">
        <w:rPr>
          <w:rFonts w:ascii="Arial" w:hAnsi="Arial" w:cs="Arial"/>
        </w:rPr>
        <w:t>t kell tekinteni a</w:t>
      </w:r>
      <w:r w:rsidR="00D10592" w:rsidRPr="008C68B8">
        <w:rPr>
          <w:rFonts w:ascii="Arial" w:hAnsi="Arial" w:cs="Arial"/>
        </w:rPr>
        <w:t xml:space="preserve"> kedvezmények</w:t>
      </w:r>
      <w:r w:rsidR="0093459D" w:rsidRPr="008C68B8">
        <w:rPr>
          <w:rFonts w:ascii="Arial" w:hAnsi="Arial" w:cs="Arial"/>
        </w:rPr>
        <w:t>,</w:t>
      </w:r>
      <w:r w:rsidR="00D10592" w:rsidRPr="008C68B8">
        <w:rPr>
          <w:rFonts w:ascii="Arial" w:hAnsi="Arial" w:cs="Arial"/>
        </w:rPr>
        <w:t xml:space="preserve"> mentességek </w:t>
      </w:r>
      <w:r w:rsidR="0093459D" w:rsidRPr="008C68B8">
        <w:rPr>
          <w:rFonts w:ascii="Arial" w:hAnsi="Arial" w:cs="Arial"/>
        </w:rPr>
        <w:t xml:space="preserve">megfogalmazását és mértékét, </w:t>
      </w:r>
      <w:r w:rsidR="00D10592" w:rsidRPr="008C68B8">
        <w:rPr>
          <w:rFonts w:ascii="Arial" w:hAnsi="Arial" w:cs="Arial"/>
        </w:rPr>
        <w:t xml:space="preserve">az egyes adómértékek helyi adó </w:t>
      </w:r>
      <w:r w:rsidR="00E40C0C" w:rsidRPr="008C68B8">
        <w:rPr>
          <w:rFonts w:ascii="Arial" w:hAnsi="Arial" w:cs="Arial"/>
        </w:rPr>
        <w:t>törvény</w:t>
      </w:r>
      <w:r w:rsidR="00D10592" w:rsidRPr="008C68B8">
        <w:rPr>
          <w:rFonts w:ascii="Arial" w:hAnsi="Arial" w:cs="Arial"/>
        </w:rPr>
        <w:t>ben foglalt korlát</w:t>
      </w:r>
      <w:r w:rsidR="0093459D" w:rsidRPr="008C68B8">
        <w:rPr>
          <w:rFonts w:ascii="Arial" w:hAnsi="Arial" w:cs="Arial"/>
        </w:rPr>
        <w:t>ait figyelembe véve.</w:t>
      </w:r>
      <w:r w:rsidR="00D10592" w:rsidRPr="008C68B8">
        <w:rPr>
          <w:rFonts w:ascii="Arial" w:hAnsi="Arial" w:cs="Arial"/>
        </w:rPr>
        <w:t xml:space="preserve"> </w:t>
      </w:r>
      <w:r w:rsidR="009441D4" w:rsidRPr="008C68B8">
        <w:rPr>
          <w:rFonts w:ascii="Arial" w:hAnsi="Arial" w:cs="Arial"/>
        </w:rPr>
        <w:t>Át</w:t>
      </w:r>
      <w:r w:rsidR="00D10592" w:rsidRPr="008C68B8">
        <w:rPr>
          <w:rFonts w:ascii="Arial" w:hAnsi="Arial" w:cs="Arial"/>
        </w:rPr>
        <w:t xml:space="preserve"> kell gondolni az önkormányzati vagyonban rejlő tartalékok feltárását</w:t>
      </w:r>
      <w:r w:rsidR="009441D4" w:rsidRPr="008C68B8">
        <w:rPr>
          <w:rFonts w:ascii="Arial" w:hAnsi="Arial" w:cs="Arial"/>
        </w:rPr>
        <w:t xml:space="preserve"> nem kimondottan a fejlesztéspolitika forrásainak biztosítása érdekében.</w:t>
      </w:r>
      <w:r w:rsidR="00D10592" w:rsidRPr="008C68B8">
        <w:rPr>
          <w:rFonts w:ascii="Arial" w:hAnsi="Arial" w:cs="Arial"/>
        </w:rPr>
        <w:t xml:space="preserve"> </w:t>
      </w:r>
      <w:r w:rsidR="0093459D" w:rsidRPr="008C68B8">
        <w:rPr>
          <w:rFonts w:ascii="Arial" w:hAnsi="Arial" w:cs="Arial"/>
        </w:rPr>
        <w:t>J</w:t>
      </w:r>
      <w:r w:rsidR="00D10592" w:rsidRPr="008C68B8">
        <w:rPr>
          <w:rFonts w:ascii="Arial" w:hAnsi="Arial" w:cs="Arial"/>
        </w:rPr>
        <w:t>avasolt szám</w:t>
      </w:r>
      <w:r w:rsidR="0093459D" w:rsidRPr="008C68B8">
        <w:rPr>
          <w:rFonts w:ascii="Arial" w:hAnsi="Arial" w:cs="Arial"/>
        </w:rPr>
        <w:t>b</w:t>
      </w:r>
      <w:r w:rsidR="00D10592" w:rsidRPr="008C68B8">
        <w:rPr>
          <w:rFonts w:ascii="Arial" w:hAnsi="Arial" w:cs="Arial"/>
        </w:rPr>
        <w:t>a venni azokat az ingatlanokat, amelyek értékesítése szóba kerülhet</w:t>
      </w:r>
      <w:r w:rsidR="008C6616" w:rsidRPr="008C68B8">
        <w:rPr>
          <w:rFonts w:ascii="Arial" w:hAnsi="Arial" w:cs="Arial"/>
        </w:rPr>
        <w:t>.</w:t>
      </w:r>
    </w:p>
    <w:p w14:paraId="42E00D13" w14:textId="2B0DD240" w:rsidR="00A56BA0" w:rsidRPr="008C68B8" w:rsidRDefault="006648C6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b</w:t>
      </w:r>
      <w:r w:rsidR="00F41DA4" w:rsidRPr="008C68B8">
        <w:rPr>
          <w:rFonts w:ascii="Arial" w:hAnsi="Arial" w:cs="Arial"/>
        </w:rPr>
        <w:t>eterjesztett 202</w:t>
      </w:r>
      <w:r w:rsidR="008C68B8" w:rsidRPr="008C68B8">
        <w:rPr>
          <w:rFonts w:ascii="Arial" w:hAnsi="Arial" w:cs="Arial"/>
        </w:rPr>
        <w:t>4</w:t>
      </w:r>
      <w:r w:rsidR="00D10592" w:rsidRPr="008C68B8">
        <w:rPr>
          <w:rFonts w:ascii="Arial" w:hAnsi="Arial" w:cs="Arial"/>
        </w:rPr>
        <w:t xml:space="preserve">. évi költségvetés </w:t>
      </w:r>
      <w:r w:rsidR="00673433" w:rsidRPr="008C68B8">
        <w:rPr>
          <w:rFonts w:ascii="Arial" w:hAnsi="Arial" w:cs="Arial"/>
        </w:rPr>
        <w:t xml:space="preserve">a </w:t>
      </w:r>
      <w:r w:rsidR="00D10592" w:rsidRPr="008C68B8">
        <w:rPr>
          <w:rFonts w:ascii="Arial" w:hAnsi="Arial" w:cs="Arial"/>
        </w:rPr>
        <w:t xml:space="preserve">működés feltételeit </w:t>
      </w:r>
      <w:r w:rsidR="005E58C4" w:rsidRPr="008C68B8">
        <w:rPr>
          <w:rFonts w:ascii="Arial" w:hAnsi="Arial" w:cs="Arial"/>
        </w:rPr>
        <w:t>megteremti</w:t>
      </w:r>
      <w:r w:rsidR="00583021" w:rsidRPr="008C68B8">
        <w:rPr>
          <w:rFonts w:ascii="Arial" w:hAnsi="Arial" w:cs="Arial"/>
        </w:rPr>
        <w:t>.</w:t>
      </w:r>
      <w:r w:rsidR="00D10592" w:rsidRPr="008C68B8">
        <w:rPr>
          <w:rFonts w:ascii="Arial" w:hAnsi="Arial" w:cs="Arial"/>
        </w:rPr>
        <w:t xml:space="preserve"> </w:t>
      </w:r>
      <w:r w:rsidR="00583021" w:rsidRPr="008C68B8">
        <w:rPr>
          <w:rFonts w:ascii="Arial" w:hAnsi="Arial" w:cs="Arial"/>
        </w:rPr>
        <w:t>A</w:t>
      </w:r>
      <w:r w:rsidR="00D10592" w:rsidRPr="008C68B8">
        <w:rPr>
          <w:rFonts w:ascii="Arial" w:hAnsi="Arial" w:cs="Arial"/>
        </w:rPr>
        <w:t xml:space="preserve"> jövő érdekében mindenképpen indokolt a következő évek</w:t>
      </w:r>
      <w:r w:rsidR="005E58C4" w:rsidRPr="008C68B8">
        <w:rPr>
          <w:rFonts w:ascii="Arial" w:hAnsi="Arial" w:cs="Arial"/>
        </w:rPr>
        <w:t xml:space="preserve"> stabil</w:t>
      </w:r>
      <w:r w:rsidR="00D10592" w:rsidRPr="008C68B8">
        <w:rPr>
          <w:rFonts w:ascii="Arial" w:hAnsi="Arial" w:cs="Arial"/>
        </w:rPr>
        <w:t xml:space="preserve"> költségvetésének megalapozásához </w:t>
      </w:r>
      <w:r w:rsidR="00583021" w:rsidRPr="008C68B8">
        <w:rPr>
          <w:rFonts w:ascii="Arial" w:hAnsi="Arial" w:cs="Arial"/>
        </w:rPr>
        <w:t>a fentiekben vázolt</w:t>
      </w:r>
      <w:r w:rsidR="005E58C4" w:rsidRPr="008C68B8">
        <w:rPr>
          <w:rFonts w:ascii="Arial" w:hAnsi="Arial" w:cs="Arial"/>
        </w:rPr>
        <w:t>, megkezdett</w:t>
      </w:r>
      <w:r w:rsidR="00D10592" w:rsidRPr="008C68B8">
        <w:rPr>
          <w:rFonts w:ascii="Arial" w:hAnsi="Arial" w:cs="Arial"/>
        </w:rPr>
        <w:t xml:space="preserve"> </w:t>
      </w:r>
      <w:r w:rsidR="001F7564" w:rsidRPr="008C68B8">
        <w:rPr>
          <w:rFonts w:ascii="Arial" w:hAnsi="Arial" w:cs="Arial"/>
        </w:rPr>
        <w:t xml:space="preserve">intézkedések </w:t>
      </w:r>
      <w:r w:rsidR="005E58C4" w:rsidRPr="008C68B8">
        <w:rPr>
          <w:rFonts w:ascii="Arial" w:hAnsi="Arial" w:cs="Arial"/>
        </w:rPr>
        <w:t>folytatása, véghez vitele</w:t>
      </w:r>
      <w:r w:rsidR="001F7564" w:rsidRPr="008C68B8">
        <w:rPr>
          <w:rFonts w:ascii="Arial" w:hAnsi="Arial" w:cs="Arial"/>
        </w:rPr>
        <w:t>.</w:t>
      </w:r>
    </w:p>
    <w:p w14:paraId="2E3081DE" w14:textId="07DDE55F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Kérem a tisztelt Képviselő-testületet, hogy a – költségvetési rendelet-tervezet megismerése és megvitatása után – jelen előterjesztéssel benyújtott költségvetési rendelet</w:t>
      </w:r>
      <w:r w:rsidR="009B1FEA" w:rsidRPr="008C68B8">
        <w:rPr>
          <w:rFonts w:ascii="Arial" w:hAnsi="Arial" w:cs="Arial"/>
        </w:rPr>
        <w:t>et</w:t>
      </w:r>
      <w:r w:rsidRPr="008C68B8">
        <w:rPr>
          <w:rFonts w:ascii="Arial" w:hAnsi="Arial" w:cs="Arial"/>
        </w:rPr>
        <w:t xml:space="preserve"> szíveskedjen elfogadni. </w:t>
      </w:r>
    </w:p>
    <w:p w14:paraId="15F2E936" w14:textId="4F0FAC73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költségvetési rendelet minősített többségi szavazattal fogadható el.</w:t>
      </w:r>
    </w:p>
    <w:p w14:paraId="2757A1BA" w14:textId="67E43043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81C766C" w14:textId="36F7DF48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B1964A" w14:textId="42009950" w:rsidR="004839C5" w:rsidRPr="0030684E" w:rsidRDefault="004839C5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065B32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AA184B" w14:textId="724987EB" w:rsidR="00E20AFF" w:rsidRDefault="00E20AFF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F03FA8" w14:textId="60C6B81E" w:rsidR="008C68B8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292378E" w14:textId="77777777" w:rsidR="008C68B8" w:rsidRPr="0030684E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1D5A47" w14:textId="161D0719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2A6117C" w14:textId="67F9C638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4363C11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586BD2B" w14:textId="77777777" w:rsidR="00A77A94" w:rsidRPr="0030684E" w:rsidRDefault="00A77A94" w:rsidP="00514A0C">
      <w:pPr>
        <w:jc w:val="both"/>
        <w:rPr>
          <w:rFonts w:ascii="Arial" w:hAnsi="Arial" w:cs="Arial"/>
          <w:color w:val="FF0000"/>
        </w:rPr>
      </w:pPr>
    </w:p>
    <w:p w14:paraId="181C8B9F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Adósságot keletkeztető ügyletek</w:t>
      </w:r>
    </w:p>
    <w:p w14:paraId="1A25141A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</w:p>
    <w:p w14:paraId="1B80EBE9" w14:textId="07916F6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államháztartásról szóló 2011. évi CXCV</w:t>
      </w:r>
      <w:r w:rsidR="00A66742" w:rsidRPr="008C68B8">
        <w:rPr>
          <w:rFonts w:ascii="Arial" w:hAnsi="Arial" w:cs="Arial"/>
        </w:rPr>
        <w:t>.</w:t>
      </w:r>
      <w:r w:rsidRPr="008C68B8">
        <w:rPr>
          <w:rFonts w:ascii="Arial" w:hAnsi="Arial" w:cs="Arial"/>
        </w:rPr>
        <w:t xml:space="preserve"> </w:t>
      </w:r>
      <w:r w:rsidR="00801574" w:rsidRPr="008C68B8">
        <w:rPr>
          <w:rFonts w:ascii="Arial" w:hAnsi="Arial" w:cs="Arial"/>
        </w:rPr>
        <w:t xml:space="preserve">törvény </w:t>
      </w:r>
      <w:r w:rsidRPr="008C68B8">
        <w:rPr>
          <w:rFonts w:ascii="Arial" w:hAnsi="Arial" w:cs="Arial"/>
        </w:rPr>
        <w:t xml:space="preserve">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14:paraId="3BE7018B" w14:textId="7777777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2832F84E" w14:textId="083A7920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Magyarország gazdasági stabilitásáról szóló 2011. évi CXCIV</w:t>
      </w:r>
      <w:r w:rsidR="00A46DA3" w:rsidRPr="008C68B8">
        <w:rPr>
          <w:rFonts w:ascii="Arial" w:hAnsi="Arial" w:cs="Arial"/>
        </w:rPr>
        <w:t>.</w:t>
      </w:r>
      <w:r w:rsidR="00801574" w:rsidRPr="008C68B8">
        <w:rPr>
          <w:rFonts w:ascii="Arial" w:hAnsi="Arial" w:cs="Arial"/>
        </w:rPr>
        <w:t xml:space="preserve"> törvény</w:t>
      </w:r>
      <w:r w:rsidRPr="008C68B8">
        <w:rPr>
          <w:rFonts w:ascii="Arial" w:hAnsi="Arial" w:cs="Arial"/>
        </w:rPr>
        <w:t xml:space="preserve"> 45. § (1) bekezdése a) pontja felhatalmazása alapján kiadott jogszabályban </w:t>
      </w:r>
      <w:r w:rsidR="00BA14A7" w:rsidRPr="008C68B8">
        <w:rPr>
          <w:rFonts w:ascii="Arial" w:hAnsi="Arial" w:cs="Arial"/>
        </w:rPr>
        <w:t>leírtak szerint meghatározza a</w:t>
      </w:r>
      <w:r w:rsidRPr="008C68B8">
        <w:rPr>
          <w:rFonts w:ascii="Arial" w:hAnsi="Arial" w:cs="Arial"/>
        </w:rPr>
        <w:t xml:space="preserve"> saját bevételeinek, valamint a</w:t>
      </w:r>
      <w:r w:rsidR="004E14D6" w:rsidRPr="008C68B8">
        <w:rPr>
          <w:rFonts w:ascii="Arial" w:hAnsi="Arial" w:cs="Arial"/>
        </w:rPr>
        <w:t xml:space="preserve">z </w:t>
      </w:r>
      <w:r w:rsidRPr="008C68B8">
        <w:rPr>
          <w:rFonts w:ascii="Arial" w:hAnsi="Arial" w:cs="Arial"/>
        </w:rPr>
        <w:t xml:space="preserve">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14:paraId="466C94C3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DBA7A30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  <w:lang w:eastAsia="hu-HU"/>
        </w:rPr>
      </w:pPr>
    </w:p>
    <w:p w14:paraId="45EE3963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E1212FE" w14:textId="77777777" w:rsidR="0008313A" w:rsidRPr="0030684E" w:rsidRDefault="0008313A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66F74DC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CE30CEA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D73438D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F34A3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5722F1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8845CE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8ED70A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06681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8D41C83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56A57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173BF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657715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964B8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8DD41C7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B315C2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FA98E2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C022C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403CCD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0D6410D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8A6D9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79BC40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DBB150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D22B65D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7BADB5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7D4C01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FD9B39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C29F28" w14:textId="5FAB3D54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75CA1BF" w14:textId="77777777" w:rsidR="00801574" w:rsidRPr="0030684E" w:rsidRDefault="0080157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60B094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462D8B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F217C44" w14:textId="77777777" w:rsidR="00A56BA0" w:rsidRPr="008C68B8" w:rsidRDefault="001B2E63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2</w:t>
      </w:r>
      <w:r w:rsidR="00A56BA0" w:rsidRPr="008C68B8">
        <w:rPr>
          <w:rFonts w:ascii="Arial" w:hAnsi="Arial" w:cs="Arial"/>
          <w:b/>
        </w:rPr>
        <w:t>.</w:t>
      </w:r>
    </w:p>
    <w:p w14:paraId="12A8F9C6" w14:textId="77777777" w:rsidR="00CC4887" w:rsidRPr="008C68B8" w:rsidRDefault="00CC4887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</w:p>
    <w:p w14:paraId="732FF686" w14:textId="3EA70AFC" w:rsidR="00A56BA0" w:rsidRPr="008C68B8" w:rsidRDefault="00A56BA0" w:rsidP="00E40C0C">
      <w:pPr>
        <w:tabs>
          <w:tab w:val="num" w:pos="426"/>
        </w:tabs>
        <w:suppressAutoHyphens/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Határozati javaslat</w:t>
      </w:r>
    </w:p>
    <w:p w14:paraId="42D2D574" w14:textId="77777777" w:rsidR="00CC4887" w:rsidRPr="008C68B8" w:rsidRDefault="00CC4887" w:rsidP="00514A0C">
      <w:pPr>
        <w:suppressAutoHyphens/>
        <w:spacing w:after="0"/>
        <w:jc w:val="both"/>
        <w:rPr>
          <w:rFonts w:ascii="Arial" w:hAnsi="Arial" w:cs="Arial"/>
        </w:rPr>
      </w:pPr>
    </w:p>
    <w:p w14:paraId="78F41ACC" w14:textId="49A2FE52" w:rsidR="00614DFD" w:rsidRPr="008C68B8" w:rsidRDefault="00B2376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</w:t>
      </w:r>
      <w:r w:rsidR="008C68B8" w:rsidRPr="008C68B8">
        <w:rPr>
          <w:rFonts w:ascii="Arial" w:eastAsia="Calibri" w:hAnsi="Arial" w:cs="Arial"/>
        </w:rPr>
        <w:t>4</w:t>
      </w:r>
      <w:r w:rsidRPr="008C68B8">
        <w:rPr>
          <w:rFonts w:ascii="Arial" w:eastAsia="Calibri" w:hAnsi="Arial" w:cs="Arial"/>
        </w:rPr>
        <w:t>. évi költségvetési évet követő három évre várható összegét az alábbiak szerint állapítja meg:</w:t>
      </w:r>
    </w:p>
    <w:p w14:paraId="47B4F1F4" w14:textId="77777777" w:rsidR="00614DFD" w:rsidRPr="0030684E" w:rsidRDefault="00614DFD" w:rsidP="00514A0C">
      <w:pPr>
        <w:tabs>
          <w:tab w:val="num" w:pos="426"/>
        </w:tabs>
        <w:suppressAutoHyphens/>
        <w:spacing w:after="0"/>
        <w:jc w:val="right"/>
        <w:rPr>
          <w:rFonts w:ascii="Arial" w:hAnsi="Arial" w:cs="Arial"/>
          <w:color w:val="FF0000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30684E" w:rsidRPr="0050177F" w14:paraId="46E00ADC" w14:textId="77777777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3029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48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</w:rPr>
              <w:t>M</w:t>
            </w:r>
            <w:r w:rsidRPr="0050177F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14:paraId="0576683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8E34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Sorszám</w:t>
            </w:r>
          </w:p>
          <w:p w14:paraId="6083870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F59BA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14:paraId="03821408" w14:textId="5496B294" w:rsidR="00614DFD" w:rsidRPr="0050177F" w:rsidRDefault="00F41DA4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202</w:t>
            </w:r>
            <w:r w:rsidR="008C68B8" w:rsidRPr="0050177F">
              <w:rPr>
                <w:rFonts w:ascii="Arial" w:hAnsi="Arial" w:cs="Arial"/>
                <w:sz w:val="16"/>
                <w:szCs w:val="16"/>
              </w:rPr>
              <w:t>4</w:t>
            </w:r>
            <w:r w:rsidR="00614DFD" w:rsidRPr="0050177F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473A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68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30684E" w:rsidRPr="0050177F" w14:paraId="5A0BF25D" w14:textId="77777777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A1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232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C1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6C40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4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D9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30684E" w:rsidRPr="0050177F" w14:paraId="52BCFA5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65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E2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991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50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91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EB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0177F" w:rsidRPr="0050177F" w14:paraId="119D7A3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6B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BE74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AB" w14:textId="643F78EF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1 460 000 000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8F" w14:textId="7785DAFB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1 460 000 000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8D4" w14:textId="3FB68995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1 460 000 000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C6C6" w14:textId="4ACF82EA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1 460 000 000</w:t>
            </w:r>
          </w:p>
        </w:tc>
      </w:tr>
      <w:tr w:rsidR="0050177F" w:rsidRPr="0050177F" w14:paraId="779EF8D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31D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626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7E2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F43" w14:textId="0A28F624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869" w14:textId="2FB94A4B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3A3" w14:textId="0535B626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0177F" w:rsidRPr="0050177F" w14:paraId="6344DFB9" w14:textId="77777777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E23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47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ED1" w14:textId="67030605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30B" w14:textId="0D0F9AC3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E66" w14:textId="7EE4C358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A8B5" w14:textId="3254499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</w:tr>
      <w:tr w:rsidR="0050177F" w:rsidRPr="0050177F" w14:paraId="666FA55F" w14:textId="77777777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B058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0EA4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7EB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101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D03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6A6D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177F" w:rsidRPr="0050177F" w14:paraId="2F519AE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C2E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569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C22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8CD" w14:textId="113E5F2E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45A0" w14:textId="586ABED1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ED5B" w14:textId="6FA3A80F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0177F" w:rsidRPr="0050177F" w14:paraId="56FDB51F" w14:textId="77777777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018F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C322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6AE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732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25AA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60D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177F" w:rsidRPr="0050177F" w14:paraId="185E47A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E9A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50177F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B4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D79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0D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68A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B0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177F" w:rsidRPr="0050177F" w14:paraId="54069B2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CD6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AEA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F83" w14:textId="19F1B02A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1 472 000 000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4986" w14:textId="5C2C3981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1 464 500 000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7B7" w14:textId="07D4B98A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1 464 500 000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FC0" w14:textId="031DFF9D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1 464 500 000</w:t>
            </w:r>
          </w:p>
        </w:tc>
      </w:tr>
      <w:tr w:rsidR="0050177F" w:rsidRPr="0050177F" w14:paraId="031BD92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08E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3DF1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5E4" w14:textId="77577A70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736 000 000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68E3" w14:textId="47D0D091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732 250 000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615" w14:textId="23225D68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732 250 000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79E" w14:textId="2E5A176D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732 250 000</w:t>
            </w:r>
          </w:p>
        </w:tc>
      </w:tr>
      <w:tr w:rsidR="0050177F" w:rsidRPr="0050177F" w14:paraId="72B064B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B3EF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5B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872" w14:textId="5AEE1B1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BD1" w14:textId="3CC49F3E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B40" w14:textId="03A8682C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66D" w14:textId="558094E0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50177F" w:rsidRPr="0050177F" w14:paraId="258BF65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09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9E4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CBF3" w14:textId="26D6BEF5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73D" w14:textId="3C670AC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074" w14:textId="19BA6DC0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56B" w14:textId="59A7872D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30684E" w:rsidRPr="0050177F" w14:paraId="39822B7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17D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FA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EA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7A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92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878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4AD3F310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2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A2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815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4A5D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61F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B6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03C185CA" w14:textId="77777777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9AF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A57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13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85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DC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A3D8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1F0654E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49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C1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F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9E5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6D1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54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336E313A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54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EC4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D4A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95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36D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AEC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0C8BB8F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55D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9BB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8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45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4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AC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1B5F44D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2A8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3B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17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F1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DC0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2D1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066309D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F1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1C7A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A9A" w14:textId="60484481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E51" w14:textId="5945A7EE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A9A" w14:textId="5A6B165C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57A" w14:textId="01C41520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0684E" w:rsidRPr="0050177F" w14:paraId="6997EAC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366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1F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F0D8" w14:textId="765F8AFA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AFA" w14:textId="2018E6EB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5E9D" w14:textId="75DC50E9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9D0D" w14:textId="4252999F" w:rsidR="004B620D" w:rsidRPr="0050177F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0D2D1F3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264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lastRenderedPageBreak/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9F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90C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AEB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1FD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EC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165A23D1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D2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D544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D7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66A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7B1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16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1C4A425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E0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EB3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90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014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38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8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5F6C067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B9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BC1A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D6E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9057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91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F0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47CB87AF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EA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C0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FD38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B6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C0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12F1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61B46426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022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B735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39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D856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22B9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F7FC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84E" w:rsidRPr="0050177F" w14:paraId="1A1F077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B55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FA71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D5F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6175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4F7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22B" w14:textId="77777777" w:rsidR="004B620D" w:rsidRPr="0050177F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177F" w:rsidRPr="0050177F" w14:paraId="39663B4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0F2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ABA8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A67" w14:textId="0EAE073D" w:rsidR="0050177F" w:rsidRPr="0050177F" w:rsidRDefault="0050177F" w:rsidP="0050177F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179" w14:textId="7A9A5665" w:rsidR="0050177F" w:rsidRPr="0050177F" w:rsidRDefault="0050177F" w:rsidP="0050177F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2B2" w14:textId="11F2DA2D" w:rsidR="0050177F" w:rsidRPr="0050177F" w:rsidRDefault="0050177F" w:rsidP="0050177F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1EF" w14:textId="2575A251" w:rsidR="0050177F" w:rsidRPr="0050177F" w:rsidRDefault="0050177F" w:rsidP="0050177F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50177F" w:rsidRPr="0050177F" w14:paraId="4D57100A" w14:textId="77777777" w:rsidTr="00E40C0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BC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1365" w14:textId="77777777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C077" w14:textId="13D30D64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534 786 000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669B" w14:textId="07BD9C15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531 036 000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5D3" w14:textId="5F0BAB84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531 036 000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E5D" w14:textId="4816C43B" w:rsidR="0050177F" w:rsidRPr="0050177F" w:rsidRDefault="0050177F" w:rsidP="0050177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531 036 000</w:t>
            </w:r>
          </w:p>
        </w:tc>
      </w:tr>
    </w:tbl>
    <w:p w14:paraId="200F29B3" w14:textId="77777777" w:rsidR="00614DFD" w:rsidRPr="0050177F" w:rsidRDefault="00614DFD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00BF783F" w14:textId="77777777" w:rsidR="00A56BA0" w:rsidRPr="0050177F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74AF8D" w14:textId="4483D621" w:rsidR="00A56BA0" w:rsidRPr="0050177F" w:rsidRDefault="00ED437E" w:rsidP="00514A0C">
      <w:pPr>
        <w:pStyle w:val="Listaszerbekezds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</w:t>
      </w:r>
      <w:r w:rsidR="00F25F84" w:rsidRPr="0050177F">
        <w:rPr>
          <w:rFonts w:ascii="Arial" w:hAnsi="Arial" w:cs="Arial"/>
        </w:rPr>
        <w:t xml:space="preserve"> </w:t>
      </w:r>
      <w:r w:rsidR="00A56BA0" w:rsidRPr="0050177F">
        <w:rPr>
          <w:rFonts w:ascii="Arial" w:hAnsi="Arial" w:cs="Arial"/>
        </w:rPr>
        <w:t>adósságot keletkeztető ügyletekben</w:t>
      </w:r>
      <w:r w:rsidRPr="0050177F">
        <w:rPr>
          <w:rFonts w:ascii="Arial" w:hAnsi="Arial" w:cs="Arial"/>
        </w:rPr>
        <w:t xml:space="preserve"> történő változás esetén újabb kimutatás</w:t>
      </w:r>
      <w:r w:rsidR="002E6080" w:rsidRPr="0050177F">
        <w:rPr>
          <w:rFonts w:ascii="Arial" w:hAnsi="Arial" w:cs="Arial"/>
        </w:rPr>
        <w:t>t szükséges készíteni</w:t>
      </w:r>
      <w:r w:rsidRPr="0050177F">
        <w:rPr>
          <w:rFonts w:ascii="Arial" w:hAnsi="Arial" w:cs="Arial"/>
        </w:rPr>
        <w:t xml:space="preserve"> tájékoztatás céljából.</w:t>
      </w:r>
    </w:p>
    <w:p w14:paraId="337F8393" w14:textId="77777777" w:rsidR="00A56BA0" w:rsidRPr="0050177F" w:rsidRDefault="00A56BA0" w:rsidP="00514A0C">
      <w:pPr>
        <w:spacing w:after="0"/>
        <w:jc w:val="both"/>
        <w:rPr>
          <w:rFonts w:ascii="Arial" w:hAnsi="Arial" w:cs="Arial"/>
          <w:bCs/>
          <w:iCs/>
        </w:rPr>
      </w:pPr>
    </w:p>
    <w:p w14:paraId="3DE76B0E" w14:textId="77777777" w:rsidR="00A56BA0" w:rsidRPr="0050177F" w:rsidRDefault="00A56BA0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Felelős:</w:t>
      </w:r>
      <w:r w:rsidRPr="0050177F">
        <w:rPr>
          <w:rFonts w:ascii="Arial" w:hAnsi="Arial" w:cs="Arial"/>
        </w:rPr>
        <w:t xml:space="preserve"> </w:t>
      </w:r>
      <w:r w:rsidR="00CC4887" w:rsidRPr="0050177F">
        <w:rPr>
          <w:rFonts w:ascii="Arial" w:hAnsi="Arial" w:cs="Arial"/>
        </w:rPr>
        <w:tab/>
      </w:r>
      <w:r w:rsidRPr="0050177F">
        <w:rPr>
          <w:rFonts w:ascii="Arial" w:hAnsi="Arial" w:cs="Arial"/>
        </w:rPr>
        <w:t>Papp Gábor polgármester</w:t>
      </w:r>
    </w:p>
    <w:p w14:paraId="7202CAF4" w14:textId="77777777" w:rsidR="00CC4887" w:rsidRPr="0050177F" w:rsidRDefault="00CC4887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Határidő:</w:t>
      </w:r>
      <w:r w:rsidRPr="0050177F">
        <w:rPr>
          <w:rFonts w:ascii="Arial" w:hAnsi="Arial" w:cs="Arial"/>
        </w:rPr>
        <w:tab/>
        <w:t>éves beszámolók</w:t>
      </w:r>
    </w:p>
    <w:p w14:paraId="7030EECB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2045E134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33DD3A52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64E580C3" w14:textId="744A3719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389A928" w14:textId="77777777" w:rsidR="00A56BA0" w:rsidRPr="0030684E" w:rsidRDefault="00A56BA0" w:rsidP="00514A0C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0000"/>
          <w:sz w:val="22"/>
          <w:szCs w:val="22"/>
        </w:rPr>
      </w:pPr>
    </w:p>
    <w:p w14:paraId="632B4815" w14:textId="77777777" w:rsidR="00A56BA0" w:rsidRPr="0030684E" w:rsidRDefault="00A56BA0" w:rsidP="00514A0C">
      <w:pPr>
        <w:pStyle w:val="Listaszerbekezds"/>
        <w:rPr>
          <w:rFonts w:ascii="Arial" w:hAnsi="Arial" w:cs="Arial"/>
          <w:color w:val="FF0000"/>
        </w:rPr>
      </w:pPr>
    </w:p>
    <w:p w14:paraId="0E7944B1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5D4D05D4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6EE57373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738AF005" w14:textId="47B5FB3F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2B747814" w14:textId="2E2F691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BDF5851" w14:textId="724C07C5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9D30394" w14:textId="5F3D3E1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B833BAA" w14:textId="0494BDA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3C81CA" w14:textId="014BFF39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B8AE334" w14:textId="7A3B3641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C9D444A" w14:textId="48519B4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7DBEEF2C" w14:textId="20EA58E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6181BD" w14:textId="0CBB181D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098CBF5" w14:textId="00D52B0F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CE182A5" w14:textId="425DA8A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E1BDC6B" w14:textId="2DE3B5C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3C0B8DC" w14:textId="63807A2E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2DC21A2" w14:textId="7777777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3426E9BA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6A854A64" w14:textId="77777777" w:rsidR="00633319" w:rsidRPr="0030684E" w:rsidRDefault="00633319" w:rsidP="004713D6">
      <w:pPr>
        <w:rPr>
          <w:rFonts w:ascii="Arial" w:hAnsi="Arial" w:cs="Arial"/>
          <w:color w:val="FF0000"/>
        </w:rPr>
      </w:pPr>
    </w:p>
    <w:p w14:paraId="1683D7DD" w14:textId="77777777" w:rsidR="00A56BA0" w:rsidRPr="0050177F" w:rsidRDefault="006334A4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t>3</w:t>
      </w:r>
      <w:r w:rsidR="00A56BA0" w:rsidRPr="0050177F">
        <w:rPr>
          <w:rFonts w:ascii="Arial" w:hAnsi="Arial" w:cs="Arial"/>
          <w:b/>
        </w:rPr>
        <w:t>.</w:t>
      </w:r>
    </w:p>
    <w:p w14:paraId="5AFD0496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37A5DD63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t>Előzetes hatásvizsgálat:</w:t>
      </w:r>
    </w:p>
    <w:p w14:paraId="712AF235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79AD3E4" w14:textId="3654507C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jogalkotásról szóló 2010. évi CXXX. </w:t>
      </w:r>
      <w:r w:rsidR="00A46DA3" w:rsidRPr="0050177F">
        <w:rPr>
          <w:rFonts w:ascii="Arial" w:hAnsi="Arial" w:cs="Arial"/>
        </w:rPr>
        <w:t>Kvtv.</w:t>
      </w:r>
      <w:r w:rsidRPr="0050177F">
        <w:rPr>
          <w:rFonts w:ascii="Arial" w:hAnsi="Arial" w:cs="Arial"/>
        </w:rPr>
        <w:t xml:space="preserve"> </w:t>
      </w:r>
      <w:r w:rsidR="006E6B55" w:rsidRPr="0050177F">
        <w:rPr>
          <w:rFonts w:ascii="Arial" w:hAnsi="Arial" w:cs="Arial"/>
        </w:rPr>
        <w:t>16</w:t>
      </w:r>
      <w:r w:rsidRPr="0050177F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14:paraId="29BF966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35F93586" w14:textId="2A432894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Rendelet-tervezet címe:</w:t>
      </w:r>
      <w:r w:rsidRPr="0050177F">
        <w:rPr>
          <w:rFonts w:ascii="Arial" w:hAnsi="Arial" w:cs="Arial"/>
        </w:rPr>
        <w:t xml:space="preserve"> Hévíz Város Önkormányzat</w:t>
      </w:r>
      <w:r w:rsidRPr="0050177F">
        <w:rPr>
          <w:rFonts w:ascii="Arial" w:hAnsi="Arial" w:cs="Arial"/>
          <w:b/>
        </w:rPr>
        <w:t xml:space="preserve"> </w:t>
      </w:r>
      <w:r w:rsidR="001C0BF5" w:rsidRPr="0050177F">
        <w:rPr>
          <w:rFonts w:ascii="Arial" w:hAnsi="Arial" w:cs="Arial"/>
        </w:rPr>
        <w:t>202</w:t>
      </w:r>
      <w:r w:rsidR="0050177F" w:rsidRPr="0050177F">
        <w:rPr>
          <w:rFonts w:ascii="Arial" w:hAnsi="Arial" w:cs="Arial"/>
        </w:rPr>
        <w:t>4</w:t>
      </w:r>
      <w:r w:rsidRPr="0050177F">
        <w:rPr>
          <w:rFonts w:ascii="Arial" w:hAnsi="Arial" w:cs="Arial"/>
        </w:rPr>
        <w:t>. évi költségvetésről</w:t>
      </w:r>
      <w:r w:rsidR="00DD6C1C" w:rsidRPr="0050177F">
        <w:rPr>
          <w:rFonts w:ascii="Arial" w:hAnsi="Arial" w:cs="Arial"/>
        </w:rPr>
        <w:t>.</w:t>
      </w:r>
    </w:p>
    <w:p w14:paraId="31AA3879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4871C30" w14:textId="1933AF18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14:paraId="6ED0F8D1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E51345B" w14:textId="4446E932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Költségvetési hatása:</w:t>
      </w:r>
      <w:r w:rsidR="001C0BF5" w:rsidRPr="0050177F">
        <w:rPr>
          <w:rFonts w:ascii="Arial" w:hAnsi="Arial" w:cs="Arial"/>
        </w:rPr>
        <w:t xml:space="preserve"> A 202</w:t>
      </w:r>
      <w:r w:rsidR="0050177F" w:rsidRPr="0050177F">
        <w:rPr>
          <w:rFonts w:ascii="Arial" w:hAnsi="Arial" w:cs="Arial"/>
        </w:rPr>
        <w:t>4</w:t>
      </w:r>
      <w:r w:rsidRPr="0050177F">
        <w:rPr>
          <w:rFonts w:ascii="Arial" w:hAnsi="Arial" w:cs="Arial"/>
        </w:rPr>
        <w:t>. évi költségvetési rendelet megalkotásához kapcsolódó előzetes hatásvizsgálat során megállapítható, hogy az önkormányzatnak</w:t>
      </w:r>
      <w:r w:rsidR="00DD6C1C" w:rsidRPr="0050177F">
        <w:rPr>
          <w:rFonts w:ascii="Arial" w:hAnsi="Arial" w:cs="Arial"/>
        </w:rPr>
        <w:t xml:space="preserve"> törvény</w:t>
      </w:r>
      <w:r w:rsidRPr="0050177F">
        <w:rPr>
          <w:rFonts w:ascii="Arial" w:hAnsi="Arial" w:cs="Arial"/>
        </w:rPr>
        <w:t xml:space="preserve">ben foglalt kötelezettsége az adott évre költségvetést alkotni az államháztartásról szóló 2011. évi CXCV. </w:t>
      </w:r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23 -24. §-ban kapott felhatalmazás alapján.</w:t>
      </w:r>
    </w:p>
    <w:p w14:paraId="5EFB2BBD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4C525582" w14:textId="0AB93B12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 megalkotásának szükségessége</w:t>
      </w:r>
      <w:r w:rsidRPr="0050177F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 108.</w:t>
      </w:r>
      <w:proofErr w:type="gramEnd"/>
      <w:r w:rsidRPr="0050177F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14:paraId="7F1BD982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0DA73CE3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A jogszabály alkalmazásához szükséges személyi, szervezeti, tárgyi és pénzügyi feltételek</w:t>
      </w:r>
      <w:r w:rsidRPr="0050177F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3D7901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</w:t>
      </w:r>
      <w:r w:rsidRPr="0050177F">
        <w:rPr>
          <w:rFonts w:ascii="Arial" w:hAnsi="Arial" w:cs="Arial"/>
        </w:rPr>
        <w:lastRenderedPageBreak/>
        <w:t xml:space="preserve">szakmai programjai, részkoncepciói alapján készül, mely elsősorban a kötelező feladatellátásból adódó feladatokat tartalmazza. Az adminisztratív </w:t>
      </w:r>
      <w:proofErr w:type="spellStart"/>
      <w:r w:rsidRPr="0050177F">
        <w:rPr>
          <w:rFonts w:ascii="Arial" w:hAnsi="Arial" w:cs="Arial"/>
        </w:rPr>
        <w:t>terhek</w:t>
      </w:r>
      <w:proofErr w:type="spellEnd"/>
      <w:r w:rsidRPr="0050177F">
        <w:rPr>
          <w:rFonts w:ascii="Arial" w:hAnsi="Arial" w:cs="Arial"/>
        </w:rPr>
        <w:t xml:space="preserve"> nem változnak.</w:t>
      </w:r>
    </w:p>
    <w:p w14:paraId="5FBF3145" w14:textId="77777777" w:rsidR="00A56BA0" w:rsidRPr="0050177F" w:rsidRDefault="00A56BA0" w:rsidP="00514A0C">
      <w:pPr>
        <w:pStyle w:val="Szvegtrzs0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44D21462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 xml:space="preserve">Egyeztetési kötelezettség: </w:t>
      </w:r>
      <w:r w:rsidRPr="0050177F">
        <w:rPr>
          <w:rFonts w:ascii="Arial" w:hAnsi="Arial" w:cs="Arial"/>
        </w:rPr>
        <w:t xml:space="preserve">Valamennyi költségvetési szerv vezetővel egyeztetésre kerültek az intézmények költségvetései, melyről jegyzőkönyv készült. </w:t>
      </w:r>
    </w:p>
    <w:p w14:paraId="19C5473B" w14:textId="77777777" w:rsidR="00A56BA0" w:rsidRPr="0050177F" w:rsidRDefault="00A56BA0" w:rsidP="00514A0C">
      <w:pPr>
        <w:rPr>
          <w:rFonts w:ascii="Arial" w:hAnsi="Arial" w:cs="Arial"/>
          <w:highlight w:val="yellow"/>
        </w:rPr>
      </w:pPr>
      <w:r w:rsidRPr="0050177F">
        <w:rPr>
          <w:rFonts w:ascii="Arial" w:hAnsi="Arial" w:cs="Arial"/>
          <w:highlight w:val="yellow"/>
        </w:rPr>
        <w:br w:type="page"/>
      </w:r>
    </w:p>
    <w:p w14:paraId="404A6DF6" w14:textId="332CC187" w:rsidR="00A56BA0" w:rsidRPr="0030684E" w:rsidRDefault="00B2376A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lastRenderedPageBreak/>
        <w:t>4.</w:t>
      </w:r>
    </w:p>
    <w:p w14:paraId="026953CF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t>Felülvizsgálatok - egyeztetések</w:t>
      </w:r>
    </w:p>
    <w:p w14:paraId="1DC0CCB8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30684E" w:rsidRPr="0030684E" w14:paraId="5EE3555F" w14:textId="77777777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14:paraId="087A82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30684E" w:rsidRPr="0030684E" w14:paraId="7F6D4053" w14:textId="77777777" w:rsidTr="00890634">
        <w:trPr>
          <w:jc w:val="center"/>
        </w:trPr>
        <w:tc>
          <w:tcPr>
            <w:tcW w:w="2409" w:type="dxa"/>
            <w:vAlign w:val="center"/>
          </w:tcPr>
          <w:p w14:paraId="524EF6F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3A65AA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69382315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29A6CF5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09E14718" w14:textId="77777777" w:rsidTr="00890634">
        <w:trPr>
          <w:jc w:val="center"/>
        </w:trPr>
        <w:tc>
          <w:tcPr>
            <w:tcW w:w="2409" w:type="dxa"/>
            <w:vAlign w:val="center"/>
          </w:tcPr>
          <w:p w14:paraId="1D49BCCC" w14:textId="77777777" w:rsidR="00A56BA0" w:rsidRPr="0030684E" w:rsidRDefault="00786948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Boros Lajosné</w:t>
            </w:r>
          </w:p>
        </w:tc>
        <w:tc>
          <w:tcPr>
            <w:tcW w:w="2409" w:type="dxa"/>
            <w:vAlign w:val="center"/>
          </w:tcPr>
          <w:p w14:paraId="30DC8F57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Az előterjesztés</w:t>
            </w:r>
          </w:p>
          <w:p w14:paraId="1873BD0C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14:paraId="2B2830E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3FE9DD7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47284BC" w14:textId="77777777" w:rsidTr="00890634">
        <w:trPr>
          <w:jc w:val="center"/>
        </w:trPr>
        <w:tc>
          <w:tcPr>
            <w:tcW w:w="2409" w:type="dxa"/>
            <w:vAlign w:val="center"/>
          </w:tcPr>
          <w:p w14:paraId="22710DA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6269B4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721F25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DBF5D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30684E" w14:paraId="2A1E2AB2" w14:textId="77777777" w:rsidTr="00890634">
        <w:trPr>
          <w:jc w:val="center"/>
        </w:trPr>
        <w:tc>
          <w:tcPr>
            <w:tcW w:w="2409" w:type="dxa"/>
            <w:vAlign w:val="center"/>
          </w:tcPr>
          <w:p w14:paraId="585AD50C" w14:textId="096F929C" w:rsidR="00A56BA0" w:rsidRPr="0030684E" w:rsidRDefault="00DD6C1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d</w:t>
            </w:r>
            <w:r w:rsidR="00A56BA0" w:rsidRPr="0030684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14:paraId="2FAC0268" w14:textId="748242AB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 xml:space="preserve">Jegyző / </w:t>
            </w:r>
            <w:r w:rsidR="00DD6C1C" w:rsidRPr="0030684E">
              <w:rPr>
                <w:rFonts w:ascii="Arial" w:hAnsi="Arial" w:cs="Arial"/>
                <w:spacing w:val="2"/>
              </w:rPr>
              <w:t>törvény</w:t>
            </w:r>
            <w:r w:rsidRPr="0030684E">
              <w:rPr>
                <w:rFonts w:ascii="Arial" w:hAnsi="Arial" w:cs="Arial"/>
                <w:spacing w:val="2"/>
              </w:rPr>
              <w:t>ességi felülvizsgálat</w:t>
            </w:r>
          </w:p>
        </w:tc>
        <w:tc>
          <w:tcPr>
            <w:tcW w:w="2409" w:type="dxa"/>
            <w:vAlign w:val="center"/>
          </w:tcPr>
          <w:p w14:paraId="74E5097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11A961E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1477F73E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p w14:paraId="5954B327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30684E" w:rsidRPr="0030684E" w14:paraId="737A8A66" w14:textId="77777777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14:paraId="2169D0C3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30684E" w:rsidRPr="0030684E" w14:paraId="7ACC4AE2" w14:textId="77777777" w:rsidTr="001136DF">
        <w:trPr>
          <w:jc w:val="center"/>
        </w:trPr>
        <w:tc>
          <w:tcPr>
            <w:tcW w:w="2547" w:type="dxa"/>
            <w:vAlign w:val="center"/>
          </w:tcPr>
          <w:p w14:paraId="3F1C68C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14:paraId="3FECB91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14:paraId="7784970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14:paraId="34A360F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4B78CECF" w14:textId="77777777" w:rsidTr="001136DF">
        <w:trPr>
          <w:jc w:val="center"/>
        </w:trPr>
        <w:tc>
          <w:tcPr>
            <w:tcW w:w="2547" w:type="dxa"/>
          </w:tcPr>
          <w:p w14:paraId="0A61A7CE" w14:textId="78B3435E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Gönye József</w:t>
            </w:r>
            <w:r w:rsidR="00A56BA0" w:rsidRPr="003068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5F6F4C4C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GAMESZ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4BCEDDD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A227AD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77CE96B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92C2EF9" w14:textId="77777777" w:rsidTr="00D832CB">
        <w:trPr>
          <w:trHeight w:val="448"/>
          <w:jc w:val="center"/>
        </w:trPr>
        <w:tc>
          <w:tcPr>
            <w:tcW w:w="2547" w:type="dxa"/>
          </w:tcPr>
          <w:p w14:paraId="74A2BD6D" w14:textId="0E9E9622" w:rsidR="00A56BA0" w:rsidRPr="0030684E" w:rsidRDefault="00D832CB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Hermann Katalin</w:t>
            </w:r>
          </w:p>
        </w:tc>
        <w:tc>
          <w:tcPr>
            <w:tcW w:w="2268" w:type="dxa"/>
          </w:tcPr>
          <w:p w14:paraId="224A03D3" w14:textId="74C5AC73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FGYMK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0C8167A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B716B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058C639" w14:textId="77777777" w:rsidTr="001136DF">
        <w:trPr>
          <w:jc w:val="center"/>
        </w:trPr>
        <w:tc>
          <w:tcPr>
            <w:tcW w:w="2547" w:type="dxa"/>
          </w:tcPr>
          <w:p w14:paraId="1F12CD3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Varga András</w:t>
            </w:r>
          </w:p>
        </w:tc>
        <w:tc>
          <w:tcPr>
            <w:tcW w:w="2268" w:type="dxa"/>
          </w:tcPr>
          <w:p w14:paraId="2F569643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551" w:type="dxa"/>
          </w:tcPr>
          <w:p w14:paraId="27CF4A6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667196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4C4579A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807BB65" w14:textId="77777777" w:rsidR="00A56BA0" w:rsidRPr="0030684E" w:rsidRDefault="00A56BA0" w:rsidP="00514A0C">
      <w:pPr>
        <w:rPr>
          <w:rFonts w:ascii="Arial" w:hAnsi="Arial" w:cs="Arial"/>
        </w:rPr>
      </w:pPr>
    </w:p>
    <w:sectPr w:rsidR="00A56BA0" w:rsidRPr="0030684E" w:rsidSect="00F9120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AD272" w14:textId="77777777" w:rsidR="006917ED" w:rsidRDefault="006917ED">
      <w:pPr>
        <w:spacing w:after="0" w:line="240" w:lineRule="auto"/>
      </w:pPr>
      <w:r>
        <w:separator/>
      </w:r>
    </w:p>
  </w:endnote>
  <w:endnote w:type="continuationSeparator" w:id="0">
    <w:p w14:paraId="5CF1FA9A" w14:textId="77777777" w:rsidR="006917ED" w:rsidRDefault="0069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F53F0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6DC0" w14:textId="77777777" w:rsidR="001B55A9" w:rsidRDefault="001B55A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4F6D6DC0" w14:textId="77777777" w:rsidR="001B55A9" w:rsidRDefault="001B55A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5583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4B16DD8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08739" w14:textId="021D2583" w:rsidR="001B55A9" w:rsidRDefault="001B55A9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14:paraId="23508739" w14:textId="021D2583" w:rsidR="001B55A9" w:rsidRDefault="001B55A9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41F23" w14:textId="77777777" w:rsidR="006917ED" w:rsidRDefault="006917ED">
      <w:pPr>
        <w:spacing w:after="0" w:line="240" w:lineRule="auto"/>
      </w:pPr>
      <w:r>
        <w:separator/>
      </w:r>
    </w:p>
  </w:footnote>
  <w:footnote w:type="continuationSeparator" w:id="0">
    <w:p w14:paraId="1BDC7D28" w14:textId="77777777" w:rsidR="006917ED" w:rsidRDefault="00691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49E3"/>
    <w:multiLevelType w:val="hybridMultilevel"/>
    <w:tmpl w:val="024675C4"/>
    <w:lvl w:ilvl="0" w:tplc="E116AA62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85EA4"/>
    <w:multiLevelType w:val="hybridMultilevel"/>
    <w:tmpl w:val="5EAE9CCA"/>
    <w:lvl w:ilvl="0" w:tplc="BE58B806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0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7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3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4"/>
  </w:num>
  <w:num w:numId="3">
    <w:abstractNumId w:val="42"/>
  </w:num>
  <w:num w:numId="4">
    <w:abstractNumId w:val="40"/>
  </w:num>
  <w:num w:numId="5">
    <w:abstractNumId w:val="33"/>
  </w:num>
  <w:num w:numId="6">
    <w:abstractNumId w:val="11"/>
  </w:num>
  <w:num w:numId="7">
    <w:abstractNumId w:val="38"/>
  </w:num>
  <w:num w:numId="8">
    <w:abstractNumId w:val="32"/>
  </w:num>
  <w:num w:numId="9">
    <w:abstractNumId w:val="31"/>
  </w:num>
  <w:num w:numId="10">
    <w:abstractNumId w:val="13"/>
  </w:num>
  <w:num w:numId="11">
    <w:abstractNumId w:val="34"/>
  </w:num>
  <w:num w:numId="12">
    <w:abstractNumId w:val="37"/>
  </w:num>
  <w:num w:numId="13">
    <w:abstractNumId w:val="14"/>
  </w:num>
  <w:num w:numId="14">
    <w:abstractNumId w:val="30"/>
  </w:num>
  <w:num w:numId="15">
    <w:abstractNumId w:val="23"/>
  </w:num>
  <w:num w:numId="16">
    <w:abstractNumId w:val="26"/>
  </w:num>
  <w:num w:numId="17">
    <w:abstractNumId w:val="19"/>
  </w:num>
  <w:num w:numId="18">
    <w:abstractNumId w:val="29"/>
  </w:num>
  <w:num w:numId="19">
    <w:abstractNumId w:val="4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6"/>
  </w:num>
  <w:num w:numId="23">
    <w:abstractNumId w:val="22"/>
  </w:num>
  <w:num w:numId="24">
    <w:abstractNumId w:val="17"/>
  </w:num>
  <w:num w:numId="25">
    <w:abstractNumId w:val="41"/>
  </w:num>
  <w:num w:numId="26">
    <w:abstractNumId w:val="10"/>
  </w:num>
  <w:num w:numId="27">
    <w:abstractNumId w:val="9"/>
  </w:num>
  <w:num w:numId="28">
    <w:abstractNumId w:val="12"/>
  </w:num>
  <w:num w:numId="29">
    <w:abstractNumId w:val="2"/>
  </w:num>
  <w:num w:numId="30">
    <w:abstractNumId w:val="35"/>
  </w:num>
  <w:num w:numId="31">
    <w:abstractNumId w:val="15"/>
  </w:num>
  <w:num w:numId="32">
    <w:abstractNumId w:val="27"/>
  </w:num>
  <w:num w:numId="33">
    <w:abstractNumId w:val="7"/>
  </w:num>
  <w:num w:numId="34">
    <w:abstractNumId w:val="20"/>
  </w:num>
  <w:num w:numId="35">
    <w:abstractNumId w:val="39"/>
  </w:num>
  <w:num w:numId="36">
    <w:abstractNumId w:val="8"/>
  </w:num>
  <w:num w:numId="37">
    <w:abstractNumId w:val="21"/>
  </w:num>
  <w:num w:numId="38">
    <w:abstractNumId w:val="3"/>
  </w:num>
  <w:num w:numId="39">
    <w:abstractNumId w:val="16"/>
  </w:num>
  <w:num w:numId="40">
    <w:abstractNumId w:val="4"/>
  </w:num>
  <w:num w:numId="41">
    <w:abstractNumId w:val="1"/>
  </w:num>
  <w:num w:numId="42">
    <w:abstractNumId w:val="5"/>
  </w:num>
  <w:num w:numId="43">
    <w:abstractNumId w:val="28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4800"/>
    <w:rsid w:val="00006C6E"/>
    <w:rsid w:val="00006FCE"/>
    <w:rsid w:val="0001326B"/>
    <w:rsid w:val="00013C6C"/>
    <w:rsid w:val="00016071"/>
    <w:rsid w:val="00017A74"/>
    <w:rsid w:val="00017ACB"/>
    <w:rsid w:val="00020CB8"/>
    <w:rsid w:val="000211F5"/>
    <w:rsid w:val="000241A4"/>
    <w:rsid w:val="00026022"/>
    <w:rsid w:val="000263BA"/>
    <w:rsid w:val="000264D3"/>
    <w:rsid w:val="00037E18"/>
    <w:rsid w:val="0004212D"/>
    <w:rsid w:val="00047F8F"/>
    <w:rsid w:val="00050246"/>
    <w:rsid w:val="000507FA"/>
    <w:rsid w:val="00051F93"/>
    <w:rsid w:val="00055B5C"/>
    <w:rsid w:val="00060610"/>
    <w:rsid w:val="00061EAE"/>
    <w:rsid w:val="0006770F"/>
    <w:rsid w:val="00070B89"/>
    <w:rsid w:val="00071636"/>
    <w:rsid w:val="00081E14"/>
    <w:rsid w:val="00081E65"/>
    <w:rsid w:val="0008313A"/>
    <w:rsid w:val="0009421F"/>
    <w:rsid w:val="00094449"/>
    <w:rsid w:val="0009700A"/>
    <w:rsid w:val="000A0845"/>
    <w:rsid w:val="000B0628"/>
    <w:rsid w:val="000B118A"/>
    <w:rsid w:val="000B2D9C"/>
    <w:rsid w:val="000B46E8"/>
    <w:rsid w:val="000B5154"/>
    <w:rsid w:val="000B64CF"/>
    <w:rsid w:val="000C3D85"/>
    <w:rsid w:val="000C65F0"/>
    <w:rsid w:val="000D16BC"/>
    <w:rsid w:val="000D1F83"/>
    <w:rsid w:val="000D5E31"/>
    <w:rsid w:val="000E0DA6"/>
    <w:rsid w:val="000E3699"/>
    <w:rsid w:val="000E41B9"/>
    <w:rsid w:val="000E736D"/>
    <w:rsid w:val="000F30E9"/>
    <w:rsid w:val="000F7724"/>
    <w:rsid w:val="001002AE"/>
    <w:rsid w:val="00103F79"/>
    <w:rsid w:val="001056FC"/>
    <w:rsid w:val="001067B9"/>
    <w:rsid w:val="00107040"/>
    <w:rsid w:val="001076F9"/>
    <w:rsid w:val="001111B1"/>
    <w:rsid w:val="001136DF"/>
    <w:rsid w:val="001141F6"/>
    <w:rsid w:val="00115DD5"/>
    <w:rsid w:val="00120750"/>
    <w:rsid w:val="00122DD4"/>
    <w:rsid w:val="00125D3A"/>
    <w:rsid w:val="001262B2"/>
    <w:rsid w:val="00131800"/>
    <w:rsid w:val="00131A76"/>
    <w:rsid w:val="00141DB3"/>
    <w:rsid w:val="0014209C"/>
    <w:rsid w:val="00146209"/>
    <w:rsid w:val="00152F1E"/>
    <w:rsid w:val="0015629B"/>
    <w:rsid w:val="001610D8"/>
    <w:rsid w:val="001626BA"/>
    <w:rsid w:val="00166773"/>
    <w:rsid w:val="001677B2"/>
    <w:rsid w:val="00167D78"/>
    <w:rsid w:val="0017131B"/>
    <w:rsid w:val="001723C3"/>
    <w:rsid w:val="00175A3B"/>
    <w:rsid w:val="00175F08"/>
    <w:rsid w:val="00180996"/>
    <w:rsid w:val="00180C3D"/>
    <w:rsid w:val="00182DFF"/>
    <w:rsid w:val="00184275"/>
    <w:rsid w:val="001849E3"/>
    <w:rsid w:val="0018609F"/>
    <w:rsid w:val="00191D64"/>
    <w:rsid w:val="00192F4C"/>
    <w:rsid w:val="0019486B"/>
    <w:rsid w:val="001A2C07"/>
    <w:rsid w:val="001A7A75"/>
    <w:rsid w:val="001B009A"/>
    <w:rsid w:val="001B2E63"/>
    <w:rsid w:val="001B4920"/>
    <w:rsid w:val="001B55A9"/>
    <w:rsid w:val="001B68F6"/>
    <w:rsid w:val="001B6EC2"/>
    <w:rsid w:val="001C0BF5"/>
    <w:rsid w:val="001C1F52"/>
    <w:rsid w:val="001C2987"/>
    <w:rsid w:val="001C35CC"/>
    <w:rsid w:val="001C3F29"/>
    <w:rsid w:val="001C64E3"/>
    <w:rsid w:val="001D5A7F"/>
    <w:rsid w:val="001D69A4"/>
    <w:rsid w:val="001E5B48"/>
    <w:rsid w:val="001E7F12"/>
    <w:rsid w:val="001F2748"/>
    <w:rsid w:val="001F3301"/>
    <w:rsid w:val="001F37FD"/>
    <w:rsid w:val="001F39FC"/>
    <w:rsid w:val="001F3B96"/>
    <w:rsid w:val="001F5A76"/>
    <w:rsid w:val="001F7564"/>
    <w:rsid w:val="00201700"/>
    <w:rsid w:val="00202672"/>
    <w:rsid w:val="002047C3"/>
    <w:rsid w:val="00205ED5"/>
    <w:rsid w:val="002065E6"/>
    <w:rsid w:val="00210D44"/>
    <w:rsid w:val="0021155D"/>
    <w:rsid w:val="00215D96"/>
    <w:rsid w:val="00220C2E"/>
    <w:rsid w:val="00221F91"/>
    <w:rsid w:val="002225AC"/>
    <w:rsid w:val="002258AA"/>
    <w:rsid w:val="002264FC"/>
    <w:rsid w:val="0023080D"/>
    <w:rsid w:val="0023416C"/>
    <w:rsid w:val="002347BC"/>
    <w:rsid w:val="0023489A"/>
    <w:rsid w:val="0023584E"/>
    <w:rsid w:val="002374DE"/>
    <w:rsid w:val="002454A9"/>
    <w:rsid w:val="002467E3"/>
    <w:rsid w:val="00251248"/>
    <w:rsid w:val="002518B9"/>
    <w:rsid w:val="0025219C"/>
    <w:rsid w:val="002526E6"/>
    <w:rsid w:val="002562F7"/>
    <w:rsid w:val="00256309"/>
    <w:rsid w:val="00256332"/>
    <w:rsid w:val="00265A8A"/>
    <w:rsid w:val="002713D9"/>
    <w:rsid w:val="0027590D"/>
    <w:rsid w:val="00275B39"/>
    <w:rsid w:val="00277F6C"/>
    <w:rsid w:val="002810D2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0A1"/>
    <w:rsid w:val="002B3423"/>
    <w:rsid w:val="002B4805"/>
    <w:rsid w:val="002B57C9"/>
    <w:rsid w:val="002C3974"/>
    <w:rsid w:val="002C494E"/>
    <w:rsid w:val="002C6CF6"/>
    <w:rsid w:val="002D5E65"/>
    <w:rsid w:val="002E124D"/>
    <w:rsid w:val="002E14FD"/>
    <w:rsid w:val="002E159C"/>
    <w:rsid w:val="002E6019"/>
    <w:rsid w:val="002E6080"/>
    <w:rsid w:val="002F03DF"/>
    <w:rsid w:val="002F1CBB"/>
    <w:rsid w:val="002F4166"/>
    <w:rsid w:val="002F4CB2"/>
    <w:rsid w:val="00300773"/>
    <w:rsid w:val="00300B39"/>
    <w:rsid w:val="00303DB7"/>
    <w:rsid w:val="00304AA3"/>
    <w:rsid w:val="0030530B"/>
    <w:rsid w:val="00305F03"/>
    <w:rsid w:val="003060C0"/>
    <w:rsid w:val="0030684E"/>
    <w:rsid w:val="003120FB"/>
    <w:rsid w:val="003126D1"/>
    <w:rsid w:val="00317A18"/>
    <w:rsid w:val="00320E9C"/>
    <w:rsid w:val="003239B0"/>
    <w:rsid w:val="00323C87"/>
    <w:rsid w:val="00325761"/>
    <w:rsid w:val="00325FEF"/>
    <w:rsid w:val="0033085F"/>
    <w:rsid w:val="00332BDD"/>
    <w:rsid w:val="003337A9"/>
    <w:rsid w:val="00333970"/>
    <w:rsid w:val="00335AF8"/>
    <w:rsid w:val="00336B6E"/>
    <w:rsid w:val="00340169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6DBC"/>
    <w:rsid w:val="00380557"/>
    <w:rsid w:val="003813E4"/>
    <w:rsid w:val="0038157C"/>
    <w:rsid w:val="003878EE"/>
    <w:rsid w:val="00390D87"/>
    <w:rsid w:val="00393732"/>
    <w:rsid w:val="00394BC9"/>
    <w:rsid w:val="00396C13"/>
    <w:rsid w:val="003976BC"/>
    <w:rsid w:val="003A0738"/>
    <w:rsid w:val="003A3249"/>
    <w:rsid w:val="003A3CC4"/>
    <w:rsid w:val="003B2004"/>
    <w:rsid w:val="003B3B51"/>
    <w:rsid w:val="003B51B9"/>
    <w:rsid w:val="003B5B30"/>
    <w:rsid w:val="003B7B7B"/>
    <w:rsid w:val="003C0138"/>
    <w:rsid w:val="003C2807"/>
    <w:rsid w:val="003C52E7"/>
    <w:rsid w:val="003D48B8"/>
    <w:rsid w:val="003D6B49"/>
    <w:rsid w:val="003E1ED3"/>
    <w:rsid w:val="003E2C01"/>
    <w:rsid w:val="003E4B77"/>
    <w:rsid w:val="003E4F7C"/>
    <w:rsid w:val="003F1196"/>
    <w:rsid w:val="003F1871"/>
    <w:rsid w:val="003F721E"/>
    <w:rsid w:val="0040022D"/>
    <w:rsid w:val="00401147"/>
    <w:rsid w:val="004054F6"/>
    <w:rsid w:val="0040614E"/>
    <w:rsid w:val="0041089C"/>
    <w:rsid w:val="004109A0"/>
    <w:rsid w:val="004162BD"/>
    <w:rsid w:val="004178AF"/>
    <w:rsid w:val="00420F48"/>
    <w:rsid w:val="00423849"/>
    <w:rsid w:val="00426351"/>
    <w:rsid w:val="00427791"/>
    <w:rsid w:val="0044158B"/>
    <w:rsid w:val="004443B7"/>
    <w:rsid w:val="00450F94"/>
    <w:rsid w:val="00454DF7"/>
    <w:rsid w:val="00456DF8"/>
    <w:rsid w:val="00460ED2"/>
    <w:rsid w:val="00467681"/>
    <w:rsid w:val="00470737"/>
    <w:rsid w:val="004713D6"/>
    <w:rsid w:val="004718E9"/>
    <w:rsid w:val="00477FD1"/>
    <w:rsid w:val="004815DD"/>
    <w:rsid w:val="00482FAB"/>
    <w:rsid w:val="004839C5"/>
    <w:rsid w:val="004864AE"/>
    <w:rsid w:val="004917E6"/>
    <w:rsid w:val="00497F78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620D"/>
    <w:rsid w:val="004C1DBC"/>
    <w:rsid w:val="004C28BE"/>
    <w:rsid w:val="004C2E16"/>
    <w:rsid w:val="004D0361"/>
    <w:rsid w:val="004D2760"/>
    <w:rsid w:val="004D4E68"/>
    <w:rsid w:val="004D7F0A"/>
    <w:rsid w:val="004E1259"/>
    <w:rsid w:val="004E14D6"/>
    <w:rsid w:val="004E184E"/>
    <w:rsid w:val="004E4496"/>
    <w:rsid w:val="004E466B"/>
    <w:rsid w:val="004E61DA"/>
    <w:rsid w:val="004F1944"/>
    <w:rsid w:val="004F19C0"/>
    <w:rsid w:val="004F50B6"/>
    <w:rsid w:val="0050016B"/>
    <w:rsid w:val="0050177F"/>
    <w:rsid w:val="00501D5B"/>
    <w:rsid w:val="00502CEC"/>
    <w:rsid w:val="005048AA"/>
    <w:rsid w:val="0051017D"/>
    <w:rsid w:val="0051317F"/>
    <w:rsid w:val="00514A0C"/>
    <w:rsid w:val="00514FB8"/>
    <w:rsid w:val="00517673"/>
    <w:rsid w:val="00520069"/>
    <w:rsid w:val="00523591"/>
    <w:rsid w:val="0053095D"/>
    <w:rsid w:val="00533E3C"/>
    <w:rsid w:val="00537583"/>
    <w:rsid w:val="005428C4"/>
    <w:rsid w:val="00545F4B"/>
    <w:rsid w:val="00550400"/>
    <w:rsid w:val="0055092D"/>
    <w:rsid w:val="00550B42"/>
    <w:rsid w:val="00556CEE"/>
    <w:rsid w:val="00556DA1"/>
    <w:rsid w:val="00561213"/>
    <w:rsid w:val="0056466D"/>
    <w:rsid w:val="00565040"/>
    <w:rsid w:val="00565C04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2684"/>
    <w:rsid w:val="005E58C4"/>
    <w:rsid w:val="005E70A7"/>
    <w:rsid w:val="005F332F"/>
    <w:rsid w:val="0060048E"/>
    <w:rsid w:val="00600F3F"/>
    <w:rsid w:val="0060146C"/>
    <w:rsid w:val="00603D10"/>
    <w:rsid w:val="0060559C"/>
    <w:rsid w:val="00606DF1"/>
    <w:rsid w:val="00610B4A"/>
    <w:rsid w:val="00612048"/>
    <w:rsid w:val="00614DFD"/>
    <w:rsid w:val="00620F3B"/>
    <w:rsid w:val="006210D9"/>
    <w:rsid w:val="00622584"/>
    <w:rsid w:val="006237E9"/>
    <w:rsid w:val="00623B1B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6DE3"/>
    <w:rsid w:val="00657762"/>
    <w:rsid w:val="00661986"/>
    <w:rsid w:val="006648C6"/>
    <w:rsid w:val="00664D0F"/>
    <w:rsid w:val="00665060"/>
    <w:rsid w:val="00666A56"/>
    <w:rsid w:val="00673433"/>
    <w:rsid w:val="006751BA"/>
    <w:rsid w:val="006761B6"/>
    <w:rsid w:val="00677649"/>
    <w:rsid w:val="00680CE3"/>
    <w:rsid w:val="00681871"/>
    <w:rsid w:val="006830E8"/>
    <w:rsid w:val="00690B2D"/>
    <w:rsid w:val="006917ED"/>
    <w:rsid w:val="00693DD0"/>
    <w:rsid w:val="006950DB"/>
    <w:rsid w:val="006A472C"/>
    <w:rsid w:val="006A6059"/>
    <w:rsid w:val="006A64F2"/>
    <w:rsid w:val="006A6DA1"/>
    <w:rsid w:val="006A71A3"/>
    <w:rsid w:val="006B0276"/>
    <w:rsid w:val="006B1CE6"/>
    <w:rsid w:val="006B2BFB"/>
    <w:rsid w:val="006B336C"/>
    <w:rsid w:val="006B4727"/>
    <w:rsid w:val="006B4DD2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3CF1"/>
    <w:rsid w:val="006E6B55"/>
    <w:rsid w:val="006E707B"/>
    <w:rsid w:val="006F31CE"/>
    <w:rsid w:val="006F3429"/>
    <w:rsid w:val="006F5D37"/>
    <w:rsid w:val="006F678E"/>
    <w:rsid w:val="006F6A88"/>
    <w:rsid w:val="0070065F"/>
    <w:rsid w:val="0070288C"/>
    <w:rsid w:val="0070415C"/>
    <w:rsid w:val="0070510C"/>
    <w:rsid w:val="00707759"/>
    <w:rsid w:val="00714E3A"/>
    <w:rsid w:val="00715CF6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5296"/>
    <w:rsid w:val="00757762"/>
    <w:rsid w:val="00764431"/>
    <w:rsid w:val="007647DC"/>
    <w:rsid w:val="007656B8"/>
    <w:rsid w:val="00766CAE"/>
    <w:rsid w:val="00771091"/>
    <w:rsid w:val="00771D09"/>
    <w:rsid w:val="0077433B"/>
    <w:rsid w:val="007746A3"/>
    <w:rsid w:val="0077734C"/>
    <w:rsid w:val="00777DB6"/>
    <w:rsid w:val="00780524"/>
    <w:rsid w:val="00781C75"/>
    <w:rsid w:val="00786948"/>
    <w:rsid w:val="00794C21"/>
    <w:rsid w:val="00795A1D"/>
    <w:rsid w:val="0079660F"/>
    <w:rsid w:val="00796987"/>
    <w:rsid w:val="007A47EC"/>
    <w:rsid w:val="007A7732"/>
    <w:rsid w:val="007A7DD8"/>
    <w:rsid w:val="007B0747"/>
    <w:rsid w:val="007B21BF"/>
    <w:rsid w:val="007B484A"/>
    <w:rsid w:val="007B625D"/>
    <w:rsid w:val="007C70B6"/>
    <w:rsid w:val="007D5251"/>
    <w:rsid w:val="007D7CBF"/>
    <w:rsid w:val="007E235D"/>
    <w:rsid w:val="007E4BF7"/>
    <w:rsid w:val="007E5204"/>
    <w:rsid w:val="007F1888"/>
    <w:rsid w:val="007F348C"/>
    <w:rsid w:val="007F4EF2"/>
    <w:rsid w:val="00800C2B"/>
    <w:rsid w:val="00801574"/>
    <w:rsid w:val="00801CE1"/>
    <w:rsid w:val="008027E6"/>
    <w:rsid w:val="00806277"/>
    <w:rsid w:val="00806666"/>
    <w:rsid w:val="00807294"/>
    <w:rsid w:val="00811245"/>
    <w:rsid w:val="008169E4"/>
    <w:rsid w:val="00817053"/>
    <w:rsid w:val="0082387F"/>
    <w:rsid w:val="00825988"/>
    <w:rsid w:val="00827D7B"/>
    <w:rsid w:val="008306C7"/>
    <w:rsid w:val="0083677B"/>
    <w:rsid w:val="00837680"/>
    <w:rsid w:val="0084093C"/>
    <w:rsid w:val="00841AEE"/>
    <w:rsid w:val="00844FF3"/>
    <w:rsid w:val="00845C5C"/>
    <w:rsid w:val="008464FC"/>
    <w:rsid w:val="00846D96"/>
    <w:rsid w:val="008605CC"/>
    <w:rsid w:val="0086247F"/>
    <w:rsid w:val="00863EE9"/>
    <w:rsid w:val="00865082"/>
    <w:rsid w:val="008729E4"/>
    <w:rsid w:val="00873AA6"/>
    <w:rsid w:val="008762E5"/>
    <w:rsid w:val="00876505"/>
    <w:rsid w:val="008774E6"/>
    <w:rsid w:val="00880F57"/>
    <w:rsid w:val="0088117D"/>
    <w:rsid w:val="008868F8"/>
    <w:rsid w:val="0088781F"/>
    <w:rsid w:val="00890560"/>
    <w:rsid w:val="00890634"/>
    <w:rsid w:val="00890CD0"/>
    <w:rsid w:val="008945D3"/>
    <w:rsid w:val="00894D98"/>
    <w:rsid w:val="008A10A7"/>
    <w:rsid w:val="008A1BC4"/>
    <w:rsid w:val="008A1D87"/>
    <w:rsid w:val="008A62DE"/>
    <w:rsid w:val="008A7BEE"/>
    <w:rsid w:val="008B0FC3"/>
    <w:rsid w:val="008B248B"/>
    <w:rsid w:val="008B32CF"/>
    <w:rsid w:val="008B5A6F"/>
    <w:rsid w:val="008B7FC2"/>
    <w:rsid w:val="008C3F14"/>
    <w:rsid w:val="008C5982"/>
    <w:rsid w:val="008C6616"/>
    <w:rsid w:val="008C68B8"/>
    <w:rsid w:val="008D4EF4"/>
    <w:rsid w:val="008D5563"/>
    <w:rsid w:val="008D5F93"/>
    <w:rsid w:val="008D67AE"/>
    <w:rsid w:val="008D6A7B"/>
    <w:rsid w:val="008D71FD"/>
    <w:rsid w:val="008E2138"/>
    <w:rsid w:val="008E5115"/>
    <w:rsid w:val="008E560D"/>
    <w:rsid w:val="008E5EC2"/>
    <w:rsid w:val="008F68D8"/>
    <w:rsid w:val="008F7D2C"/>
    <w:rsid w:val="00900576"/>
    <w:rsid w:val="00901767"/>
    <w:rsid w:val="009037BF"/>
    <w:rsid w:val="00905809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441D4"/>
    <w:rsid w:val="00951A67"/>
    <w:rsid w:val="009529EA"/>
    <w:rsid w:val="00952FAC"/>
    <w:rsid w:val="0095532E"/>
    <w:rsid w:val="009553F7"/>
    <w:rsid w:val="009560B7"/>
    <w:rsid w:val="00956917"/>
    <w:rsid w:val="00960BF8"/>
    <w:rsid w:val="00961662"/>
    <w:rsid w:val="00961968"/>
    <w:rsid w:val="009632D6"/>
    <w:rsid w:val="00964DF2"/>
    <w:rsid w:val="009710D1"/>
    <w:rsid w:val="00972FD0"/>
    <w:rsid w:val="00977C3B"/>
    <w:rsid w:val="00981A0B"/>
    <w:rsid w:val="0098202E"/>
    <w:rsid w:val="00991240"/>
    <w:rsid w:val="00993DED"/>
    <w:rsid w:val="009957FF"/>
    <w:rsid w:val="009A1604"/>
    <w:rsid w:val="009A1B93"/>
    <w:rsid w:val="009A2E53"/>
    <w:rsid w:val="009A507E"/>
    <w:rsid w:val="009A59CE"/>
    <w:rsid w:val="009B1FEA"/>
    <w:rsid w:val="009B69F7"/>
    <w:rsid w:val="009C35C8"/>
    <w:rsid w:val="009C381C"/>
    <w:rsid w:val="009C426B"/>
    <w:rsid w:val="009C5588"/>
    <w:rsid w:val="009D2604"/>
    <w:rsid w:val="009D2A2E"/>
    <w:rsid w:val="009E0A27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EEE"/>
    <w:rsid w:val="00A137DC"/>
    <w:rsid w:val="00A146E7"/>
    <w:rsid w:val="00A17B07"/>
    <w:rsid w:val="00A23607"/>
    <w:rsid w:val="00A25BE1"/>
    <w:rsid w:val="00A3044A"/>
    <w:rsid w:val="00A3323C"/>
    <w:rsid w:val="00A34612"/>
    <w:rsid w:val="00A41ED7"/>
    <w:rsid w:val="00A4414E"/>
    <w:rsid w:val="00A451D2"/>
    <w:rsid w:val="00A46DA3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6742"/>
    <w:rsid w:val="00A67CD2"/>
    <w:rsid w:val="00A74145"/>
    <w:rsid w:val="00A75CB4"/>
    <w:rsid w:val="00A75E57"/>
    <w:rsid w:val="00A76154"/>
    <w:rsid w:val="00A77338"/>
    <w:rsid w:val="00A77A94"/>
    <w:rsid w:val="00A77BE0"/>
    <w:rsid w:val="00A77D1C"/>
    <w:rsid w:val="00A829B0"/>
    <w:rsid w:val="00A84F28"/>
    <w:rsid w:val="00A9049B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1DF"/>
    <w:rsid w:val="00AA5A51"/>
    <w:rsid w:val="00AA5A9D"/>
    <w:rsid w:val="00AA7670"/>
    <w:rsid w:val="00AB09C5"/>
    <w:rsid w:val="00AB2190"/>
    <w:rsid w:val="00AB2BA9"/>
    <w:rsid w:val="00AB3976"/>
    <w:rsid w:val="00AB42E0"/>
    <w:rsid w:val="00AB462F"/>
    <w:rsid w:val="00AB6D63"/>
    <w:rsid w:val="00AB7FD1"/>
    <w:rsid w:val="00AC0466"/>
    <w:rsid w:val="00AC57F4"/>
    <w:rsid w:val="00AC69D2"/>
    <w:rsid w:val="00AC7C48"/>
    <w:rsid w:val="00AD3D6A"/>
    <w:rsid w:val="00AD3F2D"/>
    <w:rsid w:val="00AD46A8"/>
    <w:rsid w:val="00AE1307"/>
    <w:rsid w:val="00AE19B2"/>
    <w:rsid w:val="00AE29C8"/>
    <w:rsid w:val="00AE452A"/>
    <w:rsid w:val="00AF169D"/>
    <w:rsid w:val="00AF21C0"/>
    <w:rsid w:val="00AF4000"/>
    <w:rsid w:val="00AF79B4"/>
    <w:rsid w:val="00B045AC"/>
    <w:rsid w:val="00B04E59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145"/>
    <w:rsid w:val="00B4042D"/>
    <w:rsid w:val="00B40A61"/>
    <w:rsid w:val="00B47EFA"/>
    <w:rsid w:val="00B50127"/>
    <w:rsid w:val="00B5373C"/>
    <w:rsid w:val="00B633C4"/>
    <w:rsid w:val="00B6673F"/>
    <w:rsid w:val="00B66757"/>
    <w:rsid w:val="00B66FEC"/>
    <w:rsid w:val="00B67035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14A7"/>
    <w:rsid w:val="00BA2676"/>
    <w:rsid w:val="00BA302C"/>
    <w:rsid w:val="00BB2206"/>
    <w:rsid w:val="00BB2777"/>
    <w:rsid w:val="00BB3AEA"/>
    <w:rsid w:val="00BC190C"/>
    <w:rsid w:val="00BC4F27"/>
    <w:rsid w:val="00BD1679"/>
    <w:rsid w:val="00BD4C96"/>
    <w:rsid w:val="00BD7F59"/>
    <w:rsid w:val="00BE25F3"/>
    <w:rsid w:val="00BE404A"/>
    <w:rsid w:val="00BE47E9"/>
    <w:rsid w:val="00BE593E"/>
    <w:rsid w:val="00BF17D4"/>
    <w:rsid w:val="00BF2D96"/>
    <w:rsid w:val="00C022FF"/>
    <w:rsid w:val="00C02592"/>
    <w:rsid w:val="00C05199"/>
    <w:rsid w:val="00C05375"/>
    <w:rsid w:val="00C11185"/>
    <w:rsid w:val="00C1527A"/>
    <w:rsid w:val="00C30725"/>
    <w:rsid w:val="00C30B30"/>
    <w:rsid w:val="00C3115C"/>
    <w:rsid w:val="00C312CD"/>
    <w:rsid w:val="00C34510"/>
    <w:rsid w:val="00C41B26"/>
    <w:rsid w:val="00C436E0"/>
    <w:rsid w:val="00C44199"/>
    <w:rsid w:val="00C47BB7"/>
    <w:rsid w:val="00C51A39"/>
    <w:rsid w:val="00C560D5"/>
    <w:rsid w:val="00C60549"/>
    <w:rsid w:val="00C6089A"/>
    <w:rsid w:val="00C610AA"/>
    <w:rsid w:val="00C623A7"/>
    <w:rsid w:val="00C6361A"/>
    <w:rsid w:val="00C7318E"/>
    <w:rsid w:val="00C73FE3"/>
    <w:rsid w:val="00C776C0"/>
    <w:rsid w:val="00C8012C"/>
    <w:rsid w:val="00C80462"/>
    <w:rsid w:val="00C80F57"/>
    <w:rsid w:val="00C827C2"/>
    <w:rsid w:val="00C84CE1"/>
    <w:rsid w:val="00C87784"/>
    <w:rsid w:val="00C9349E"/>
    <w:rsid w:val="00C94962"/>
    <w:rsid w:val="00C95D47"/>
    <w:rsid w:val="00C96EDD"/>
    <w:rsid w:val="00CA1635"/>
    <w:rsid w:val="00CA2509"/>
    <w:rsid w:val="00CA3BFD"/>
    <w:rsid w:val="00CA758E"/>
    <w:rsid w:val="00CB615D"/>
    <w:rsid w:val="00CB7301"/>
    <w:rsid w:val="00CB74AB"/>
    <w:rsid w:val="00CB783B"/>
    <w:rsid w:val="00CC1BC0"/>
    <w:rsid w:val="00CC2E28"/>
    <w:rsid w:val="00CC3B7E"/>
    <w:rsid w:val="00CC3CFB"/>
    <w:rsid w:val="00CC3FC4"/>
    <w:rsid w:val="00CC4887"/>
    <w:rsid w:val="00CC4C92"/>
    <w:rsid w:val="00CC5A18"/>
    <w:rsid w:val="00CC7180"/>
    <w:rsid w:val="00CD77E8"/>
    <w:rsid w:val="00CE0CE9"/>
    <w:rsid w:val="00D034AC"/>
    <w:rsid w:val="00D0550C"/>
    <w:rsid w:val="00D10592"/>
    <w:rsid w:val="00D12AC5"/>
    <w:rsid w:val="00D13484"/>
    <w:rsid w:val="00D1389A"/>
    <w:rsid w:val="00D159C4"/>
    <w:rsid w:val="00D16443"/>
    <w:rsid w:val="00D16CF4"/>
    <w:rsid w:val="00D20500"/>
    <w:rsid w:val="00D227BF"/>
    <w:rsid w:val="00D22D53"/>
    <w:rsid w:val="00D23D67"/>
    <w:rsid w:val="00D23F8B"/>
    <w:rsid w:val="00D25F7E"/>
    <w:rsid w:val="00D325AC"/>
    <w:rsid w:val="00D32D21"/>
    <w:rsid w:val="00D42966"/>
    <w:rsid w:val="00D4539A"/>
    <w:rsid w:val="00D51378"/>
    <w:rsid w:val="00D53EE8"/>
    <w:rsid w:val="00D56CC0"/>
    <w:rsid w:val="00D575C5"/>
    <w:rsid w:val="00D5799C"/>
    <w:rsid w:val="00D607E6"/>
    <w:rsid w:val="00D61DE7"/>
    <w:rsid w:val="00D66913"/>
    <w:rsid w:val="00D66AF2"/>
    <w:rsid w:val="00D714FD"/>
    <w:rsid w:val="00D71D3F"/>
    <w:rsid w:val="00D72014"/>
    <w:rsid w:val="00D734E3"/>
    <w:rsid w:val="00D749B3"/>
    <w:rsid w:val="00D770F8"/>
    <w:rsid w:val="00D77124"/>
    <w:rsid w:val="00D832CB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C0687"/>
    <w:rsid w:val="00DD0CDD"/>
    <w:rsid w:val="00DD238C"/>
    <w:rsid w:val="00DD698C"/>
    <w:rsid w:val="00DD6C1C"/>
    <w:rsid w:val="00DD796F"/>
    <w:rsid w:val="00DE1853"/>
    <w:rsid w:val="00DE485F"/>
    <w:rsid w:val="00DE65E9"/>
    <w:rsid w:val="00DE785F"/>
    <w:rsid w:val="00DF0326"/>
    <w:rsid w:val="00DF2BC9"/>
    <w:rsid w:val="00DF49FC"/>
    <w:rsid w:val="00DF658E"/>
    <w:rsid w:val="00DF7E94"/>
    <w:rsid w:val="00E0626D"/>
    <w:rsid w:val="00E07E5F"/>
    <w:rsid w:val="00E11B5B"/>
    <w:rsid w:val="00E140C5"/>
    <w:rsid w:val="00E173A5"/>
    <w:rsid w:val="00E20AFF"/>
    <w:rsid w:val="00E21F7D"/>
    <w:rsid w:val="00E222BC"/>
    <w:rsid w:val="00E26052"/>
    <w:rsid w:val="00E27626"/>
    <w:rsid w:val="00E30F47"/>
    <w:rsid w:val="00E31868"/>
    <w:rsid w:val="00E33D73"/>
    <w:rsid w:val="00E34BC1"/>
    <w:rsid w:val="00E35C1F"/>
    <w:rsid w:val="00E40C0C"/>
    <w:rsid w:val="00E45703"/>
    <w:rsid w:val="00E46029"/>
    <w:rsid w:val="00E51AA9"/>
    <w:rsid w:val="00E56BF3"/>
    <w:rsid w:val="00E5704E"/>
    <w:rsid w:val="00E5730C"/>
    <w:rsid w:val="00E60310"/>
    <w:rsid w:val="00E604D2"/>
    <w:rsid w:val="00E66348"/>
    <w:rsid w:val="00E70440"/>
    <w:rsid w:val="00E71133"/>
    <w:rsid w:val="00E73E32"/>
    <w:rsid w:val="00E76F75"/>
    <w:rsid w:val="00E76FC1"/>
    <w:rsid w:val="00E8047F"/>
    <w:rsid w:val="00E80AC7"/>
    <w:rsid w:val="00E80FD2"/>
    <w:rsid w:val="00E83292"/>
    <w:rsid w:val="00E8594A"/>
    <w:rsid w:val="00E93D1B"/>
    <w:rsid w:val="00E94CE2"/>
    <w:rsid w:val="00E97A62"/>
    <w:rsid w:val="00EA0016"/>
    <w:rsid w:val="00EA1B5A"/>
    <w:rsid w:val="00EA1EA1"/>
    <w:rsid w:val="00EA41C1"/>
    <w:rsid w:val="00EA4769"/>
    <w:rsid w:val="00EA7763"/>
    <w:rsid w:val="00EC432D"/>
    <w:rsid w:val="00EC4C58"/>
    <w:rsid w:val="00EC7A3E"/>
    <w:rsid w:val="00ED0223"/>
    <w:rsid w:val="00ED06AD"/>
    <w:rsid w:val="00ED437E"/>
    <w:rsid w:val="00ED4F71"/>
    <w:rsid w:val="00ED5CED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15BBC"/>
    <w:rsid w:val="00F16FB9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1B2A"/>
    <w:rsid w:val="00F6596E"/>
    <w:rsid w:val="00F67216"/>
    <w:rsid w:val="00F71B5A"/>
    <w:rsid w:val="00F8112A"/>
    <w:rsid w:val="00F8381B"/>
    <w:rsid w:val="00F84F3B"/>
    <w:rsid w:val="00F85766"/>
    <w:rsid w:val="00F9120C"/>
    <w:rsid w:val="00F9146A"/>
    <w:rsid w:val="00F928D5"/>
    <w:rsid w:val="00F950C1"/>
    <w:rsid w:val="00FA0AA1"/>
    <w:rsid w:val="00FA13AB"/>
    <w:rsid w:val="00FA1535"/>
    <w:rsid w:val="00FA4AE5"/>
    <w:rsid w:val="00FA5E32"/>
    <w:rsid w:val="00FA72C7"/>
    <w:rsid w:val="00FB2FFE"/>
    <w:rsid w:val="00FB339E"/>
    <w:rsid w:val="00FC4F5F"/>
    <w:rsid w:val="00FC6DB9"/>
    <w:rsid w:val="00FD353F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069641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Kiemels2">
    <w:name w:val="Strong"/>
    <w:basedOn w:val="Bekezdsalapbettpusa"/>
    <w:uiPriority w:val="22"/>
    <w:qFormat/>
    <w:locked/>
    <w:rsid w:val="00DD7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E78F1-CAD3-4E2E-B53B-EEA01C0A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3725</Words>
  <Characters>25708</Characters>
  <Application>Microsoft Office Word</Application>
  <DocSecurity>0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29375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Lajkó Erzsébet Márta</cp:lastModifiedBy>
  <cp:revision>7</cp:revision>
  <cp:lastPrinted>2018-01-17T11:36:00Z</cp:lastPrinted>
  <dcterms:created xsi:type="dcterms:W3CDTF">2024-01-24T09:01:00Z</dcterms:created>
  <dcterms:modified xsi:type="dcterms:W3CDTF">2024-01-25T12:58:00Z</dcterms:modified>
</cp:coreProperties>
</file>