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7B19D7">
        <w:rPr>
          <w:rFonts w:ascii="Arial" w:hAnsi="Arial" w:cs="Arial"/>
          <w:sz w:val="24"/>
          <w:szCs w:val="24"/>
        </w:rPr>
        <w:t>200-2</w:t>
      </w:r>
      <w:r w:rsidR="00AC69D2">
        <w:rPr>
          <w:rFonts w:ascii="Arial" w:hAnsi="Arial" w:cs="Arial"/>
          <w:sz w:val="24"/>
          <w:szCs w:val="24"/>
        </w:rPr>
        <w:t>/201</w:t>
      </w:r>
      <w:r w:rsidR="007B19D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2017. február 23-ai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7B19D7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Gombos József és Gombos Józsefné felajánlása ingatlanának eladására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7B19D7" w:rsidRDefault="007B19D7"/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7B19D7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940340" w:rsidRPr="00161756" w:rsidRDefault="007B19D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Gombos József és Gombos Józsefné keszthelyi lakosoktól felajánlás érkezett Hévíz Város Önkormányzathoz a tulajdonukat képező Hévíz (külterület) 013/7. hrsz-ú ingatlan Önkormányzat általi megvásárlására vonatkozóan</w:t>
      </w:r>
      <w:r w:rsidR="00940340" w:rsidRPr="00161756">
        <w:rPr>
          <w:sz w:val="22"/>
          <w:szCs w:val="22"/>
        </w:rPr>
        <w:t>.</w:t>
      </w:r>
    </w:p>
    <w:p w:rsidR="007B19D7" w:rsidRPr="00161756" w:rsidRDefault="007B19D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7B19D7" w:rsidRPr="00161756" w:rsidRDefault="007B19D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A nevezett ingatlan Hévíz város külterületén található, 2 ha 9772 m² nagyságú, „szántó” és „rét” művelési ágú terület, amely Gombos József és Gombos Józsefné 1/2 -1/2 arányú tulajdonát képezi. Az ingatlant terheli az E.ON Dél-dunántúli Áramhálózati Zrt. javára 1333  m² nagyságú területre bejegyzett vezetékjog. Továbbá az ingatlan tulajdoni lapján szerepel a „védett természeti terület (láp)” jogi jelleg bejegyzés.</w:t>
      </w:r>
    </w:p>
    <w:p w:rsidR="000A6A6F" w:rsidRPr="00161756" w:rsidRDefault="000A6A6F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0A6A6F" w:rsidRPr="00161756" w:rsidRDefault="000A6A6F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 </w:t>
      </w:r>
      <w:r w:rsidRPr="00161756">
        <w:rPr>
          <w:b/>
          <w:sz w:val="22"/>
          <w:szCs w:val="22"/>
        </w:rPr>
        <w:t>természet védelméről szóló 1996. évi LIII. törvény</w:t>
      </w:r>
      <w:r w:rsidRPr="00161756">
        <w:rPr>
          <w:sz w:val="22"/>
          <w:szCs w:val="22"/>
        </w:rPr>
        <w:t xml:space="preserve"> szerint a védett természeti területeket és értékeket a védelem kiterjedtségének, céljának, hazai és nemzetközi jelentőségének megfelelően lehet csoportosítani. A törvény erejénél fogva („ex lege”) védett természeti területek a </w:t>
      </w:r>
      <w:r w:rsidRPr="00161756">
        <w:rPr>
          <w:b/>
          <w:sz w:val="22"/>
          <w:szCs w:val="22"/>
        </w:rPr>
        <w:t>természetvédelmi területnek minősülő lápok</w:t>
      </w:r>
      <w:r w:rsidRPr="00161756">
        <w:rPr>
          <w:sz w:val="22"/>
          <w:szCs w:val="22"/>
        </w:rPr>
        <w:t>.</w:t>
      </w:r>
    </w:p>
    <w:p w:rsidR="008C5EAF" w:rsidRDefault="008C5EAF" w:rsidP="008C5EAF">
      <w:pPr>
        <w:jc w:val="both"/>
        <w:rPr>
          <w:rFonts w:ascii="Arial" w:hAnsi="Arial" w:cs="Arial"/>
        </w:rPr>
      </w:pPr>
    </w:p>
    <w:p w:rsidR="008C5EAF" w:rsidRPr="00437036" w:rsidRDefault="008C5EAF" w:rsidP="008C5EA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37036">
        <w:rPr>
          <w:rFonts w:ascii="Arial" w:hAnsi="Arial" w:cs="Arial"/>
        </w:rPr>
        <w:t xml:space="preserve"> </w:t>
      </w:r>
      <w:r w:rsidRPr="00437036">
        <w:rPr>
          <w:rFonts w:ascii="Arial" w:hAnsi="Arial" w:cs="Arial"/>
          <w:b/>
        </w:rPr>
        <w:t>láp</w:t>
      </w:r>
      <w:r w:rsidRPr="00437036">
        <w:rPr>
          <w:rFonts w:ascii="Arial" w:hAnsi="Arial" w:cs="Arial"/>
        </w:rPr>
        <w:t xml:space="preserve"> olyan földterület, amely tartósan vagy időszakosan víz hatásának kitett, illetőleg amelynek talaja időszakosan vízzel telített, és</w:t>
      </w:r>
    </w:p>
    <w:p w:rsidR="008C5EAF" w:rsidRPr="00437036" w:rsidRDefault="008C5EAF" w:rsidP="008C5EAF">
      <w:pPr>
        <w:ind w:firstLine="204"/>
        <w:jc w:val="both"/>
        <w:rPr>
          <w:rFonts w:ascii="Arial" w:hAnsi="Arial" w:cs="Arial"/>
        </w:rPr>
      </w:pPr>
      <w:r w:rsidRPr="00437036">
        <w:rPr>
          <w:rFonts w:ascii="Arial" w:hAnsi="Arial" w:cs="Arial"/>
          <w:i/>
          <w:iCs/>
        </w:rPr>
        <w:t xml:space="preserve">a) </w:t>
      </w:r>
      <w:r w:rsidRPr="00437036">
        <w:rPr>
          <w:rFonts w:ascii="Arial" w:hAnsi="Arial" w:cs="Arial"/>
        </w:rPr>
        <w:t>amelynek jelentős részén lápi életközösség, illetve lápi élő szervezetek találhatók, vagy</w:t>
      </w:r>
    </w:p>
    <w:p w:rsidR="008C5EAF" w:rsidRPr="00437036" w:rsidRDefault="008C5EAF" w:rsidP="008C5EAF">
      <w:pPr>
        <w:ind w:firstLine="204"/>
        <w:jc w:val="both"/>
        <w:rPr>
          <w:rFonts w:ascii="Arial" w:hAnsi="Arial" w:cs="Arial"/>
        </w:rPr>
      </w:pPr>
      <w:r w:rsidRPr="00437036">
        <w:rPr>
          <w:rFonts w:ascii="Arial" w:hAnsi="Arial" w:cs="Arial"/>
          <w:i/>
          <w:iCs/>
        </w:rPr>
        <w:t xml:space="preserve">b) </w:t>
      </w:r>
      <w:r w:rsidRPr="00437036">
        <w:rPr>
          <w:rFonts w:ascii="Arial" w:hAnsi="Arial" w:cs="Arial"/>
        </w:rPr>
        <w:t>talaját változó kifejlődésű tőzegtartalom, illetve tőzegképződési folyamatok jellemzik</w:t>
      </w:r>
      <w:r>
        <w:rPr>
          <w:rFonts w:ascii="Arial" w:hAnsi="Arial" w:cs="Arial"/>
        </w:rPr>
        <w:t>.</w:t>
      </w:r>
    </w:p>
    <w:p w:rsidR="00161756" w:rsidRPr="00161756" w:rsidRDefault="00161756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161756" w:rsidRPr="008C5EAF" w:rsidRDefault="00161756" w:rsidP="00161756">
      <w:pPr>
        <w:spacing w:after="0"/>
        <w:jc w:val="both"/>
        <w:outlineLvl w:val="0"/>
        <w:rPr>
          <w:rFonts w:ascii="Arial" w:hAnsi="Arial" w:cs="Arial"/>
          <w:b/>
          <w:bCs/>
          <w:kern w:val="36"/>
          <w:lang w:eastAsia="hu-HU"/>
        </w:rPr>
      </w:pPr>
      <w:r w:rsidRPr="00161756">
        <w:rPr>
          <w:rFonts w:ascii="Arial" w:hAnsi="Arial" w:cs="Arial"/>
          <w:b/>
          <w:bCs/>
          <w:kern w:val="36"/>
          <w:lang w:eastAsia="hu-HU"/>
        </w:rPr>
        <w:t>Természetvédelmi területekre vonatkozó szabályok</w:t>
      </w:r>
    </w:p>
    <w:p w:rsidR="008C5EAF" w:rsidRPr="00161756" w:rsidRDefault="008C5EAF" w:rsidP="00161756">
      <w:pPr>
        <w:spacing w:after="0"/>
        <w:jc w:val="both"/>
        <w:outlineLvl w:val="0"/>
        <w:rPr>
          <w:rFonts w:ascii="Arial" w:hAnsi="Arial" w:cs="Arial"/>
          <w:b/>
          <w:bCs/>
          <w:color w:val="162D61"/>
          <w:kern w:val="36"/>
          <w:lang w:eastAsia="hu-HU"/>
        </w:rPr>
      </w:pP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 xml:space="preserve">Természetvédelmi területeink őrzik hazánk természeti értékeinek még megmaradt emlékeit. A fennmaradt, sokszor kis kiterjedésű természetes élőhelyfoltok igen érzékenyek a környezeti hatásokra. Túlzott zavarásuk, nem természetvédelmi célú igénybevételük sok esetben azok pusztuláshoz, leromlásához vezet. 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Fontos megjegyezni, hogy természetvédelmi területeink elsődleges célja a természetes folyamatok zavartalan működésének biztosítása, a védett értékek megóvása. Az emberi tevékenységek, sportolási és kikapcsolódási igények kielégítése másodlagosak, azok csak az elsődleges természetvédelmi célok sérülése nélkül folytathatók</w:t>
      </w:r>
    </w:p>
    <w:p w:rsidR="00161756" w:rsidRDefault="00161756" w:rsidP="00161756">
      <w:pPr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b/>
          <w:bCs/>
          <w:lang w:eastAsia="hu-HU"/>
        </w:rPr>
        <w:t>Védett természeti területekre vonatkozó jogszabályok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Természetvédelmi területek jogi szabályozása kapcsán elsőnek kell említeni a természet védelméről szóló 1996. évi LIII. törvényt. Ez a jogszabály rendelkezik a védett területeken engedélyköteles tevékenységek köréről, a megengedett, valamint tiltott magatartásformákról. </w:t>
      </w:r>
    </w:p>
    <w:p w:rsidR="00161756" w:rsidRDefault="00161756" w:rsidP="00161756">
      <w:pPr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b/>
          <w:bCs/>
          <w:lang w:eastAsia="hu-HU"/>
        </w:rPr>
        <w:t>Védett természeti területen tilos: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A kijelölt és kiépített tűzrakó helyek kivételével tüzet gyújtani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Járművel védett területen engedély nélkül közlekedni (gépjármű, motorkerékpár, quad, kerékpár)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Növényeket, állatokat gyűjteni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A geológiai képződményekben kárt tenni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Szemetelni</w:t>
      </w:r>
    </w:p>
    <w:p w:rsidR="00161756" w:rsidRDefault="00161756" w:rsidP="00161756">
      <w:pPr>
        <w:spacing w:after="0"/>
        <w:jc w:val="both"/>
        <w:rPr>
          <w:rFonts w:ascii="Arial" w:hAnsi="Arial" w:cs="Arial"/>
          <w:b/>
          <w:bCs/>
          <w:lang w:eastAsia="hu-HU"/>
        </w:rPr>
      </w:pP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b/>
          <w:bCs/>
          <w:lang w:eastAsia="hu-HU"/>
        </w:rPr>
        <w:t>Engedélyköteles tevékenységek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Az alább felsorolt tevékenységek esetében az engedélykérelmet a Főpolgármesteri Hivatalhoz, mint elsőfokú természetvédelmi hatósághoz kell benyújtani.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kutatás, gyűjtés, kísérlet végzéséhez, kivéve, ha a kutatást országos jelentőségű védett természeti területen az igazgatóság végzi;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gyep feltöréséhez, felújításához, felülvetéséhez, öntözéséhez, legeltetéshez, kaszáláshoz;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terület helyreállításához, jellegének, használatának megváltoztatásához;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termőföldnek nem minősülő földterület rendeltetésének, termőföld művelési ágának a megváltoztatásához;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az erdőről és az erdő védelméről szóló törvény hatálya alá nem tartozó fa, facsoport, fasor, fás legelőn lévő fa kivágásához, telepítéséhez;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nád és más vízi növényzet égetéséhez, irtásához, aratásához, gyep- és parlagterület, tarló és szalma égetéséhez, valamint - a kijelölt és kiépített tűzrakó hely kivételével - erdőterületen tűz gyújtásához;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növényvédő szerek, bioregulátorok és egyéb irtószerek, valamint a talaj termékenységét befolyásoló vegyi anyagok felhasználásához;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 horgászathoz;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közösségi és tömegsportesemények rendezéséhez, sportversenyhez, technikai jellegű sporttevékenység folytatásához;</w:t>
      </w:r>
    </w:p>
    <w:p w:rsidR="00161756" w:rsidRPr="00161756" w:rsidRDefault="00161756" w:rsidP="00161756">
      <w:pPr>
        <w:spacing w:after="0"/>
        <w:ind w:left="284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         járművel történő közlekedéshez, az arra kijelölt utak, az engedélyezett tevékenységek végzéséhez szükséges munkagépek, valamint a feladatukat ellátó - külön jogszabályokban erre feljogosított - személyek járművei kivételével.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 </w:t>
      </w:r>
    </w:p>
    <w:p w:rsidR="00161756" w:rsidRDefault="00161756" w:rsidP="00161756">
      <w:pPr>
        <w:spacing w:after="0"/>
        <w:jc w:val="both"/>
        <w:rPr>
          <w:rFonts w:ascii="Arial" w:hAnsi="Arial" w:cs="Arial"/>
          <w:b/>
          <w:lang w:eastAsia="hu-HU"/>
        </w:rPr>
      </w:pPr>
      <w:r w:rsidRPr="00161756">
        <w:rPr>
          <w:rFonts w:ascii="Arial" w:hAnsi="Arial" w:cs="Arial"/>
          <w:b/>
          <w:lang w:eastAsia="hu-HU"/>
        </w:rPr>
        <w:t>Az alábbi tevékenységek engedélyezése során a természetvédelmi hatóság szakható</w:t>
      </w:r>
      <w:r w:rsidR="008C5EAF">
        <w:rPr>
          <w:rFonts w:ascii="Arial" w:hAnsi="Arial" w:cs="Arial"/>
          <w:b/>
          <w:lang w:eastAsia="hu-HU"/>
        </w:rPr>
        <w:t>ságként működik közre: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 · földrészlet megosztása, alakjának, terjedelmének megváltoztatása;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telekalakítás, építés, létesítés és használatbavétel;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nyomvonalas létesítmény és földmű építése;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ipari, mezőgazdasági, szolgáltatási tevékenység végzéséhez szükséges telep létesítésének engedélyezése során;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külön jogszabályban meghatározott esetben az erdészeti, vadászati, halászati hatósági eljárásokban;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bányatelek megállapításának, módosításának, az ásványi nyersanyag feltárására, kitermelésére, valamint a meddőhányó hasznosítására, a kitermelés szünetelésére, a bánya bezárására vonatkozó műszak üzemi tervek és a tájrendezési terv jóváhagyásának, továbbá a bányászati létesítmények építésének és üzembe helyezésének engedélyezésekor;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termőföld más célú hasznosításának;</w:t>
      </w:r>
    </w:p>
    <w:p w:rsidR="00161756" w:rsidRPr="00161756" w:rsidRDefault="00161756" w:rsidP="00161756">
      <w:pPr>
        <w:spacing w:after="0"/>
        <w:jc w:val="both"/>
        <w:rPr>
          <w:rFonts w:ascii="Arial" w:hAnsi="Arial" w:cs="Arial"/>
          <w:lang w:eastAsia="hu-HU"/>
        </w:rPr>
      </w:pPr>
      <w:r w:rsidRPr="00161756">
        <w:rPr>
          <w:rFonts w:ascii="Arial" w:hAnsi="Arial" w:cs="Arial"/>
          <w:lang w:eastAsia="hu-HU"/>
        </w:rPr>
        <w:t>· külön jogszabályban meghatározott veszélyes anyag átszállítása, tárolása során.</w:t>
      </w:r>
    </w:p>
    <w:p w:rsidR="00161756" w:rsidRDefault="00161756" w:rsidP="00161756">
      <w:pPr>
        <w:spacing w:after="0"/>
        <w:jc w:val="both"/>
        <w:rPr>
          <w:rFonts w:ascii="Arial" w:eastAsiaTheme="minorHAnsi" w:hAnsi="Arial" w:cs="Arial"/>
        </w:rPr>
      </w:pPr>
    </w:p>
    <w:p w:rsidR="008C5EAF" w:rsidRPr="00526E16" w:rsidRDefault="008C5EAF" w:rsidP="008C5EAF">
      <w:pPr>
        <w:spacing w:after="0"/>
        <w:jc w:val="both"/>
        <w:rPr>
          <w:rFonts w:ascii="Arial" w:hAnsi="Arial" w:cs="Arial"/>
        </w:rPr>
      </w:pPr>
      <w:r w:rsidRPr="008C5EAF">
        <w:rPr>
          <w:rFonts w:ascii="Arial" w:hAnsi="Arial" w:cs="Arial"/>
          <w:bCs/>
        </w:rPr>
        <w:t xml:space="preserve">A törvény </w:t>
      </w:r>
      <w:r w:rsidRPr="008C5EAF">
        <w:rPr>
          <w:rFonts w:ascii="Arial" w:hAnsi="Arial" w:cs="Arial"/>
          <w:b/>
          <w:bCs/>
        </w:rPr>
        <w:t xml:space="preserve">41. § </w:t>
      </w:r>
      <w:r w:rsidRPr="008C5EAF">
        <w:rPr>
          <w:rFonts w:ascii="Arial" w:hAnsi="Arial" w:cs="Arial"/>
          <w:b/>
        </w:rPr>
        <w:t>(1)</w:t>
      </w:r>
      <w:r w:rsidRPr="00526E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bekezdése szerint a</w:t>
      </w:r>
      <w:r w:rsidRPr="00526E16">
        <w:rPr>
          <w:rFonts w:ascii="Arial" w:hAnsi="Arial" w:cs="Arial"/>
        </w:rPr>
        <w:t xml:space="preserve"> tulajdonos, vagyonkezelő, használó köteles tűrni a természetvédelmi hatóságnak, az igazgatóságnak, illetve a természetvédelmi kezelést ellátó szervnek a védett természeti érték, terület, valamint egyedi tájérték oltalma, tudományos megismerése, bemutatása érdekében végzett tevékenységét, így különösen a természetvédelmi érték vagy egyedi tájérték megközelítését, bemutatását, őrzését, állapotának ellenőrzését, és a hatósági tájékoztató, valamint eligazító táblák elhelyezését.</w:t>
      </w:r>
    </w:p>
    <w:p w:rsidR="008C5EAF" w:rsidRPr="00526E16" w:rsidRDefault="008C5EAF" w:rsidP="008C5EAF">
      <w:pPr>
        <w:spacing w:after="0"/>
        <w:jc w:val="both"/>
        <w:rPr>
          <w:rFonts w:ascii="Arial" w:hAnsi="Arial" w:cs="Arial"/>
        </w:rPr>
      </w:pPr>
      <w:r w:rsidRPr="008C5EAF">
        <w:rPr>
          <w:rFonts w:ascii="Arial" w:hAnsi="Arial" w:cs="Arial"/>
          <w:b/>
        </w:rPr>
        <w:t>(2)</w:t>
      </w:r>
      <w:r w:rsidRPr="00526E16">
        <w:rPr>
          <w:rFonts w:ascii="Arial" w:hAnsi="Arial" w:cs="Arial"/>
        </w:rPr>
        <w:t xml:space="preserve"> A tulajdonos, vagyonkezelő, használó köteles tűrni, hogy a természetvédelmi hatóság, az igazgatóság, illetve a természetvédelmi kezelést ellátó szerv a természeti érték oltalma, tudományos megismerése érdekében ingatlanát időlegesen használja, arra használati jogot szerezzen, vagy tulajdonjogát egyébként korlátozza.</w:t>
      </w:r>
    </w:p>
    <w:p w:rsidR="008C5EAF" w:rsidRDefault="008C5EAF" w:rsidP="00161756">
      <w:pPr>
        <w:spacing w:after="0"/>
        <w:jc w:val="both"/>
        <w:rPr>
          <w:rFonts w:ascii="Arial" w:eastAsiaTheme="minorHAnsi" w:hAnsi="Arial" w:cs="Arial"/>
        </w:rPr>
      </w:pPr>
    </w:p>
    <w:p w:rsidR="00161756" w:rsidRPr="00161756" w:rsidRDefault="00161756" w:rsidP="00161756">
      <w:pPr>
        <w:spacing w:after="0"/>
        <w:jc w:val="both"/>
        <w:rPr>
          <w:rFonts w:ascii="Arial" w:eastAsiaTheme="minorHAnsi" w:hAnsi="Arial" w:cs="Arial"/>
          <w:b/>
        </w:rPr>
      </w:pPr>
      <w:r w:rsidRPr="008C5EAF">
        <w:rPr>
          <w:rFonts w:ascii="Arial" w:eastAsiaTheme="minorHAnsi" w:hAnsi="Arial" w:cs="Arial"/>
          <w:b/>
        </w:rPr>
        <w:t>Fentiek alapján tehát a „láp” megjelölésű ingatlanok használata erősen korlátozott.</w:t>
      </w:r>
    </w:p>
    <w:p w:rsidR="00161756" w:rsidRPr="00161756" w:rsidRDefault="00161756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61756">
        <w:rPr>
          <w:b/>
          <w:sz w:val="22"/>
          <w:szCs w:val="22"/>
        </w:rPr>
        <w:t>Magyarország alaptörvényének 38. cikk (1) bekezdése</w:t>
      </w:r>
      <w:r w:rsidRPr="00161756">
        <w:rPr>
          <w:sz w:val="22"/>
          <w:szCs w:val="22"/>
        </w:rPr>
        <w:t xml:space="preserve"> szerint az állam és a helyi önkormányzatok tulajdona nemzeti vagyon. A nemzeti vagyon kezelésének és védelmének célja a közérdek szolgálata, a közös szükségletek kielégítése és a természeti erőforrások megóvása, valamint a jövő nemzedékek szükségleteinek figyelembevétele. A nemzeti vagyon megőrzésének, védelmének és a nemzeti vagyonnal való felelős gazdálkodásnak a követelményeit sarkalatos törvény határozza meg.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161756" w:rsidRDefault="00940340" w:rsidP="00161756">
      <w:pPr>
        <w:pStyle w:val="Szvegtrzs3"/>
        <w:spacing w:line="276" w:lineRule="auto"/>
        <w:ind w:left="20" w:right="20" w:hanging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Alaptörvényben nevezett „sarkalatos törvény” </w:t>
      </w:r>
      <w:r w:rsidRPr="00161756">
        <w:rPr>
          <w:b/>
          <w:sz w:val="22"/>
          <w:szCs w:val="22"/>
        </w:rPr>
        <w:t>a nemzeti vagyonról szóló 2011. évi CXCVI. törvény</w:t>
      </w:r>
      <w:r w:rsidRPr="00161756">
        <w:rPr>
          <w:sz w:val="22"/>
          <w:szCs w:val="22"/>
        </w:rPr>
        <w:t xml:space="preserve">. A törvény </w:t>
      </w:r>
      <w:r w:rsidRPr="00161756">
        <w:rPr>
          <w:b/>
          <w:sz w:val="22"/>
          <w:szCs w:val="22"/>
        </w:rPr>
        <w:t>7. § (1) bekezdése</w:t>
      </w:r>
      <w:r w:rsidRPr="00161756">
        <w:rPr>
          <w:sz w:val="22"/>
          <w:szCs w:val="22"/>
        </w:rPr>
        <w:t xml:space="preserve"> szerint a nemzeti vagyon alapvető rendeltetése a közfeladat ellátásának biztosítása, ideértve a lakosság közszolgáltatásokkal való ellátását és e feladatok ellátásához szükséges infrastruktúra biztosítását</w:t>
      </w:r>
      <w:r w:rsidRPr="00161756">
        <w:rPr>
          <w:b/>
          <w:sz w:val="22"/>
          <w:szCs w:val="22"/>
        </w:rPr>
        <w:t>. A nemzeti vagyonnal felelős módon, rendeltetésszerűen kell gazdálkodni.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(2) A nemzeti vagyongazdálkodás feladata a nemzeti vagyon rendeltetésének megfelelő, az állam, </w:t>
      </w:r>
      <w:r w:rsidRPr="00161756">
        <w:rPr>
          <w:b/>
          <w:sz w:val="22"/>
          <w:szCs w:val="22"/>
        </w:rPr>
        <w:t>az önkormányzat mindenkori teherbíró képességéhez igazodó, elsődlegesen a közfeladatok ellátásához és a mindenkori társadalmi szükségletek kielégítéséhez szükséges, egységes elveken alapuló, átlátható, hatékony és költségtakarékos működtetése,</w:t>
      </w:r>
      <w:r w:rsidRPr="00161756">
        <w:rPr>
          <w:sz w:val="22"/>
          <w:szCs w:val="22"/>
        </w:rPr>
        <w:t xml:space="preserve"> értékének megőrzése, állagának védelme, értéknövelő használata, hasznosítása, gyarapítása, továbbá az állam vagy a helyi önkormányzat feladatának ellátása szempontjából feleslegessé váló vagyontárgyak elidegenítése.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161756" w:rsidRDefault="00940340" w:rsidP="0016175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  <w:bCs/>
        </w:rPr>
        <w:t xml:space="preserve">Hévíz Város Önkormányzat Képviselő-testületének </w:t>
      </w:r>
      <w:r w:rsidRPr="00161756">
        <w:rPr>
          <w:rFonts w:ascii="Arial" w:hAnsi="Arial" w:cs="Arial"/>
          <w:b/>
          <w:bCs/>
        </w:rPr>
        <w:t xml:space="preserve">a vagyongazdálkodásról szóló 22/2014. (IV. 29.) önkormányzati rendelete </w:t>
      </w:r>
      <w:r w:rsidRPr="00161756">
        <w:rPr>
          <w:rFonts w:ascii="Arial" w:hAnsi="Arial" w:cs="Arial"/>
          <w:bCs/>
        </w:rPr>
        <w:t>szabályozza a felajánlott vagyonnal kapcsolatos eljárást. A</w:t>
      </w:r>
      <w:r w:rsidRPr="00161756">
        <w:rPr>
          <w:rFonts w:ascii="Arial" w:hAnsi="Arial" w:cs="Arial"/>
          <w:b/>
          <w:bCs/>
        </w:rPr>
        <w:t xml:space="preserve"> 7. §</w:t>
      </w:r>
      <w:r w:rsidRPr="00161756">
        <w:rPr>
          <w:rFonts w:ascii="Arial" w:hAnsi="Arial" w:cs="Arial"/>
          <w:b/>
        </w:rPr>
        <w:t xml:space="preserve"> (1) bekezdése</w:t>
      </w:r>
      <w:r w:rsidRPr="00161756">
        <w:rPr>
          <w:rFonts w:ascii="Arial" w:hAnsi="Arial" w:cs="Arial"/>
        </w:rPr>
        <w:t xml:space="preserve"> szerint a vagyon tulajdonjogának ingyenes vagy kedvezményes megszerzéséről, felajánlás elfogadásáról a Képviselő-testület jogosult dönteni.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161756" w:rsidRDefault="000A6A6F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Az ingatlan megvásárlása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értékbecslés díja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(adás-vételi szerződés)</w:t>
      </w:r>
    </w:p>
    <w:p w:rsidR="000A6A6F" w:rsidRPr="00161756" w:rsidRDefault="000A6A6F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vételár (ez az utóbbi időszakban történt külterületi ingatlanok vételárának viszonyában meghalad</w:t>
      </w:r>
      <w:r w:rsidR="006725A3">
        <w:rPr>
          <w:sz w:val="22"/>
          <w:szCs w:val="22"/>
        </w:rPr>
        <w:t>hat</w:t>
      </w:r>
      <w:r w:rsidRPr="00161756">
        <w:rPr>
          <w:sz w:val="22"/>
          <w:szCs w:val="22"/>
        </w:rPr>
        <w:t xml:space="preserve">ja a </w:t>
      </w:r>
      <w:r w:rsidR="006725A3">
        <w:rPr>
          <w:sz w:val="22"/>
          <w:szCs w:val="22"/>
        </w:rPr>
        <w:t>2</w:t>
      </w:r>
      <w:r w:rsidRPr="00161756">
        <w:rPr>
          <w:sz w:val="22"/>
          <w:szCs w:val="22"/>
        </w:rPr>
        <w:t>0.000.000.- Forintot)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földhivatali bejegyzési illeték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megvásárolt ingatlan földmérő általi kitűzése (pontos telekviszonyok, telekhatárok meghatározása céljából)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ingatlan gyom-mentesítése, tisztántartása (évente min. két alkalommal).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940340" w:rsidRDefault="00940340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 xml:space="preserve">Az ingatlantulajdon megszerzése esetén a döntés előkészítése során vizsgálni kell azt is, hogy az ingatlan megszerzése milyen önkormányzati célok megvalósításához, és milyen feltételek mellett alkalmas. Fel kell tárni a továbbhasznosítás lehetőségeit és a várható üzemeltetési költségek körét és nagyságát is. </w:t>
      </w:r>
      <w:r w:rsidR="008C5EAF">
        <w:rPr>
          <w:sz w:val="22"/>
          <w:szCs w:val="22"/>
        </w:rPr>
        <w:t>Az ingatlant</w:t>
      </w:r>
      <w:r w:rsidRPr="00161756">
        <w:rPr>
          <w:sz w:val="22"/>
          <w:szCs w:val="22"/>
        </w:rPr>
        <w:t xml:space="preserve"> folyamatosan rendben kell tartani, gyom-mentesíteni, a művelési ág</w:t>
      </w:r>
      <w:r w:rsidR="008C5EAF">
        <w:rPr>
          <w:sz w:val="22"/>
          <w:szCs w:val="22"/>
        </w:rPr>
        <w:t>á</w:t>
      </w:r>
      <w:r w:rsidRPr="00161756">
        <w:rPr>
          <w:sz w:val="22"/>
          <w:szCs w:val="22"/>
        </w:rPr>
        <w:t>nak megfelelően hasznosítani, ellenkező esetben az illetékes szakhatóság (Járási Hivatal Földhivatali Osztálya) által kiszabott büntetésre lehet számítani.</w:t>
      </w:r>
    </w:p>
    <w:p w:rsidR="004511FD" w:rsidRDefault="004511FD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4511FD" w:rsidRPr="00161756" w:rsidRDefault="004511FD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Hévíz Város Önkormányzat - a Városi Főépítésszel történt egyeztetés alapján – a nevezett ingatlanon a város érdekeit és fejlesztését szolgáló beruházást nem tervez, ennek alapján az ingatlan megszerzéséhez a városnak nem fűződik érdeke.</w:t>
      </w:r>
    </w:p>
    <w:p w:rsidR="00AC69D2" w:rsidRDefault="00AC69D2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6725A3" w:rsidRDefault="006725A3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Az ingatlan tulajdonosai a velük 2017. február 03. napján folytatott megbeszélés alapján egyértelműen kijelentették, hogy az ingatlant „ajándékozás” jogcímén nem kívánják átadni az Önkormányzatnak, kizárólag „adásvétel” útján, forgalmi értéken kívánják azt értékesíteni.</w:t>
      </w:r>
    </w:p>
    <w:p w:rsidR="006725A3" w:rsidRDefault="006725A3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2526E6" w:rsidRPr="00161756" w:rsidRDefault="002526E6" w:rsidP="0016175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161756">
      <w:pPr>
        <w:spacing w:after="0"/>
        <w:jc w:val="both"/>
        <w:rPr>
          <w:rFonts w:ascii="Arial" w:hAnsi="Arial" w:cs="Arial"/>
        </w:rPr>
      </w:pPr>
    </w:p>
    <w:p w:rsidR="002526E6" w:rsidRPr="00161756" w:rsidRDefault="002526E6" w:rsidP="00161756">
      <w:pPr>
        <w:spacing w:after="0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</w:p>
    <w:p w:rsidR="00801CE1" w:rsidRPr="00161756" w:rsidRDefault="00801CE1" w:rsidP="00161756">
      <w:pPr>
        <w:spacing w:after="0"/>
        <w:jc w:val="both"/>
        <w:rPr>
          <w:rFonts w:ascii="Arial" w:hAnsi="Arial" w:cs="Arial"/>
        </w:rPr>
      </w:pPr>
    </w:p>
    <w:p w:rsidR="002526E6" w:rsidRDefault="002526E6" w:rsidP="00781381">
      <w:pPr>
        <w:spacing w:after="0"/>
        <w:jc w:val="both"/>
      </w:pPr>
      <w:r w:rsidRPr="00161756">
        <w:rPr>
          <w:rFonts w:ascii="Arial" w:hAnsi="Arial" w:cs="Arial"/>
        </w:rPr>
        <w:t xml:space="preserve"> 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Pr="00C610AA" w:rsidRDefault="00940340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0340" w:rsidRDefault="00940340" w:rsidP="00940340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526E6">
        <w:rPr>
          <w:rFonts w:ascii="Arial" w:eastAsia="Arial" w:hAnsi="Arial" w:cs="Arial"/>
          <w:color w:val="000000"/>
          <w:lang w:eastAsia="hu-HU" w:bidi="hu-HU"/>
        </w:rPr>
        <w:t xml:space="preserve">Hévíz Város Önkormányzat </w:t>
      </w:r>
      <w:r>
        <w:rPr>
          <w:rFonts w:ascii="Arial" w:eastAsia="Arial" w:hAnsi="Arial" w:cs="Arial"/>
          <w:color w:val="000000"/>
          <w:lang w:eastAsia="hu-HU" w:bidi="hu-HU"/>
        </w:rPr>
        <w:t>Képviselő-testülete az előterjesztésben foglaltakat megismerte, és úgy nyilatkozik, hogy a</w:t>
      </w:r>
      <w:r w:rsidR="00443A9F">
        <w:rPr>
          <w:rFonts w:ascii="Arial" w:eastAsia="Arial" w:hAnsi="Arial" w:cs="Arial"/>
          <w:color w:val="000000"/>
          <w:lang w:eastAsia="hu-HU" w:bidi="hu-HU"/>
        </w:rPr>
        <w:t xml:space="preserve"> Gombos József és Gombos Józsefné tulajdonát képező,</w:t>
      </w:r>
      <w:r>
        <w:rPr>
          <w:rFonts w:ascii="Arial" w:eastAsia="Arial" w:hAnsi="Arial" w:cs="Arial"/>
          <w:color w:val="000000"/>
          <w:lang w:eastAsia="hu-HU" w:bidi="hu-HU"/>
        </w:rPr>
        <w:t xml:space="preserve"> vételre felajánlott Hévíz (külterület) </w:t>
      </w:r>
      <w:r w:rsidR="00781381">
        <w:rPr>
          <w:rFonts w:ascii="Arial" w:eastAsia="Arial" w:hAnsi="Arial" w:cs="Arial"/>
          <w:color w:val="000000"/>
          <w:lang w:eastAsia="hu-HU" w:bidi="hu-HU"/>
        </w:rPr>
        <w:t>013/7</w:t>
      </w:r>
      <w:r>
        <w:rPr>
          <w:rFonts w:ascii="Arial" w:eastAsia="Arial" w:hAnsi="Arial" w:cs="Arial"/>
          <w:color w:val="000000"/>
          <w:lang w:eastAsia="hu-HU" w:bidi="hu-HU"/>
        </w:rPr>
        <w:t>. hrsz-ú ingatlant nem kívánja megvásárolni.</w:t>
      </w:r>
    </w:p>
    <w:p w:rsidR="00940340" w:rsidRDefault="00940340" w:rsidP="00940340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40340" w:rsidRPr="002526E6" w:rsidRDefault="00940340" w:rsidP="00940340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 Képviselő-testület felhatalmazza a Polgármestert, hogy az érintett ingatlan-tulajdonosokat a Testület döntéséről tájékoztassa.</w:t>
      </w: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</w:r>
      <w:r>
        <w:rPr>
          <w:rFonts w:ascii="Arial" w:eastAsia="Arial" w:hAnsi="Arial" w:cs="Arial"/>
          <w:color w:val="000000"/>
          <w:lang w:eastAsia="hu-HU" w:bidi="hu-HU"/>
        </w:rPr>
        <w:t>2017. március 31</w:t>
      </w:r>
      <w:r w:rsidRPr="00AC69D2">
        <w:rPr>
          <w:rFonts w:ascii="Arial" w:eastAsia="Arial" w:hAnsi="Arial" w:cs="Arial"/>
          <w:color w:val="000000"/>
          <w:lang w:eastAsia="hu-HU" w:bidi="hu-HU"/>
        </w:rPr>
        <w:t>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781381" w:rsidRDefault="00781381">
      <w:pPr>
        <w:sectPr w:rsidR="00781381" w:rsidSect="008C5EAF">
          <w:footerReference w:type="even" r:id="rId10"/>
          <w:footerReference w:type="default" r:id="rId11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01CE1" w:rsidRDefault="00801CE1"/>
    <w:p w:rsidR="00781381" w:rsidRDefault="00781381">
      <w:pPr>
        <w:sectPr w:rsidR="00781381" w:rsidSect="00781381">
          <w:pgSz w:w="16838" w:h="11906" w:orient="landscape"/>
          <w:pgMar w:top="567" w:right="567" w:bottom="567" w:left="567" w:header="709" w:footer="448" w:gutter="0"/>
          <w:cols w:space="708"/>
          <w:docGrid w:linePitch="360"/>
        </w:sectPr>
      </w:pPr>
      <w:r>
        <w:rPr>
          <w:noProof/>
          <w:lang w:eastAsia="hu-HU"/>
        </w:rPr>
        <w:drawing>
          <wp:inline distT="0" distB="0" distL="0" distR="0">
            <wp:extent cx="9983791" cy="5753100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9798" cy="578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CE1" w:rsidRDefault="00801CE1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483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781381">
        <w:trPr>
          <w:trHeight w:val="422"/>
        </w:trPr>
        <w:tc>
          <w:tcPr>
            <w:tcW w:w="188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697"/>
        </w:trPr>
        <w:tc>
          <w:tcPr>
            <w:tcW w:w="1882" w:type="dxa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81381">
        <w:trPr>
          <w:trHeight w:val="573"/>
        </w:trPr>
        <w:tc>
          <w:tcPr>
            <w:tcW w:w="1882" w:type="dxa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81381">
        <w:tc>
          <w:tcPr>
            <w:tcW w:w="1882" w:type="dxa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0C" w:rsidRDefault="0033070C">
      <w:pPr>
        <w:spacing w:after="0" w:line="240" w:lineRule="auto"/>
      </w:pPr>
      <w:r>
        <w:separator/>
      </w:r>
    </w:p>
  </w:endnote>
  <w:endnote w:type="continuationSeparator" w:id="0">
    <w:p w:rsidR="0033070C" w:rsidRDefault="0033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962F4" w:rsidRPr="00D962F4">
                            <w:rPr>
                              <w:rStyle w:val="Fejlcvagylbjegyzet"/>
                              <w:noProof/>
                            </w:rPr>
                            <w:t>5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962F4" w:rsidRPr="00D962F4">
                      <w:rPr>
                        <w:rStyle w:val="Fejlcvagylbjegyzet"/>
                        <w:noProof/>
                      </w:rPr>
                      <w:t>5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0C" w:rsidRDefault="0033070C">
      <w:pPr>
        <w:spacing w:after="0" w:line="240" w:lineRule="auto"/>
      </w:pPr>
      <w:r>
        <w:separator/>
      </w:r>
    </w:p>
  </w:footnote>
  <w:footnote w:type="continuationSeparator" w:id="0">
    <w:p w:rsidR="0033070C" w:rsidRDefault="0033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9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8"/>
  </w:num>
  <w:num w:numId="4">
    <w:abstractNumId w:val="17"/>
  </w:num>
  <w:num w:numId="5">
    <w:abstractNumId w:val="13"/>
  </w:num>
  <w:num w:numId="6">
    <w:abstractNumId w:val="1"/>
  </w:num>
  <w:num w:numId="7">
    <w:abstractNumId w:val="16"/>
  </w:num>
  <w:num w:numId="8">
    <w:abstractNumId w:val="12"/>
  </w:num>
  <w:num w:numId="9">
    <w:abstractNumId w:val="11"/>
  </w:num>
  <w:num w:numId="10">
    <w:abstractNumId w:val="2"/>
  </w:num>
  <w:num w:numId="11">
    <w:abstractNumId w:val="14"/>
  </w:num>
  <w:num w:numId="12">
    <w:abstractNumId w:val="15"/>
  </w:num>
  <w:num w:numId="13">
    <w:abstractNumId w:val="3"/>
  </w:num>
  <w:num w:numId="14">
    <w:abstractNumId w:val="10"/>
  </w:num>
  <w:num w:numId="15">
    <w:abstractNumId w:val="5"/>
  </w:num>
  <w:num w:numId="16">
    <w:abstractNumId w:val="8"/>
  </w:num>
  <w:num w:numId="17">
    <w:abstractNumId w:val="4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A6A6F"/>
    <w:rsid w:val="00161756"/>
    <w:rsid w:val="00201700"/>
    <w:rsid w:val="002526E6"/>
    <w:rsid w:val="0033070C"/>
    <w:rsid w:val="00440618"/>
    <w:rsid w:val="00443A9F"/>
    <w:rsid w:val="004511FD"/>
    <w:rsid w:val="00550400"/>
    <w:rsid w:val="0056466D"/>
    <w:rsid w:val="006725A3"/>
    <w:rsid w:val="006761B6"/>
    <w:rsid w:val="00707759"/>
    <w:rsid w:val="00725F68"/>
    <w:rsid w:val="0077433B"/>
    <w:rsid w:val="00781381"/>
    <w:rsid w:val="007B19D7"/>
    <w:rsid w:val="007B21BF"/>
    <w:rsid w:val="00801CE1"/>
    <w:rsid w:val="0087294D"/>
    <w:rsid w:val="008C5EAF"/>
    <w:rsid w:val="008E2138"/>
    <w:rsid w:val="00940340"/>
    <w:rsid w:val="009749CF"/>
    <w:rsid w:val="009D2A2E"/>
    <w:rsid w:val="00AC69D2"/>
    <w:rsid w:val="00B27C4E"/>
    <w:rsid w:val="00B6673F"/>
    <w:rsid w:val="00B7637F"/>
    <w:rsid w:val="00B76DE6"/>
    <w:rsid w:val="00C610AA"/>
    <w:rsid w:val="00D22502"/>
    <w:rsid w:val="00D962F4"/>
    <w:rsid w:val="00DD698C"/>
    <w:rsid w:val="00E35C1F"/>
    <w:rsid w:val="00E71133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9D4B5-DED8-465D-9E48-C8B8F2FC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1378</Words>
  <Characters>9515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Keserű Klaudia</cp:lastModifiedBy>
  <cp:revision>6</cp:revision>
  <dcterms:created xsi:type="dcterms:W3CDTF">2017-02-02T06:52:00Z</dcterms:created>
  <dcterms:modified xsi:type="dcterms:W3CDTF">2017-02-03T10:49:00Z</dcterms:modified>
</cp:coreProperties>
</file>