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200862" cy="3487479"/>
            <wp:effectExtent l="19050" t="0" r="0" b="0"/>
            <wp:docPr id="4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53" cy="348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7E06D6">
        <w:rPr>
          <w:rFonts w:ascii="Book Antiqua" w:hAnsi="Book Antiqua"/>
          <w:b/>
          <w:sz w:val="40"/>
          <w:u w:val="single"/>
        </w:rPr>
        <w:t>7</w:t>
      </w:r>
      <w:r w:rsidRPr="005A2C80">
        <w:rPr>
          <w:rFonts w:ascii="Book Antiqua" w:hAnsi="Book Antiqua"/>
          <w:b/>
          <w:sz w:val="40"/>
          <w:u w:val="single"/>
        </w:rPr>
        <w:t xml:space="preserve">. évi </w:t>
      </w:r>
      <w:r w:rsidR="00B346B6">
        <w:rPr>
          <w:rFonts w:ascii="Book Antiqua" w:hAnsi="Book Antiqua"/>
          <w:b/>
          <w:sz w:val="40"/>
          <w:u w:val="single"/>
        </w:rPr>
        <w:t>üzleti jelentés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4A5A6E" w:rsidRPr="004A5A6E" w:rsidRDefault="004A5A6E" w:rsidP="004A5A6E">
      <w:pPr>
        <w:jc w:val="center"/>
        <w:rPr>
          <w:rFonts w:ascii="Times New Roman" w:hAnsi="Times New Roman"/>
        </w:rPr>
      </w:pPr>
      <w:r w:rsidRPr="004A5A6E">
        <w:rPr>
          <w:rFonts w:ascii="Times New Roman" w:hAnsi="Times New Roman"/>
          <w:b/>
        </w:rPr>
        <w:lastRenderedPageBreak/>
        <w:t>T A R T A L O M J E G Y Z ÉK</w:t>
      </w:r>
    </w:p>
    <w:tbl>
      <w:tblPr>
        <w:tblStyle w:val="TableGrid1"/>
        <w:tblW w:w="0" w:type="auto"/>
        <w:tblLook w:val="04A0"/>
      </w:tblPr>
      <w:tblGrid>
        <w:gridCol w:w="6657"/>
        <w:gridCol w:w="2403"/>
      </w:tblGrid>
      <w:tr w:rsidR="004A5A6E" w:rsidRPr="004A5A6E" w:rsidTr="004557FA">
        <w:tc>
          <w:tcPr>
            <w:tcW w:w="6657" w:type="dxa"/>
          </w:tcPr>
          <w:p w:rsidR="004A5A6E" w:rsidRPr="004A5A6E" w:rsidRDefault="004A5A6E" w:rsidP="004A5A6E">
            <w:pPr>
              <w:rPr>
                <w:rFonts w:eastAsia="Calibri"/>
              </w:rPr>
            </w:pPr>
            <w:r w:rsidRPr="004A5A6E">
              <w:rPr>
                <w:rFonts w:eastAsia="Calibri"/>
              </w:rPr>
              <w:t>A Hévíz-Balaton repülőtér turisztikai jelentősége</w:t>
            </w:r>
          </w:p>
        </w:tc>
        <w:tc>
          <w:tcPr>
            <w:tcW w:w="2403" w:type="dxa"/>
          </w:tcPr>
          <w:p w:rsidR="004A5A6E" w:rsidRPr="004A5A6E" w:rsidRDefault="00DD7191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4A5A6E" w:rsidRPr="004A5A6E">
              <w:rPr>
                <w:rFonts w:eastAsia="Calibri"/>
              </w:rPr>
              <w:t>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DD7191" w:rsidRDefault="005D7046" w:rsidP="00AE3083">
            <w:pPr>
              <w:spacing w:line="240" w:lineRule="auto"/>
              <w:rPr>
                <w:rFonts w:eastAsia="Calibri"/>
              </w:rPr>
            </w:pPr>
            <w:r w:rsidRPr="005D7046">
              <w:rPr>
                <w:rFonts w:eastAsia="Calibri"/>
              </w:rPr>
              <w:t>A repülőtér 2</w:t>
            </w:r>
            <w:r>
              <w:rPr>
                <w:rFonts w:eastAsia="Calibri"/>
              </w:rPr>
              <w:t>01</w:t>
            </w:r>
            <w:r w:rsidR="007E06D6">
              <w:rPr>
                <w:rFonts w:eastAsia="Calibri"/>
              </w:rPr>
              <w:t>7</w:t>
            </w:r>
            <w:r w:rsidR="00AE3083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évi forgalma, célállomásai</w:t>
            </w:r>
          </w:p>
        </w:tc>
        <w:tc>
          <w:tcPr>
            <w:tcW w:w="2403" w:type="dxa"/>
          </w:tcPr>
          <w:p w:rsidR="004A5A6E" w:rsidRPr="004A5A6E" w:rsidRDefault="003770B3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4A5A6E" w:rsidRPr="004A5A6E" w:rsidRDefault="005D7046" w:rsidP="004A5A6E">
            <w:pPr>
              <w:rPr>
                <w:rFonts w:eastAsia="Calibri"/>
              </w:rPr>
            </w:pPr>
            <w:r>
              <w:rPr>
                <w:rFonts w:eastAsia="Calibri"/>
              </w:rPr>
              <w:t>Utasforgalom</w:t>
            </w:r>
          </w:p>
        </w:tc>
        <w:tc>
          <w:tcPr>
            <w:tcW w:w="2403" w:type="dxa"/>
          </w:tcPr>
          <w:p w:rsidR="004A5A6E" w:rsidRPr="004A5A6E" w:rsidRDefault="003770B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4557FA" w:rsidRDefault="004557FA" w:rsidP="004557FA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A</w:t>
            </w:r>
            <w:r w:rsidR="00AE3083">
              <w:rPr>
                <w:rFonts w:eastAsia="Calibri"/>
              </w:rPr>
              <w:t xml:space="preserve"> Hévíz-Balaton Airport Kft. 201</w:t>
            </w:r>
            <w:r w:rsidR="007E06D6">
              <w:rPr>
                <w:rFonts w:eastAsia="Calibri"/>
              </w:rPr>
              <w:t>7</w:t>
            </w:r>
            <w:r w:rsidR="00AE3083">
              <w:rPr>
                <w:rFonts w:eastAsia="Calibri"/>
              </w:rPr>
              <w:t>.</w:t>
            </w:r>
            <w:r w:rsidRPr="004557FA">
              <w:rPr>
                <w:rFonts w:eastAsia="Calibri"/>
              </w:rPr>
              <w:t xml:space="preserve"> évi gazdálkodása</w:t>
            </w:r>
            <w:r>
              <w:rPr>
                <w:rFonts w:eastAsia="Calibri"/>
              </w:rPr>
              <w:t xml:space="preserve"> mellékletek</w:t>
            </w:r>
          </w:p>
        </w:tc>
        <w:tc>
          <w:tcPr>
            <w:tcW w:w="2403" w:type="dxa"/>
          </w:tcPr>
          <w:p w:rsidR="00DD7191" w:rsidRPr="004A5A6E" w:rsidRDefault="004557FA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</w:tr>
      <w:tr w:rsidR="004A5A6E" w:rsidRPr="004A5A6E" w:rsidTr="004557FA">
        <w:tc>
          <w:tcPr>
            <w:tcW w:w="6657" w:type="dxa"/>
          </w:tcPr>
          <w:p w:rsidR="004557FA" w:rsidRDefault="004557FA" w:rsidP="00DD7191">
            <w:pPr>
              <w:rPr>
                <w:rFonts w:eastAsia="Calibri"/>
              </w:rPr>
            </w:pPr>
          </w:p>
          <w:p w:rsidR="004557FA" w:rsidRDefault="004557FA" w:rsidP="00DD7191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</w:t>
            </w:r>
            <w:r w:rsidRPr="004557FA">
              <w:rPr>
                <w:rFonts w:eastAsia="Calibri"/>
              </w:rPr>
              <w:tab/>
              <w:t>Egyszerűsített éves beszámoló mérlege „A” változat</w:t>
            </w:r>
          </w:p>
          <w:p w:rsidR="004557FA" w:rsidRDefault="004557FA" w:rsidP="004557FA">
            <w:r w:rsidRPr="004557FA">
              <w:t></w:t>
            </w:r>
            <w:r w:rsidRPr="004557FA">
              <w:tab/>
              <w:t xml:space="preserve">Egyszerűsített éves beszámoló „A” eredménykimutatása </w:t>
            </w:r>
            <w:r>
              <w:br/>
            </w:r>
            <w:r w:rsidRPr="004557FA">
              <w:t>(összköltség eljárással)</w:t>
            </w:r>
          </w:p>
          <w:p w:rsidR="004557FA" w:rsidRDefault="004557FA" w:rsidP="004557FA">
            <w:r>
              <w:t></w:t>
            </w:r>
            <w:r>
              <w:tab/>
              <w:t>Kiegészítő melléklet 201</w:t>
            </w:r>
            <w:r w:rsidR="007E06D6">
              <w:t>7</w:t>
            </w:r>
            <w:r>
              <w:t>.</w:t>
            </w:r>
          </w:p>
          <w:p w:rsidR="004557FA" w:rsidRDefault="004557FA" w:rsidP="004557FA">
            <w:r>
              <w:t></w:t>
            </w:r>
            <w:r>
              <w:tab/>
              <w:t>Független könyvvizsgálói jelentés</w:t>
            </w:r>
          </w:p>
          <w:p w:rsidR="004557FA" w:rsidRPr="004557FA" w:rsidRDefault="004557FA" w:rsidP="004557FA">
            <w:r>
              <w:t></w:t>
            </w:r>
            <w:r>
              <w:tab/>
              <w:t>Könyvvizsgálói nyilatkozat</w:t>
            </w:r>
          </w:p>
          <w:p w:rsidR="004557FA" w:rsidRPr="00DD7191" w:rsidRDefault="004557FA" w:rsidP="00DD7191">
            <w:pPr>
              <w:rPr>
                <w:rFonts w:eastAsia="Calibri"/>
              </w:rPr>
            </w:pPr>
          </w:p>
        </w:tc>
        <w:tc>
          <w:tcPr>
            <w:tcW w:w="2403" w:type="dxa"/>
          </w:tcPr>
          <w:p w:rsidR="00DD7191" w:rsidRPr="004A5A6E" w:rsidRDefault="00DD7191" w:rsidP="004A5A6E">
            <w:pPr>
              <w:jc w:val="right"/>
              <w:rPr>
                <w:rFonts w:eastAsia="Calibri"/>
              </w:rPr>
            </w:pP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1E6D90">
            <w:r>
              <w:t>A Hévíz-Balaton Airport Kft. 201</w:t>
            </w:r>
            <w:r w:rsidR="007E06D6">
              <w:t>7</w:t>
            </w:r>
            <w:r>
              <w:t xml:space="preserve"> évi pénzügyi teljesítménye a belső anal</w:t>
            </w:r>
            <w:r w:rsidR="001E6D90">
              <w:t>i</w:t>
            </w:r>
            <w:r>
              <w:t>tikus nyilvántartások alapján</w:t>
            </w:r>
          </w:p>
        </w:tc>
        <w:tc>
          <w:tcPr>
            <w:tcW w:w="2403" w:type="dxa"/>
          </w:tcPr>
          <w:p w:rsidR="00AE3083" w:rsidRPr="004A5A6E" w:rsidRDefault="00D005AA" w:rsidP="004A5A6E">
            <w:pPr>
              <w:jc w:val="right"/>
            </w:pPr>
            <w:r>
              <w:t>6-12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DD7191">
            <w:r>
              <w:t>A Hévíz-Balaton Airport Kft. 201</w:t>
            </w:r>
            <w:r w:rsidR="007E06D6">
              <w:t>7</w:t>
            </w:r>
            <w:r>
              <w:t>. évet érintő támogatásai</w:t>
            </w:r>
          </w:p>
        </w:tc>
        <w:tc>
          <w:tcPr>
            <w:tcW w:w="2403" w:type="dxa"/>
          </w:tcPr>
          <w:p w:rsidR="00AE3083" w:rsidRPr="004A5A6E" w:rsidRDefault="00AE3083" w:rsidP="004A5A6E">
            <w:pPr>
              <w:jc w:val="right"/>
            </w:pPr>
            <w:r>
              <w:t>13.</w:t>
            </w:r>
          </w:p>
        </w:tc>
      </w:tr>
    </w:tbl>
    <w:p w:rsidR="004A5A6E" w:rsidRPr="004A5A6E" w:rsidRDefault="004A5A6E" w:rsidP="004A5A6E"/>
    <w:p w:rsidR="004A5A6E" w:rsidRPr="004A5A6E" w:rsidRDefault="004A5A6E" w:rsidP="004A5A6E"/>
    <w:p w:rsidR="00682C94" w:rsidRPr="00682C94" w:rsidRDefault="00682C94" w:rsidP="00682C94"/>
    <w:p w:rsidR="00682C94" w:rsidRPr="00682C94" w:rsidRDefault="00682C94" w:rsidP="00682C94"/>
    <w:p w:rsidR="00682C94" w:rsidRPr="00682C94" w:rsidRDefault="00682C94" w:rsidP="00682C94"/>
    <w:p w:rsidR="004A5A6E" w:rsidRDefault="004A5A6E" w:rsidP="00EB08D5">
      <w:pPr>
        <w:pStyle w:val="NormlWeb"/>
        <w:jc w:val="center"/>
        <w:rPr>
          <w:b/>
          <w:sz w:val="28"/>
          <w:szCs w:val="28"/>
        </w:rPr>
      </w:pPr>
    </w:p>
    <w:p w:rsidR="00DC2DFB" w:rsidRDefault="00DC2DFB" w:rsidP="00EB08D5">
      <w:pPr>
        <w:pStyle w:val="NormlWeb"/>
        <w:jc w:val="center"/>
        <w:rPr>
          <w:b/>
          <w:sz w:val="28"/>
          <w:szCs w:val="28"/>
        </w:rPr>
      </w:pPr>
    </w:p>
    <w:p w:rsidR="008E2D9A" w:rsidRDefault="008E2D9A" w:rsidP="00EB08D5">
      <w:pPr>
        <w:pStyle w:val="NormlWeb"/>
        <w:jc w:val="center"/>
        <w:rPr>
          <w:b/>
          <w:sz w:val="28"/>
          <w:szCs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F01E77" w:rsidRPr="00F01E77" w:rsidRDefault="00F01E77" w:rsidP="00F24BEB">
      <w:pPr>
        <w:pStyle w:val="NormlWeb"/>
        <w:rPr>
          <w:sz w:val="22"/>
        </w:rPr>
      </w:pPr>
      <w:r w:rsidRPr="00E334A9">
        <w:rPr>
          <w:b/>
          <w:sz w:val="28"/>
        </w:rPr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AA682D" w:rsidRPr="00AA682D" w:rsidRDefault="00F01E77" w:rsidP="0010132C">
      <w:pPr>
        <w:pStyle w:val="NormlWeb"/>
        <w:rPr>
          <w:b/>
          <w:szCs w:val="22"/>
        </w:rPr>
      </w:pPr>
      <w:r w:rsidRPr="00F01E77">
        <w:rPr>
          <w:sz w:val="22"/>
        </w:rPr>
        <w:t xml:space="preserve">10 km-re a repülőtértől a Balaton térsége a nyári időszakban szezonálisan jelent keresletet az üdülő vendégek irányából. </w:t>
      </w:r>
      <w:r w:rsidR="00DD4DF7">
        <w:rPr>
          <w:sz w:val="22"/>
        </w:rPr>
        <w:t xml:space="preserve">A térség </w:t>
      </w:r>
      <w:r w:rsidR="006C06FE">
        <w:rPr>
          <w:sz w:val="22"/>
        </w:rPr>
        <w:t>két</w:t>
      </w:r>
      <w:r w:rsidR="00DD4DF7" w:rsidRPr="00DD4DF7">
        <w:rPr>
          <w:sz w:val="22"/>
        </w:rPr>
        <w:t xml:space="preserve"> legjelentősebb vendégforgalmat lebonyolító városai Siófok és Balatonfüred. </w:t>
      </w:r>
      <w:r w:rsidRPr="00F01E77">
        <w:rPr>
          <w:sz w:val="22"/>
        </w:rPr>
        <w:t>A Balaton külföldi ven</w:t>
      </w:r>
      <w:r w:rsidR="00DD4DF7">
        <w:rPr>
          <w:sz w:val="22"/>
        </w:rPr>
        <w:t xml:space="preserve">dégforgalmának legnagyobb része </w:t>
      </w:r>
      <w:r w:rsidRPr="00F01E77">
        <w:rPr>
          <w:sz w:val="22"/>
        </w:rPr>
        <w:t xml:space="preserve">szintén Németországból utazik a térségbe, így számukra is kedvező alternatíva a légi közlekedés. </w:t>
      </w:r>
      <w:r w:rsidR="00163BA7">
        <w:rPr>
          <w:sz w:val="22"/>
        </w:rPr>
        <w:br/>
        <w:t>A régióba érkező vendégek számának növeléséhez és nemzetiségi összetételének további szélesítéséhez elengedhetetlen</w:t>
      </w:r>
      <w:r w:rsidR="00DD4DF7">
        <w:rPr>
          <w:sz w:val="22"/>
        </w:rPr>
        <w:t xml:space="preserve"> egy nemzetközi repülőtér. A légitársaságok statisztikái egyértelműen mutatják, hogy a repülés egyre több ember számára válik napról napra elérhetővé, és ezen közlekedési ágazat egyre nagyobb szerepet játszik a turizmus fejlesztésében.</w:t>
      </w:r>
      <w:r w:rsidR="0010132C">
        <w:rPr>
          <w:sz w:val="22"/>
        </w:rPr>
        <w:br/>
      </w:r>
      <w:r w:rsidR="00AA682D" w:rsidRPr="00AA682D">
        <w:t>A</w:t>
      </w:r>
      <w:r w:rsidR="00F278AB">
        <w:rPr>
          <w:szCs w:val="22"/>
        </w:rPr>
        <w:t>célállomásra</w:t>
      </w:r>
      <w:r w:rsidR="00AA682D" w:rsidRPr="00AA682D">
        <w:rPr>
          <w:szCs w:val="22"/>
        </w:rPr>
        <w:t xml:space="preserve"> (jelen esetben Hévíz) érkezők költéséből elsősorban közvetlenül és közvetve is részesülnek az alábbiak:</w:t>
      </w:r>
      <w:r w:rsidR="0010132C">
        <w:rPr>
          <w:szCs w:val="22"/>
        </w:rPr>
        <w:br/>
      </w:r>
      <w:r w:rsidR="00AA682D" w:rsidRPr="00AA682D">
        <w:rPr>
          <w:b/>
          <w:szCs w:val="22"/>
        </w:rPr>
        <w:t>Közvetlenül: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Szálláshely-szolgáltatók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Vendéglátóhelyek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Kiskereskedők (élelmiszer és ajándék)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Szabadidős tevékenységek 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Közlekedési vállalkozások és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Vonzerők (pl. fürdőszolgáltatások, múzeumok, állatpark) üzemeltetői, illetve </w:t>
      </w:r>
    </w:p>
    <w:p w:rsidR="00AA682D" w:rsidRPr="00AA682D" w:rsidRDefault="00AA682D" w:rsidP="00AA682D">
      <w:pPr>
        <w:pStyle w:val="Szvegtrzs"/>
        <w:numPr>
          <w:ilvl w:val="0"/>
          <w:numId w:val="12"/>
        </w:numPr>
        <w:spacing w:after="120" w:line="240" w:lineRule="auto"/>
        <w:rPr>
          <w:rFonts w:ascii="Times New Roman" w:hAnsi="Times New Roman"/>
          <w:b/>
          <w:szCs w:val="22"/>
          <w:lang w:val="hu-HU"/>
        </w:rPr>
      </w:pPr>
      <w:r w:rsidRPr="00AA682D">
        <w:rPr>
          <w:rFonts w:ascii="Times New Roman" w:hAnsi="Times New Roman"/>
          <w:b/>
          <w:szCs w:val="22"/>
          <w:lang w:val="hu-HU"/>
        </w:rPr>
        <w:t>Közvetve: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Önkormányzati adóbevételek (pl. idegenforgalmi adó és az ahhoz kapcsolódó állami kiegészítés vagy iparűzési adó mértéke) formájában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kapcsolódó vállalkozások által foglalkoztatottak száma alapján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turisztikai szolgáltatók és a vonzerők üzemeltetőinek beszállítói kapcsolatait vizsgálva (főként azokat, amelyek forgalomarányosan változnak).</w:t>
      </w:r>
    </w:p>
    <w:p w:rsidR="00B43FAD" w:rsidRPr="00B43FAD" w:rsidRDefault="00B43FAD" w:rsidP="00B10833">
      <w:pPr>
        <w:rPr>
          <w:rFonts w:ascii="Times New Roman" w:hAnsi="Times New Roman"/>
        </w:rPr>
      </w:pPr>
      <w:r w:rsidRPr="00B43FAD">
        <w:rPr>
          <w:rFonts w:ascii="Times New Roman" w:hAnsi="Times New Roman"/>
        </w:rPr>
        <w:t xml:space="preserve">A repülőtér </w:t>
      </w:r>
      <w:r>
        <w:rPr>
          <w:rFonts w:ascii="Times New Roman" w:hAnsi="Times New Roman"/>
        </w:rPr>
        <w:t>közvetlen környezetére</w:t>
      </w:r>
      <w:r w:rsidR="00C051A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valamint a központi költségvetésre gyakorolt hatását egy külön tanulmány vizsgál</w:t>
      </w:r>
      <w:r w:rsidR="00CB73EF">
        <w:rPr>
          <w:rFonts w:ascii="Times New Roman" w:hAnsi="Times New Roman"/>
        </w:rPr>
        <w:t xml:space="preserve">ja. </w:t>
      </w:r>
    </w:p>
    <w:p w:rsidR="00A00395" w:rsidRDefault="00A00395" w:rsidP="00B10833">
      <w:pPr>
        <w:rPr>
          <w:noProof/>
          <w:lang w:eastAsia="hu-HU"/>
        </w:rPr>
      </w:pPr>
      <w:r w:rsidRPr="00A00395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8255</wp:posOffset>
            </wp:positionV>
            <wp:extent cx="333375" cy="14097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32C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599981" cy="2524125"/>
            <wp:effectExtent l="0" t="0" r="635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8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0395">
        <w:rPr>
          <w:rFonts w:ascii="Times New Roman" w:hAnsi="Times New Roman"/>
        </w:rPr>
        <w:t>60 percen belül</w:t>
      </w:r>
    </w:p>
    <w:p w:rsidR="00A00395" w:rsidRDefault="00A00395" w:rsidP="00B10833">
      <w:pPr>
        <w:rPr>
          <w:rFonts w:ascii="Times New Roman" w:hAnsi="Times New Roman"/>
          <w:sz w:val="28"/>
        </w:rPr>
      </w:pPr>
      <w:r w:rsidRPr="00A00395">
        <w:rPr>
          <w:rFonts w:ascii="Times New Roman" w:hAnsi="Times New Roman"/>
          <w:noProof/>
          <w:lang w:eastAsia="hu-HU"/>
        </w:rPr>
        <w:t>90 percen belül</w:t>
      </w:r>
    </w:p>
    <w:p w:rsidR="00A00395" w:rsidRDefault="00A00395" w:rsidP="00B10833">
      <w:pPr>
        <w:rPr>
          <w:rFonts w:ascii="Times New Roman" w:hAnsi="Times New Roman"/>
        </w:rPr>
      </w:pPr>
      <w:r>
        <w:rPr>
          <w:rFonts w:ascii="Times New Roman" w:hAnsi="Times New Roman"/>
        </w:rPr>
        <w:t>120 percen belül</w:t>
      </w:r>
    </w:p>
    <w:p w:rsidR="00B43FAD" w:rsidRPr="00A00395" w:rsidRDefault="00A00395" w:rsidP="00B108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180 percen belül</w:t>
      </w: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273CD4" w:rsidRDefault="00273CD4" w:rsidP="00B10833">
      <w:pPr>
        <w:rPr>
          <w:rFonts w:ascii="Times New Roman" w:hAnsi="Times New Roman"/>
          <w:b/>
          <w:sz w:val="28"/>
        </w:rPr>
        <w:sectPr w:rsidR="00273CD4" w:rsidSect="002867EC">
          <w:headerReference w:type="default" r:id="rId11"/>
          <w:footerReference w:type="default" r:id="rId12"/>
          <w:pgSz w:w="11906" w:h="16838"/>
          <w:pgMar w:top="227" w:right="1418" w:bottom="454" w:left="1418" w:header="709" w:footer="709" w:gutter="0"/>
          <w:cols w:space="708"/>
          <w:docGrid w:linePitch="360"/>
        </w:sectPr>
      </w:pPr>
    </w:p>
    <w:p w:rsidR="00ED6117" w:rsidRDefault="00ED6117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</w:p>
    <w:p w:rsidR="00ED6117" w:rsidRDefault="00FF5C15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  <w:r w:rsidRPr="00FF5C15">
        <w:rPr>
          <w:rFonts w:ascii="Times New Roman" w:hAnsi="Times New Roman"/>
          <w:b/>
          <w:sz w:val="28"/>
        </w:rPr>
        <w:t>A repü</w:t>
      </w:r>
      <w:r>
        <w:rPr>
          <w:rFonts w:ascii="Times New Roman" w:hAnsi="Times New Roman"/>
          <w:b/>
          <w:sz w:val="28"/>
        </w:rPr>
        <w:t xml:space="preserve">lőtér </w:t>
      </w:r>
      <w:r w:rsidR="00DC07BC">
        <w:rPr>
          <w:rFonts w:ascii="Times New Roman" w:hAnsi="Times New Roman"/>
          <w:b/>
          <w:sz w:val="28"/>
        </w:rPr>
        <w:t>201</w:t>
      </w:r>
      <w:r w:rsidR="001F0C39">
        <w:rPr>
          <w:rFonts w:ascii="Times New Roman" w:hAnsi="Times New Roman"/>
          <w:b/>
          <w:sz w:val="28"/>
        </w:rPr>
        <w:t>7</w:t>
      </w:r>
      <w:r w:rsidR="00DC07BC">
        <w:rPr>
          <w:rFonts w:ascii="Times New Roman" w:hAnsi="Times New Roman"/>
          <w:b/>
          <w:sz w:val="28"/>
        </w:rPr>
        <w:t>. évi forgalma, célállomásai</w:t>
      </w:r>
      <w:r w:rsidR="00CD1DD7">
        <w:rPr>
          <w:rFonts w:ascii="Times New Roman" w:hAnsi="Times New Roman"/>
          <w:b/>
          <w:sz w:val="28"/>
        </w:rPr>
        <w:t>:</w:t>
      </w:r>
    </w:p>
    <w:p w:rsidR="008F0ED5" w:rsidRPr="008F0ED5" w:rsidRDefault="00DC07BC" w:rsidP="008F0ED5">
      <w:pPr>
        <w:tabs>
          <w:tab w:val="left" w:pos="930"/>
        </w:tabs>
        <w:rPr>
          <w:rFonts w:ascii="Times New Roman" w:hAnsi="Times New Roman"/>
        </w:rPr>
        <w:sectPr w:rsidR="008F0ED5" w:rsidRPr="008F0ED5" w:rsidSect="00273CD4">
          <w:headerReference w:type="default" r:id="rId13"/>
          <w:footerReference w:type="default" r:id="rId14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  <w:r>
        <w:rPr>
          <w:rFonts w:ascii="Times New Roman" w:hAnsi="Times New Roman"/>
        </w:rPr>
        <w:t>A Hévíz-Balaton repülőtérről 201</w:t>
      </w:r>
      <w:r w:rsidR="001F0C3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évben az alábbi városokba/városokból közlekedtek rendszeresen légijáratok</w:t>
      </w:r>
    </w:p>
    <w:p w:rsid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lastRenderedPageBreak/>
        <w:t>Moszkva</w:t>
      </w:r>
      <w:r w:rsidR="00EB31E7">
        <w:rPr>
          <w:rFonts w:ascii="Times New Roman" w:hAnsi="Times New Roman"/>
        </w:rPr>
        <w:t xml:space="preserve"> (csak ünnepi időszakban)</w:t>
      </w:r>
    </w:p>
    <w:p w:rsidR="008955C5" w:rsidRP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516775" w:rsidRDefault="008955C5" w:rsidP="0067356E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EB31E7">
        <w:rPr>
          <w:rFonts w:ascii="Times New Roman" w:hAnsi="Times New Roman"/>
        </w:rPr>
        <w:lastRenderedPageBreak/>
        <w:t>Erfurt</w:t>
      </w:r>
    </w:p>
    <w:p w:rsidR="008955C5" w:rsidRPr="00EB31E7" w:rsidRDefault="008955C5" w:rsidP="0067356E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EB31E7">
        <w:rPr>
          <w:rFonts w:ascii="Times New Roman" w:hAnsi="Times New Roman"/>
        </w:rPr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F0ED5" w:rsidRDefault="00DC10A5" w:rsidP="00E0069B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8F0ED5" w:rsidSect="008F0ED5">
          <w:type w:val="continuous"/>
          <w:pgSz w:w="11906" w:h="16838"/>
          <w:pgMar w:top="567" w:right="1418" w:bottom="1418" w:left="1418" w:header="709" w:footer="680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8"/>
        </w:rPr>
        <w:br/>
      </w:r>
    </w:p>
    <w:tbl>
      <w:tblPr>
        <w:tblW w:w="7220" w:type="dxa"/>
        <w:tblCellMar>
          <w:left w:w="70" w:type="dxa"/>
          <w:right w:w="70" w:type="dxa"/>
        </w:tblCellMar>
        <w:tblLook w:val="04A0"/>
      </w:tblPr>
      <w:tblGrid>
        <w:gridCol w:w="1120"/>
        <w:gridCol w:w="3123"/>
        <w:gridCol w:w="1559"/>
        <w:gridCol w:w="1418"/>
      </w:tblGrid>
      <w:tr w:rsidR="00E0069B" w:rsidRPr="00E0069B" w:rsidTr="00A25ED3">
        <w:trPr>
          <w:trHeight w:val="30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Cs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color w:val="FF0000"/>
                <w:sz w:val="28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Év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69B" w:rsidRPr="00234F74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1B1855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234F74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1B1855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7</w:t>
            </w:r>
          </w:p>
        </w:tc>
      </w:tr>
      <w:tr w:rsidR="00E0069B" w:rsidRPr="00E0069B" w:rsidTr="00D302B1">
        <w:trPr>
          <w:trHeight w:val="2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069B" w:rsidRPr="00E0069B" w:rsidRDefault="00234F74" w:rsidP="00234F74">
            <w:pPr>
              <w:spacing w:after="0" w:line="240" w:lineRule="auto"/>
              <w:ind w:left="113" w:right="113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234F74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Statisztikai forgalom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69B" w:rsidRPr="00E0069B" w:rsidRDefault="00E0069B" w:rsidP="00E0069B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069B" w:rsidRPr="00E0069B" w:rsidRDefault="001B1855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69B" w:rsidRPr="00E0069B" w:rsidRDefault="002130E7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2130E7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175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2130E7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CF6A01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</w:t>
            </w:r>
            <w:r w:rsidR="001E19A8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T/G darabszám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CF6A01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293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gépszám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8B4D8C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891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műveletszám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2538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1F46ED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2542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F313C9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1546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C262D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1547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3369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C262D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3093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9546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4068CD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7407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9510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8C2D2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6936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utas</w:t>
            </w: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 xml:space="preserve"> (kereskedelmi és magán)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19056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1855" w:rsidRPr="00E0069B" w:rsidRDefault="00A6481A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17436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D302B1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1B1855" w:rsidRPr="00E0069B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11268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A6481A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15092</w:t>
            </w:r>
          </w:p>
        </w:tc>
      </w:tr>
      <w:tr w:rsidR="001B1855" w:rsidRPr="00E0069B" w:rsidTr="00D302B1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1855" w:rsidRPr="00E0069B" w:rsidRDefault="001B1855" w:rsidP="001B1855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E0069B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árumozgás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1B1855" w:rsidRPr="00E0069B" w:rsidRDefault="001B1855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11268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B1855" w:rsidRPr="00E0069B" w:rsidRDefault="00A6481A" w:rsidP="001B1855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15092</w:t>
            </w:r>
          </w:p>
        </w:tc>
      </w:tr>
    </w:tbl>
    <w:p w:rsidR="00ED6117" w:rsidRDefault="00ED6117" w:rsidP="00C96276">
      <w:pPr>
        <w:rPr>
          <w:rFonts w:ascii="Times New Roman" w:hAnsi="Times New Roman"/>
        </w:rPr>
      </w:pPr>
    </w:p>
    <w:p w:rsidR="00337F8C" w:rsidRDefault="007F6ACA" w:rsidP="00C96276">
      <w:pPr>
        <w:rPr>
          <w:rFonts w:ascii="Times New Roman" w:hAnsi="Times New Roman"/>
        </w:rPr>
      </w:pPr>
      <w:r w:rsidRPr="007F6ACA">
        <w:rPr>
          <w:rFonts w:ascii="Times New Roman" w:hAnsi="Times New Roman"/>
        </w:rPr>
        <w:t>A repülőtéren</w:t>
      </w:r>
      <w:r>
        <w:rPr>
          <w:rFonts w:ascii="Times New Roman" w:hAnsi="Times New Roman"/>
        </w:rPr>
        <w:t xml:space="preserve"> 201</w:t>
      </w:r>
      <w:r w:rsidR="009F08D3">
        <w:rPr>
          <w:rFonts w:ascii="Times New Roman" w:hAnsi="Times New Roman"/>
        </w:rPr>
        <w:t>7</w:t>
      </w:r>
      <w:r>
        <w:rPr>
          <w:rFonts w:ascii="Times New Roman" w:hAnsi="Times New Roman"/>
        </w:rPr>
        <w:t>-b</w:t>
      </w:r>
      <w:r w:rsidR="009F08D3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n </w:t>
      </w:r>
      <w:r w:rsidR="000B1C5E">
        <w:rPr>
          <w:rFonts w:ascii="Times New Roman" w:hAnsi="Times New Roman"/>
          <w:b/>
        </w:rPr>
        <w:t>14343</w:t>
      </w:r>
      <w:r>
        <w:rPr>
          <w:rFonts w:ascii="Times New Roman" w:hAnsi="Times New Roman"/>
        </w:rPr>
        <w:t>utas fordult meg</w:t>
      </w:r>
      <w:r w:rsidR="003A159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Ehhez még hozzájön a sport, áruszállító és az üzleti célú repülések személyzete, akik szintén jellemzően eltöltenek itt 1 vagy több napot.</w:t>
      </w:r>
      <w:r>
        <w:rPr>
          <w:rFonts w:ascii="Times New Roman" w:hAnsi="Times New Roman"/>
        </w:rPr>
        <w:br/>
        <w:t xml:space="preserve">A repülőtér teljes személyforgalma </w:t>
      </w:r>
      <w:r w:rsidR="00CA03C6" w:rsidRPr="003F5EAB">
        <w:rPr>
          <w:rFonts w:ascii="Times New Roman" w:hAnsi="Times New Roman"/>
          <w:b/>
        </w:rPr>
        <w:t>201</w:t>
      </w:r>
      <w:r w:rsidR="002B5389">
        <w:rPr>
          <w:rFonts w:ascii="Times New Roman" w:hAnsi="Times New Roman"/>
          <w:b/>
        </w:rPr>
        <w:t>7</w:t>
      </w:r>
      <w:r w:rsidR="00CA03C6" w:rsidRPr="003F5EAB">
        <w:rPr>
          <w:rFonts w:ascii="Times New Roman" w:hAnsi="Times New Roman"/>
          <w:b/>
        </w:rPr>
        <w:t>-b</w:t>
      </w:r>
      <w:r w:rsidR="002B5389">
        <w:rPr>
          <w:rFonts w:ascii="Times New Roman" w:hAnsi="Times New Roman"/>
          <w:b/>
        </w:rPr>
        <w:t>e</w:t>
      </w:r>
      <w:r w:rsidR="00CA03C6" w:rsidRPr="003F5EAB">
        <w:rPr>
          <w:rFonts w:ascii="Times New Roman" w:hAnsi="Times New Roman"/>
          <w:b/>
        </w:rPr>
        <w:t>n</w:t>
      </w:r>
      <w:r>
        <w:rPr>
          <w:rFonts w:ascii="Times New Roman" w:hAnsi="Times New Roman"/>
        </w:rPr>
        <w:t xml:space="preserve">a személyzetekkel együtt összesen: </w:t>
      </w:r>
      <w:r w:rsidR="00324C1E">
        <w:rPr>
          <w:rFonts w:ascii="Times New Roman" w:hAnsi="Times New Roman"/>
          <w:b/>
        </w:rPr>
        <w:t>17436</w:t>
      </w:r>
      <w:r w:rsidR="00CA03C6">
        <w:rPr>
          <w:rFonts w:ascii="Times New Roman" w:hAnsi="Times New Roman"/>
          <w:b/>
        </w:rPr>
        <w:t xml:space="preserve"> fő</w:t>
      </w:r>
      <w:r w:rsidR="003F5EAB">
        <w:rPr>
          <w:rFonts w:ascii="Times New Roman" w:hAnsi="Times New Roman"/>
        </w:rPr>
        <w:t>volt</w:t>
      </w:r>
      <w:r w:rsidR="00AB713C">
        <w:rPr>
          <w:rFonts w:ascii="Times New Roman" w:hAnsi="Times New Roman"/>
        </w:rPr>
        <w:t>.</w:t>
      </w:r>
    </w:p>
    <w:p w:rsidR="00AF5F30" w:rsidRDefault="00AF5F30" w:rsidP="00C96276">
      <w:pPr>
        <w:rPr>
          <w:rFonts w:ascii="Times New Roman" w:hAnsi="Times New Roman"/>
          <w:b/>
          <w:sz w:val="24"/>
        </w:rPr>
      </w:pPr>
    </w:p>
    <w:p w:rsidR="009836F7" w:rsidRDefault="004204CE" w:rsidP="00C96276">
      <w:pPr>
        <w:rPr>
          <w:rFonts w:ascii="Times New Roman" w:hAnsi="Times New Roman"/>
        </w:rPr>
      </w:pPr>
      <w:r w:rsidRPr="004204CE">
        <w:rPr>
          <w:rFonts w:ascii="Times New Roman" w:hAnsi="Times New Roman"/>
          <w:b/>
          <w:sz w:val="24"/>
        </w:rPr>
        <w:t>A forgalom</w:t>
      </w:r>
      <w:r w:rsidR="006B74E2">
        <w:rPr>
          <w:rFonts w:ascii="Times New Roman" w:hAnsi="Times New Roman"/>
          <w:b/>
          <w:sz w:val="24"/>
        </w:rPr>
        <w:t>alakulásának</w:t>
      </w:r>
      <w:r w:rsidRPr="004204CE">
        <w:rPr>
          <w:rFonts w:ascii="Times New Roman" w:hAnsi="Times New Roman"/>
          <w:b/>
          <w:sz w:val="24"/>
        </w:rPr>
        <w:t xml:space="preserve"> okai:</w:t>
      </w:r>
      <w:r>
        <w:rPr>
          <w:rFonts w:ascii="Times New Roman" w:hAnsi="Times New Roman"/>
          <w:b/>
          <w:sz w:val="24"/>
        </w:rPr>
        <w:br/>
      </w:r>
      <w:r w:rsidR="00337F8C">
        <w:rPr>
          <w:rFonts w:ascii="Times New Roman" w:hAnsi="Times New Roman"/>
        </w:rPr>
        <w:t xml:space="preserve">A </w:t>
      </w:r>
      <w:r w:rsidR="00627F0A">
        <w:rPr>
          <w:rFonts w:ascii="Times New Roman" w:hAnsi="Times New Roman"/>
        </w:rPr>
        <w:t>repülőtér 201</w:t>
      </w:r>
      <w:r w:rsidR="00AF73E1">
        <w:rPr>
          <w:rFonts w:ascii="Times New Roman" w:hAnsi="Times New Roman"/>
        </w:rPr>
        <w:t>7</w:t>
      </w:r>
      <w:r w:rsidR="00627F0A">
        <w:rPr>
          <w:rFonts w:ascii="Times New Roman" w:hAnsi="Times New Roman"/>
        </w:rPr>
        <w:t>-</w:t>
      </w:r>
      <w:r w:rsidR="006B74E2">
        <w:rPr>
          <w:rFonts w:ascii="Times New Roman" w:hAnsi="Times New Roman"/>
        </w:rPr>
        <w:t>o</w:t>
      </w:r>
      <w:r w:rsidR="00627F0A">
        <w:rPr>
          <w:rFonts w:ascii="Times New Roman" w:hAnsi="Times New Roman"/>
        </w:rPr>
        <w:t xml:space="preserve">s </w:t>
      </w:r>
      <w:r w:rsidR="006B74E2">
        <w:rPr>
          <w:rFonts w:ascii="Times New Roman" w:hAnsi="Times New Roman"/>
        </w:rPr>
        <w:t>forgalom</w:t>
      </w:r>
      <w:r w:rsidR="00627F0A">
        <w:rPr>
          <w:rFonts w:ascii="Times New Roman" w:hAnsi="Times New Roman"/>
        </w:rPr>
        <w:t xml:space="preserve"> bővülés</w:t>
      </w:r>
      <w:r w:rsidR="00337F8C">
        <w:rPr>
          <w:rFonts w:ascii="Times New Roman" w:hAnsi="Times New Roman"/>
        </w:rPr>
        <w:t xml:space="preserve"> tervezetében szerepelő 2 célállomás </w:t>
      </w:r>
      <w:r w:rsidR="000D0A04">
        <w:rPr>
          <w:rFonts w:ascii="Times New Roman" w:hAnsi="Times New Roman"/>
        </w:rPr>
        <w:t>(Antalya, Tel</w:t>
      </w:r>
      <w:r w:rsidR="00510693">
        <w:rPr>
          <w:rFonts w:ascii="Times New Roman" w:hAnsi="Times New Roman"/>
        </w:rPr>
        <w:t>-</w:t>
      </w:r>
      <w:r w:rsidR="000D0A04">
        <w:rPr>
          <w:rFonts w:ascii="Times New Roman" w:hAnsi="Times New Roman"/>
        </w:rPr>
        <w:t>Aviv</w:t>
      </w:r>
      <w:r w:rsidR="00361F8F">
        <w:rPr>
          <w:rFonts w:ascii="Times New Roman" w:hAnsi="Times New Roman"/>
        </w:rPr>
        <w:t>)</w:t>
      </w:r>
      <w:r w:rsidR="00510693">
        <w:rPr>
          <w:rFonts w:ascii="Times New Roman" w:hAnsi="Times New Roman"/>
        </w:rPr>
        <w:t xml:space="preserve"> nem valósult meg. A </w:t>
      </w:r>
      <w:r w:rsidR="005C3D2B">
        <w:rPr>
          <w:rFonts w:ascii="Times New Roman" w:hAnsi="Times New Roman"/>
        </w:rPr>
        <w:t xml:space="preserve">törökországi kiutaztató iroda </w:t>
      </w:r>
      <w:r w:rsidR="00261102">
        <w:rPr>
          <w:rFonts w:ascii="Times New Roman" w:hAnsi="Times New Roman"/>
        </w:rPr>
        <w:t>először átalakulást</w:t>
      </w:r>
      <w:r w:rsidR="00BB6B51">
        <w:rPr>
          <w:rFonts w:ascii="Times New Roman" w:hAnsi="Times New Roman"/>
        </w:rPr>
        <w:t xml:space="preserve"> jelentett be, végül azonban csődöt jelentett.</w:t>
      </w:r>
      <w:r w:rsidR="004E7E9F">
        <w:rPr>
          <w:rFonts w:ascii="Times New Roman" w:hAnsi="Times New Roman"/>
        </w:rPr>
        <w:t xml:space="preserve"> A tervezett járatokat értelemszerűen </w:t>
      </w:r>
      <w:r w:rsidR="004D4ECA">
        <w:rPr>
          <w:rFonts w:ascii="Times New Roman" w:hAnsi="Times New Roman"/>
        </w:rPr>
        <w:t>törölték.</w:t>
      </w:r>
    </w:p>
    <w:p w:rsidR="004D4ECA" w:rsidRDefault="004D4ECA" w:rsidP="00C962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Tel-Aviv </w:t>
      </w:r>
      <w:r w:rsidR="00E867E5">
        <w:rPr>
          <w:rFonts w:ascii="Times New Roman" w:hAnsi="Times New Roman"/>
        </w:rPr>
        <w:t>célállomással repülő járat légitársaság kapacitás hiányában nem tudott elindulni.</w:t>
      </w:r>
      <w:r w:rsidR="005908AD">
        <w:rPr>
          <w:rFonts w:ascii="Times New Roman" w:hAnsi="Times New Roman"/>
        </w:rPr>
        <w:t xml:space="preserve"> Mivel az izraeli légitársaságok már minden kapacitásuk eladták</w:t>
      </w:r>
      <w:r w:rsidR="00FD21E8">
        <w:rPr>
          <w:rFonts w:ascii="Times New Roman" w:hAnsi="Times New Roman"/>
        </w:rPr>
        <w:t xml:space="preserve">, sőt más társaságoktól bérelt gépeket vonnak be járataik teljesítésébe, így </w:t>
      </w:r>
      <w:r w:rsidR="00802C9F">
        <w:rPr>
          <w:rFonts w:ascii="Times New Roman" w:hAnsi="Times New Roman"/>
        </w:rPr>
        <w:t xml:space="preserve">csak európai légitársaság jöhetett szóba. Mivel a Hévíz-Balaton repülőtéren még nincs egyetlen légitársaságnak se bázisa, így </w:t>
      </w:r>
      <w:r w:rsidR="00953CF0">
        <w:rPr>
          <w:rFonts w:ascii="Times New Roman" w:hAnsi="Times New Roman"/>
        </w:rPr>
        <w:t xml:space="preserve">az üres átrepülési szakaszok miatt </w:t>
      </w:r>
      <w:r w:rsidR="009F5204">
        <w:rPr>
          <w:rFonts w:ascii="Times New Roman" w:hAnsi="Times New Roman"/>
        </w:rPr>
        <w:t>versenyképes árat egyetlen járatüzemeltető se tudott adni az irodák felé.</w:t>
      </w:r>
    </w:p>
    <w:p w:rsidR="005B2EB1" w:rsidRDefault="005B2EB1" w:rsidP="00C96276">
      <w:pPr>
        <w:rPr>
          <w:rFonts w:ascii="Times New Roman" w:hAnsi="Times New Roman"/>
        </w:rPr>
      </w:pPr>
    </w:p>
    <w:p w:rsidR="00DC07BC" w:rsidRPr="00B576A3" w:rsidRDefault="00DC07BC" w:rsidP="00DC07BC">
      <w:pPr>
        <w:rPr>
          <w:rFonts w:ascii="Times New Roman" w:hAnsi="Times New Roman"/>
          <w:b/>
          <w:sz w:val="28"/>
        </w:rPr>
      </w:pPr>
      <w:r w:rsidRPr="00B576A3">
        <w:rPr>
          <w:rFonts w:ascii="Times New Roman" w:hAnsi="Times New Roman"/>
          <w:b/>
          <w:sz w:val="28"/>
        </w:rPr>
        <w:t>A Hévíz-Balaton Airport Kft. 201</w:t>
      </w:r>
      <w:r w:rsidR="00001721">
        <w:rPr>
          <w:rFonts w:ascii="Times New Roman" w:hAnsi="Times New Roman"/>
          <w:b/>
          <w:sz w:val="28"/>
        </w:rPr>
        <w:t>7</w:t>
      </w:r>
      <w:r w:rsidRPr="00B576A3">
        <w:rPr>
          <w:rFonts w:ascii="Times New Roman" w:hAnsi="Times New Roman"/>
          <w:b/>
          <w:sz w:val="28"/>
        </w:rPr>
        <w:t xml:space="preserve"> évi gazdálkodása:</w:t>
      </w:r>
    </w:p>
    <w:p w:rsidR="00671180" w:rsidRDefault="00DC07BC" w:rsidP="00671180">
      <w:pPr>
        <w:rPr>
          <w:rFonts w:ascii="Times New Roman" w:hAnsi="Times New Roman"/>
          <w:b/>
        </w:rPr>
      </w:pPr>
      <w:r w:rsidRPr="00DC07BC">
        <w:rPr>
          <w:rFonts w:ascii="Times New Roman" w:hAnsi="Times New Roman"/>
          <w:b/>
        </w:rPr>
        <w:t>A Hévíz-Balaton Airport Kft. 201</w:t>
      </w:r>
      <w:r w:rsidR="00001721">
        <w:rPr>
          <w:rFonts w:ascii="Times New Roman" w:hAnsi="Times New Roman"/>
          <w:b/>
        </w:rPr>
        <w:t>7</w:t>
      </w:r>
      <w:r w:rsidRPr="00DC07BC">
        <w:rPr>
          <w:rFonts w:ascii="Times New Roman" w:hAnsi="Times New Roman"/>
          <w:b/>
        </w:rPr>
        <w:t xml:space="preserve"> évi </w:t>
      </w:r>
      <w:r w:rsidR="00671180">
        <w:rPr>
          <w:rFonts w:ascii="Times New Roman" w:hAnsi="Times New Roman"/>
          <w:b/>
        </w:rPr>
        <w:t>gazdálkodási adatai jelen beszámoló mellékleteiként kerülnek benyújtásra az alábbiak szerint:</w:t>
      </w:r>
      <w:r w:rsidR="0045711F"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Egyszerűsített éves beszámoló mérlege „A” változat</w:t>
      </w:r>
      <w:r>
        <w:rPr>
          <w:rFonts w:ascii="Times New Roman" w:hAnsi="Times New Roman"/>
          <w:b/>
        </w:rPr>
        <w:br/>
      </w:r>
    </w:p>
    <w:p w:rsidR="00671180" w:rsidRDefault="00E53DE9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Egyszerűsített éves beszámoló</w:t>
      </w:r>
      <w:r w:rsidR="00671180">
        <w:rPr>
          <w:rFonts w:ascii="Times New Roman" w:hAnsi="Times New Roman"/>
          <w:b/>
        </w:rPr>
        <w:t xml:space="preserve"> eredmény kimutatása (összköltség eljárással)</w:t>
      </w:r>
      <w:r w:rsidR="00671180"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Kiegészítő melléklet 201</w:t>
      </w:r>
      <w:r w:rsidR="00001721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br/>
      </w:r>
    </w:p>
    <w:p w:rsidR="00671180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Független könyvvizsgálói jelentés</w:t>
      </w:r>
      <w:r>
        <w:rPr>
          <w:rFonts w:ascii="Times New Roman" w:hAnsi="Times New Roman"/>
          <w:b/>
        </w:rPr>
        <w:br/>
      </w:r>
    </w:p>
    <w:p w:rsidR="00671180" w:rsidRDefault="00E50F0C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Teljességi</w:t>
      </w:r>
      <w:r w:rsidR="00671180">
        <w:rPr>
          <w:rFonts w:ascii="Times New Roman" w:hAnsi="Times New Roman"/>
          <w:b/>
        </w:rPr>
        <w:t xml:space="preserve"> nyilatkozat</w:t>
      </w:r>
      <w:r>
        <w:rPr>
          <w:rFonts w:ascii="Times New Roman" w:hAnsi="Times New Roman"/>
          <w:b/>
        </w:rPr>
        <w:t xml:space="preserve"> 201</w:t>
      </w:r>
      <w:r w:rsidR="00001721">
        <w:rPr>
          <w:rFonts w:ascii="Times New Roman" w:hAnsi="Times New Roman"/>
          <w:b/>
        </w:rPr>
        <w:t>7</w:t>
      </w:r>
    </w:p>
    <w:p w:rsidR="00671180" w:rsidRDefault="00671180" w:rsidP="00671180">
      <w:pPr>
        <w:rPr>
          <w:rFonts w:ascii="Times New Roman" w:hAnsi="Times New Roman"/>
          <w:b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C03AF9" w:rsidRDefault="00C03AF9" w:rsidP="00671180">
      <w:pPr>
        <w:rPr>
          <w:rFonts w:ascii="Times New Roman" w:hAnsi="Times New Roman"/>
          <w:b/>
          <w:sz w:val="24"/>
        </w:rPr>
        <w:sectPr w:rsidR="00C03AF9" w:rsidSect="009503F7">
          <w:type w:val="continuous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</w:p>
    <w:p w:rsidR="0077689F" w:rsidRDefault="0077689F" w:rsidP="00671180">
      <w:pPr>
        <w:rPr>
          <w:rFonts w:ascii="Times New Roman" w:hAnsi="Times New Roman"/>
          <w:b/>
          <w:sz w:val="24"/>
        </w:rPr>
        <w:sectPr w:rsidR="0077689F" w:rsidSect="00C03AF9">
          <w:type w:val="continuous"/>
          <w:pgSz w:w="11906" w:h="16838"/>
          <w:pgMar w:top="567" w:right="1418" w:bottom="244" w:left="1418" w:header="709" w:footer="680" w:gutter="0"/>
          <w:cols w:space="708"/>
          <w:docGrid w:linePitch="360"/>
        </w:sectPr>
      </w:pPr>
    </w:p>
    <w:p w:rsidR="005B5351" w:rsidRDefault="0045711F" w:rsidP="00C03AF9">
      <w:pPr>
        <w:jc w:val="center"/>
        <w:rPr>
          <w:rFonts w:ascii="Times New Roman" w:hAnsi="Times New Roman"/>
        </w:rPr>
      </w:pPr>
      <w:r w:rsidRPr="0045711F">
        <w:rPr>
          <w:rFonts w:ascii="Times New Roman" w:hAnsi="Times New Roman"/>
          <w:b/>
          <w:sz w:val="28"/>
        </w:rPr>
        <w:lastRenderedPageBreak/>
        <w:t>A Hévíz-B</w:t>
      </w:r>
      <w:r w:rsidR="006C3334">
        <w:rPr>
          <w:rFonts w:ascii="Times New Roman" w:hAnsi="Times New Roman"/>
          <w:b/>
          <w:sz w:val="28"/>
        </w:rPr>
        <w:t>alaton Airport Kft. 201</w:t>
      </w:r>
      <w:r w:rsidR="00001721">
        <w:rPr>
          <w:rFonts w:ascii="Times New Roman" w:hAnsi="Times New Roman"/>
          <w:b/>
          <w:sz w:val="28"/>
        </w:rPr>
        <w:t>7</w:t>
      </w:r>
      <w:r w:rsidR="006C3334">
        <w:rPr>
          <w:rFonts w:ascii="Times New Roman" w:hAnsi="Times New Roman"/>
          <w:b/>
          <w:sz w:val="28"/>
        </w:rPr>
        <w:t xml:space="preserve"> évi pénzügyi teljesít</w:t>
      </w:r>
      <w:r w:rsidR="0077689F">
        <w:rPr>
          <w:rFonts w:ascii="Times New Roman" w:hAnsi="Times New Roman"/>
          <w:b/>
          <w:sz w:val="28"/>
        </w:rPr>
        <w:t>ménye</w:t>
      </w:r>
      <w:r w:rsidRPr="0045711F">
        <w:rPr>
          <w:rFonts w:ascii="Times New Roman" w:hAnsi="Times New Roman"/>
          <w:b/>
          <w:sz w:val="28"/>
        </w:rPr>
        <w:t xml:space="preserve">a </w:t>
      </w:r>
      <w:r w:rsidR="0077689F">
        <w:rPr>
          <w:rFonts w:ascii="Times New Roman" w:hAnsi="Times New Roman"/>
          <w:b/>
          <w:sz w:val="28"/>
        </w:rPr>
        <w:t>belső analitikus nyilvántartások alapján.</w:t>
      </w:r>
      <w:r w:rsidR="0077689F">
        <w:rPr>
          <w:rFonts w:ascii="Times New Roman" w:hAnsi="Times New Roman"/>
          <w:b/>
          <w:sz w:val="28"/>
        </w:rPr>
        <w:br/>
      </w:r>
      <w:r w:rsidR="006C3334" w:rsidRPr="006C3334">
        <w:rPr>
          <w:rFonts w:ascii="Times New Roman" w:hAnsi="Times New Roman"/>
        </w:rPr>
        <w:t>(Jelen táblázatok</w:t>
      </w:r>
      <w:r w:rsidR="006C3334">
        <w:rPr>
          <w:rFonts w:ascii="Times New Roman" w:hAnsi="Times New Roman"/>
        </w:rPr>
        <w:t xml:space="preserve"> minden, a repülőtér működése során </w:t>
      </w:r>
      <w:r w:rsidR="0077689F">
        <w:rPr>
          <w:rFonts w:ascii="Times New Roman" w:hAnsi="Times New Roman"/>
        </w:rPr>
        <w:t>felmerült és könyvelésre került befogadott és kiállított számlát tartalmaznak)</w:t>
      </w:r>
    </w:p>
    <w:p w:rsidR="00015F19" w:rsidRPr="00015F19" w:rsidRDefault="005B5351" w:rsidP="00015F19">
      <w:pPr>
        <w:jc w:val="center"/>
        <w:rPr>
          <w:rFonts w:ascii="Times New Roman" w:hAnsi="Times New Roman"/>
          <w:b/>
          <w:sz w:val="28"/>
        </w:rPr>
      </w:pPr>
      <w:r w:rsidRPr="005B5351">
        <w:rPr>
          <w:rFonts w:ascii="Times New Roman" w:hAnsi="Times New Roman"/>
          <w:b/>
          <w:sz w:val="24"/>
        </w:rPr>
        <w:t>Bevételek 201</w:t>
      </w:r>
      <w:r w:rsidR="00F77424">
        <w:rPr>
          <w:rFonts w:ascii="Times New Roman" w:hAnsi="Times New Roman"/>
          <w:b/>
          <w:sz w:val="24"/>
        </w:rPr>
        <w:t>7</w:t>
      </w:r>
      <w:r w:rsidRPr="005B5351">
        <w:rPr>
          <w:rFonts w:ascii="Times New Roman" w:hAnsi="Times New Roman"/>
          <w:b/>
          <w:sz w:val="24"/>
        </w:rPr>
        <w:t xml:space="preserve"> első félév</w:t>
      </w:r>
      <w:r w:rsidR="00C03AF9">
        <w:rPr>
          <w:rFonts w:ascii="Times New Roman" w:hAnsi="Times New Roman"/>
        </w:rPr>
        <w:br/>
      </w:r>
      <w:r w:rsidR="007643EF" w:rsidRPr="007643EF">
        <w:rPr>
          <w:noProof/>
          <w:lang w:eastAsia="hu-HU"/>
        </w:rPr>
        <w:drawing>
          <wp:inline distT="0" distB="0" distL="0" distR="0">
            <wp:extent cx="9864185" cy="4695825"/>
            <wp:effectExtent l="0" t="0" r="381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6919" cy="4697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092">
        <w:rPr>
          <w:rFonts w:ascii="Times New Roman" w:hAnsi="Times New Roman"/>
          <w:b/>
        </w:rPr>
        <w:lastRenderedPageBreak/>
        <w:br/>
      </w:r>
    </w:p>
    <w:p w:rsidR="00096B13" w:rsidRDefault="0083394D" w:rsidP="00B37942">
      <w:pPr>
        <w:jc w:val="center"/>
        <w:rPr>
          <w:rFonts w:ascii="Times New Roman" w:hAnsi="Times New Roman"/>
          <w:b/>
        </w:rPr>
        <w:sectPr w:rsidR="00096B13" w:rsidSect="00C03AF9">
          <w:type w:val="continuous"/>
          <w:pgSz w:w="16838" w:h="11906" w:orient="landscape"/>
          <w:pgMar w:top="1418" w:right="1418" w:bottom="244" w:left="567" w:header="709" w:footer="680" w:gutter="0"/>
          <w:cols w:space="708"/>
          <w:docGrid w:linePitch="360"/>
        </w:sectPr>
      </w:pPr>
      <w:r w:rsidRPr="0083394D">
        <w:rPr>
          <w:noProof/>
          <w:lang w:eastAsia="hu-H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198755</wp:posOffset>
            </wp:positionV>
            <wp:extent cx="1600200" cy="4924425"/>
            <wp:effectExtent l="0" t="0" r="0" b="9525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2658">
        <w:rPr>
          <w:noProof/>
          <w:lang w:eastAsia="hu-H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1821180</wp:posOffset>
            </wp:positionH>
            <wp:positionV relativeFrom="paragraph">
              <wp:posOffset>198755</wp:posOffset>
            </wp:positionV>
            <wp:extent cx="8176260" cy="4914900"/>
            <wp:effectExtent l="0" t="0" r="0" b="0"/>
            <wp:wrapNone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626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7942">
        <w:rPr>
          <w:rFonts w:ascii="Times New Roman" w:hAnsi="Times New Roman"/>
          <w:b/>
          <w:sz w:val="24"/>
        </w:rPr>
        <w:t>Bevételek 201</w:t>
      </w:r>
      <w:r w:rsidR="00D12088">
        <w:rPr>
          <w:rFonts w:ascii="Times New Roman" w:hAnsi="Times New Roman"/>
          <w:b/>
          <w:sz w:val="24"/>
        </w:rPr>
        <w:t>7</w:t>
      </w:r>
      <w:r w:rsidR="00B37942">
        <w:rPr>
          <w:rFonts w:ascii="Times New Roman" w:hAnsi="Times New Roman"/>
          <w:b/>
          <w:sz w:val="24"/>
        </w:rPr>
        <w:t xml:space="preserve"> második félév</w:t>
      </w:r>
      <w:r w:rsidR="00222AD4">
        <w:rPr>
          <w:rFonts w:ascii="Times New Roman" w:hAnsi="Times New Roman"/>
          <w:b/>
          <w:sz w:val="24"/>
        </w:rPr>
        <w:br/>
      </w:r>
      <w:r w:rsidR="00222AD4">
        <w:rPr>
          <w:rFonts w:ascii="Times New Roman" w:hAnsi="Times New Roman"/>
          <w:b/>
          <w:sz w:val="24"/>
        </w:rPr>
        <w:br/>
      </w:r>
    </w:p>
    <w:p w:rsidR="009503F7" w:rsidRDefault="009503F7" w:rsidP="00F76574">
      <w:pPr>
        <w:jc w:val="center"/>
        <w:rPr>
          <w:rFonts w:ascii="Times New Roman" w:hAnsi="Times New Roman"/>
          <w:b/>
          <w:sz w:val="24"/>
        </w:rPr>
        <w:sectPr w:rsidR="009503F7" w:rsidSect="00C03AF9">
          <w:type w:val="continuous"/>
          <w:pgSz w:w="16838" w:h="11906" w:orient="landscape" w:code="9"/>
          <w:pgMar w:top="1418" w:right="1418" w:bottom="244" w:left="567" w:header="709" w:footer="510" w:gutter="0"/>
          <w:cols w:space="708"/>
          <w:docGrid w:linePitch="360"/>
        </w:sectPr>
      </w:pPr>
    </w:p>
    <w:p w:rsidR="00BD3A0F" w:rsidRDefault="00BD3A0F" w:rsidP="00F76574">
      <w:pPr>
        <w:jc w:val="center"/>
        <w:rPr>
          <w:rFonts w:ascii="Times New Roman" w:hAnsi="Times New Roman"/>
          <w:b/>
          <w:sz w:val="24"/>
        </w:rPr>
        <w:sectPr w:rsidR="00BD3A0F" w:rsidSect="009503F7">
          <w:type w:val="continuous"/>
          <w:pgSz w:w="16838" w:h="11906" w:orient="landscape" w:code="9"/>
          <w:pgMar w:top="1418" w:right="1418" w:bottom="244" w:left="1418" w:header="709" w:footer="510" w:gutter="0"/>
          <w:cols w:space="708"/>
          <w:docGrid w:linePitch="360"/>
        </w:sectPr>
      </w:pPr>
    </w:p>
    <w:p w:rsidR="00613F68" w:rsidRDefault="00613F68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9503F7" w:rsidRPr="00D907C7" w:rsidRDefault="00D907C7" w:rsidP="00BD3A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Üzemi b</w:t>
      </w:r>
      <w:r w:rsidR="00BD3A0F">
        <w:rPr>
          <w:rFonts w:ascii="Times New Roman" w:hAnsi="Times New Roman"/>
          <w:b/>
          <w:sz w:val="24"/>
        </w:rPr>
        <w:t>evételek</w:t>
      </w:r>
      <w:r w:rsidR="009503F7">
        <w:rPr>
          <w:rFonts w:ascii="Times New Roman" w:hAnsi="Times New Roman"/>
          <w:b/>
          <w:sz w:val="24"/>
        </w:rPr>
        <w:t xml:space="preserve"> éves alakulása:</w:t>
      </w:r>
      <w:r w:rsidR="00613F68">
        <w:rPr>
          <w:rFonts w:ascii="Times New Roman" w:hAnsi="Times New Roman"/>
          <w:b/>
          <w:sz w:val="24"/>
        </w:rPr>
        <w:br/>
      </w:r>
      <w:r w:rsidR="009503F7" w:rsidRPr="00D907C7">
        <w:rPr>
          <w:rFonts w:ascii="Times New Roman" w:hAnsi="Times New Roman"/>
        </w:rPr>
        <w:t>A Kft. 201</w:t>
      </w:r>
      <w:r w:rsidR="000729A0">
        <w:rPr>
          <w:rFonts w:ascii="Times New Roman" w:hAnsi="Times New Roman"/>
        </w:rPr>
        <w:t>7</w:t>
      </w:r>
      <w:r w:rsidR="009503F7" w:rsidRPr="00D907C7">
        <w:rPr>
          <w:rFonts w:ascii="Times New Roman" w:hAnsi="Times New Roman"/>
        </w:rPr>
        <w:t xml:space="preserve"> évi, üzemanyag eladástól mentes, üzleti bevételei a tervezett </w:t>
      </w:r>
      <w:r w:rsidR="009503F7" w:rsidRPr="00D907C7">
        <w:rPr>
          <w:rFonts w:ascii="Times New Roman" w:hAnsi="Times New Roman"/>
          <w:b/>
        </w:rPr>
        <w:t>1</w:t>
      </w:r>
      <w:r w:rsidR="007524CC">
        <w:rPr>
          <w:rFonts w:ascii="Times New Roman" w:hAnsi="Times New Roman"/>
          <w:b/>
        </w:rPr>
        <w:t>5</w:t>
      </w:r>
      <w:r w:rsidR="00F14107">
        <w:rPr>
          <w:rFonts w:ascii="Times New Roman" w:hAnsi="Times New Roman"/>
          <w:b/>
        </w:rPr>
        <w:t>4</w:t>
      </w:r>
      <w:r w:rsidR="009503F7" w:rsidRPr="00D907C7">
        <w:rPr>
          <w:rFonts w:ascii="Times New Roman" w:hAnsi="Times New Roman"/>
          <w:b/>
        </w:rPr>
        <w:t>.</w:t>
      </w:r>
      <w:r w:rsidR="007524CC">
        <w:rPr>
          <w:rFonts w:ascii="Times New Roman" w:hAnsi="Times New Roman"/>
          <w:b/>
        </w:rPr>
        <w:t>544</w:t>
      </w:r>
      <w:r w:rsidR="009503F7" w:rsidRPr="00D907C7">
        <w:rPr>
          <w:rFonts w:ascii="Times New Roman" w:hAnsi="Times New Roman"/>
          <w:b/>
        </w:rPr>
        <w:t>.</w:t>
      </w:r>
      <w:r w:rsidR="007524CC">
        <w:rPr>
          <w:rFonts w:ascii="Times New Roman" w:hAnsi="Times New Roman"/>
          <w:b/>
        </w:rPr>
        <w:t>616</w:t>
      </w:r>
      <w:r w:rsidR="009503F7" w:rsidRPr="00D907C7">
        <w:rPr>
          <w:rFonts w:ascii="Times New Roman" w:hAnsi="Times New Roman"/>
          <w:b/>
        </w:rPr>
        <w:t>.- forint</w:t>
      </w:r>
      <w:r w:rsidR="009503F7" w:rsidRPr="00D907C7">
        <w:rPr>
          <w:rFonts w:ascii="Times New Roman" w:hAnsi="Times New Roman"/>
        </w:rPr>
        <w:t xml:space="preserve"> helyett, attól </w:t>
      </w:r>
      <w:r w:rsidR="001A0FD7">
        <w:rPr>
          <w:rFonts w:ascii="Times New Roman" w:hAnsi="Times New Roman"/>
        </w:rPr>
        <w:t>46</w:t>
      </w:r>
      <w:r w:rsidR="003D4A3A" w:rsidRPr="00D907C7">
        <w:rPr>
          <w:rFonts w:ascii="Times New Roman" w:hAnsi="Times New Roman"/>
          <w:b/>
        </w:rPr>
        <w:t>.</w:t>
      </w:r>
      <w:r w:rsidR="001A0FD7">
        <w:rPr>
          <w:rFonts w:ascii="Times New Roman" w:hAnsi="Times New Roman"/>
          <w:b/>
        </w:rPr>
        <w:t>957</w:t>
      </w:r>
      <w:r w:rsidR="003D4A3A" w:rsidRPr="00D907C7">
        <w:rPr>
          <w:rFonts w:ascii="Times New Roman" w:hAnsi="Times New Roman"/>
          <w:b/>
        </w:rPr>
        <w:t>.</w:t>
      </w:r>
      <w:r w:rsidR="001A0FD7">
        <w:rPr>
          <w:rFonts w:ascii="Times New Roman" w:hAnsi="Times New Roman"/>
          <w:b/>
        </w:rPr>
        <w:t>897</w:t>
      </w:r>
      <w:r w:rsidR="003D4A3A" w:rsidRPr="00D907C7">
        <w:rPr>
          <w:rFonts w:ascii="Times New Roman" w:hAnsi="Times New Roman"/>
          <w:b/>
        </w:rPr>
        <w:t>.- forinttal</w:t>
      </w:r>
      <w:r w:rsidR="003D4A3A" w:rsidRPr="00D907C7">
        <w:rPr>
          <w:rFonts w:ascii="Times New Roman" w:hAnsi="Times New Roman"/>
        </w:rPr>
        <w:t xml:space="preserve"> elmaradva </w:t>
      </w:r>
      <w:r w:rsidR="003D4A3A" w:rsidRPr="00D907C7">
        <w:rPr>
          <w:rFonts w:ascii="Times New Roman" w:hAnsi="Times New Roman"/>
          <w:b/>
        </w:rPr>
        <w:t>1</w:t>
      </w:r>
      <w:r w:rsidR="000457A2">
        <w:rPr>
          <w:rFonts w:ascii="Times New Roman" w:hAnsi="Times New Roman"/>
          <w:b/>
        </w:rPr>
        <w:t>07</w:t>
      </w:r>
      <w:r w:rsidR="003D4A3A" w:rsidRPr="00D907C7">
        <w:rPr>
          <w:rFonts w:ascii="Times New Roman" w:hAnsi="Times New Roman"/>
          <w:b/>
        </w:rPr>
        <w:t>.</w:t>
      </w:r>
      <w:r w:rsidR="000457A2">
        <w:rPr>
          <w:rFonts w:ascii="Times New Roman" w:hAnsi="Times New Roman"/>
          <w:b/>
        </w:rPr>
        <w:t>587</w:t>
      </w:r>
      <w:r w:rsidR="003D4A3A" w:rsidRPr="00D907C7">
        <w:rPr>
          <w:rFonts w:ascii="Times New Roman" w:hAnsi="Times New Roman"/>
          <w:b/>
        </w:rPr>
        <w:t>.</w:t>
      </w:r>
      <w:r w:rsidR="00F14107">
        <w:rPr>
          <w:rFonts w:ascii="Times New Roman" w:hAnsi="Times New Roman"/>
          <w:b/>
        </w:rPr>
        <w:t>7</w:t>
      </w:r>
      <w:r w:rsidR="000457A2">
        <w:rPr>
          <w:rFonts w:ascii="Times New Roman" w:hAnsi="Times New Roman"/>
          <w:b/>
        </w:rPr>
        <w:t>18</w:t>
      </w:r>
      <w:r w:rsidR="003D4A3A" w:rsidRPr="00D907C7">
        <w:rPr>
          <w:rFonts w:ascii="Times New Roman" w:hAnsi="Times New Roman"/>
          <w:b/>
        </w:rPr>
        <w:t>.- forintra</w:t>
      </w:r>
      <w:r w:rsidR="003D4A3A" w:rsidRPr="00D907C7">
        <w:rPr>
          <w:rFonts w:ascii="Times New Roman" w:hAnsi="Times New Roman"/>
        </w:rPr>
        <w:t xml:space="preserve"> teljesült.</w:t>
      </w:r>
    </w:p>
    <w:p w:rsidR="00C66D63" w:rsidRDefault="000457A2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7E4B5B">
        <w:rPr>
          <w:rFonts w:ascii="Times New Roman" w:hAnsi="Times New Roman"/>
        </w:rPr>
        <w:t xml:space="preserve">törökországi </w:t>
      </w:r>
      <w:r w:rsidR="00EF2E26">
        <w:rPr>
          <w:rFonts w:ascii="Times New Roman" w:hAnsi="Times New Roman"/>
        </w:rPr>
        <w:t>terrorcselekmények</w:t>
      </w:r>
      <w:r w:rsidR="007E4B5B">
        <w:rPr>
          <w:rFonts w:ascii="Times New Roman" w:hAnsi="Times New Roman"/>
        </w:rPr>
        <w:t xml:space="preserve"> miatt a </w:t>
      </w:r>
      <w:r w:rsidR="00C66D63" w:rsidRPr="00D907C7">
        <w:rPr>
          <w:rFonts w:ascii="Times New Roman" w:hAnsi="Times New Roman"/>
        </w:rPr>
        <w:t>Török charterek</w:t>
      </w:r>
      <w:r>
        <w:rPr>
          <w:rFonts w:ascii="Times New Roman" w:hAnsi="Times New Roman"/>
        </w:rPr>
        <w:t>et üzemeltető iroda</w:t>
      </w:r>
      <w:r w:rsidR="00D43998">
        <w:rPr>
          <w:rFonts w:ascii="Times New Roman" w:hAnsi="Times New Roman"/>
        </w:rPr>
        <w:t xml:space="preserve"> a 2016 évi, szezon közbeni járatbezárást követően</w:t>
      </w:r>
      <w:r w:rsidR="00170606">
        <w:rPr>
          <w:rFonts w:ascii="Times New Roman" w:hAnsi="Times New Roman"/>
        </w:rPr>
        <w:t xml:space="preserve"> 2017-ben újra indítani szándékozott járatait, azonban még a repülési sze</w:t>
      </w:r>
      <w:r w:rsidR="00867B6B">
        <w:rPr>
          <w:rFonts w:ascii="Times New Roman" w:hAnsi="Times New Roman"/>
        </w:rPr>
        <w:t>zon megkezdése előtt csődöt jelentett, járatait törölte.</w:t>
      </w:r>
    </w:p>
    <w:p w:rsidR="005E3A3D" w:rsidRDefault="00AB5446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 Tel-Aviv járat szabad gépkapacitás hiányában nem tudott elindulni</w:t>
      </w:r>
      <w:r w:rsidR="00C915F9">
        <w:rPr>
          <w:rFonts w:ascii="Times New Roman" w:hAnsi="Times New Roman"/>
        </w:rPr>
        <w:t>. Az izraeli légitársaságok kapacitásaikat már több mint 1 évre előre lekötötték</w:t>
      </w:r>
      <w:r w:rsidR="00535700">
        <w:rPr>
          <w:rFonts w:ascii="Times New Roman" w:hAnsi="Times New Roman"/>
        </w:rPr>
        <w:t>. Csak sármelléki bázissal rendelkező gép esetén esélyes az elindulás.</w:t>
      </w:r>
    </w:p>
    <w:p w:rsidR="00775F22" w:rsidRDefault="00775F22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 UT</w:t>
      </w:r>
      <w:r w:rsidR="00773AF6">
        <w:rPr>
          <w:rFonts w:ascii="Times New Roman" w:hAnsi="Times New Roman"/>
        </w:rPr>
        <w:t>AIR légitársaság közvetlen charter járatát nem indította újra és más légitársaság számára pedig</w:t>
      </w:r>
      <w:r w:rsidR="00C54716">
        <w:rPr>
          <w:rFonts w:ascii="Times New Roman" w:hAnsi="Times New Roman"/>
        </w:rPr>
        <w:t xml:space="preserve"> Orosz fél részéről az üzemelés jogát átadni nem hajlandó</w:t>
      </w:r>
      <w:r w:rsidR="005E482A">
        <w:rPr>
          <w:rFonts w:ascii="Times New Roman" w:hAnsi="Times New Roman"/>
        </w:rPr>
        <w:t>, vélhetően bécsi menetrendszerinti járatai miatt.</w:t>
      </w:r>
    </w:p>
    <w:p w:rsidR="009F32F8" w:rsidRPr="00D907C7" w:rsidRDefault="009F32F8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>A bevételek közti sorban szerepeltetjük a jövedéki adóbeszedésből származó bevételt, azonban ez minden tárgyhót követő hónapban befizetésre kerül a N.A.V. felé.</w:t>
      </w:r>
    </w:p>
    <w:p w:rsidR="00E1783E" w:rsidRPr="00D907C7" w:rsidRDefault="00E1783E" w:rsidP="00BD3A0F">
      <w:pPr>
        <w:rPr>
          <w:rFonts w:ascii="Times New Roman" w:hAnsi="Times New Roman"/>
        </w:rPr>
      </w:pPr>
      <w:r w:rsidRPr="00D907C7">
        <w:rPr>
          <w:rFonts w:ascii="Times New Roman" w:hAnsi="Times New Roman"/>
        </w:rPr>
        <w:t>A tervezet</w:t>
      </w:r>
      <w:r w:rsidR="005E482A">
        <w:rPr>
          <w:rFonts w:ascii="Times New Roman" w:hAnsi="Times New Roman"/>
        </w:rPr>
        <w:t xml:space="preserve">nél </w:t>
      </w:r>
      <w:r w:rsidR="00CD4D3D">
        <w:rPr>
          <w:rFonts w:ascii="Times New Roman" w:hAnsi="Times New Roman"/>
        </w:rPr>
        <w:t>9.000.000.- forinttal több bevétel realizálódott a magángépes repülés szereplőitől.</w:t>
      </w:r>
    </w:p>
    <w:p w:rsidR="00C72470" w:rsidRPr="00D907C7" w:rsidRDefault="00C72470" w:rsidP="00BD3A0F">
      <w:pPr>
        <w:rPr>
          <w:rFonts w:ascii="Times New Roman" w:hAnsi="Times New Roman"/>
        </w:rPr>
      </w:pPr>
    </w:p>
    <w:p w:rsidR="00AD6AD7" w:rsidRPr="00DF0EFA" w:rsidRDefault="00C72470" w:rsidP="00BD3A0F">
      <w:pPr>
        <w:rPr>
          <w:rFonts w:ascii="Times New Roman" w:hAnsi="Times New Roman"/>
        </w:rPr>
        <w:sectPr w:rsidR="00AD6AD7" w:rsidRPr="00DF0EFA" w:rsidSect="009503F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  <w:r w:rsidRPr="00D907C7">
        <w:rPr>
          <w:rFonts w:ascii="Times New Roman" w:hAnsi="Times New Roman"/>
          <w:b/>
          <w:sz w:val="24"/>
        </w:rPr>
        <w:t>Kereskedelmi üzemanyag eladás:</w:t>
      </w:r>
      <w:r w:rsidRPr="00D907C7">
        <w:rPr>
          <w:rFonts w:ascii="Times New Roman" w:hAnsi="Times New Roman"/>
          <w:b/>
        </w:rPr>
        <w:br/>
      </w:r>
      <w:r w:rsidRPr="00D907C7">
        <w:rPr>
          <w:rFonts w:ascii="Times New Roman" w:hAnsi="Times New Roman"/>
        </w:rPr>
        <w:t>A repü</w:t>
      </w:r>
      <w:r w:rsidR="00DF0EFA">
        <w:rPr>
          <w:rFonts w:ascii="Times New Roman" w:hAnsi="Times New Roman"/>
        </w:rPr>
        <w:t xml:space="preserve">lőtér üzemanyag forgalmazása a tervezettnél </w:t>
      </w:r>
      <w:r w:rsidR="00D05367">
        <w:rPr>
          <w:rFonts w:ascii="Times New Roman" w:hAnsi="Times New Roman"/>
        </w:rPr>
        <w:t xml:space="preserve"> gyengébben alakult, mivel a keresletet</w:t>
      </w:r>
      <w:r w:rsidR="00F1196C">
        <w:rPr>
          <w:rFonts w:ascii="Times New Roman" w:hAnsi="Times New Roman"/>
        </w:rPr>
        <w:t xml:space="preserve"> nagymértékben befolyásolja a charter vagy menetrendszerinti kereskedelmi járatok forgalma, mely elmaradt a tervekhez képest</w:t>
      </w:r>
      <w:r w:rsidR="00E37766">
        <w:rPr>
          <w:rFonts w:ascii="Times New Roman" w:hAnsi="Times New Roman"/>
        </w:rPr>
        <w:t>.</w:t>
      </w:r>
      <w:r w:rsidR="008F36AC">
        <w:rPr>
          <w:rFonts w:ascii="Times New Roman" w:hAnsi="Times New Roman"/>
        </w:rPr>
        <w:t xml:space="preserve"> Ezen felül</w:t>
      </w:r>
      <w:r w:rsidR="00C13768">
        <w:rPr>
          <w:rFonts w:ascii="Times New Roman" w:hAnsi="Times New Roman"/>
        </w:rPr>
        <w:t xml:space="preserve"> az üzemanyag árszintje tovább csökkent a 2017-es év során.</w:t>
      </w:r>
    </w:p>
    <w:p w:rsidR="007104D6" w:rsidRPr="007104D6" w:rsidRDefault="00CF4C2F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201</w:t>
      </w:r>
      <w:r w:rsidR="00591B55">
        <w:rPr>
          <w:rFonts w:ascii="Times New Roman" w:hAnsi="Times New Roman"/>
          <w:b/>
          <w:sz w:val="24"/>
        </w:rPr>
        <w:t>7</w:t>
      </w:r>
      <w:r w:rsidRPr="007104D6">
        <w:rPr>
          <w:rFonts w:ascii="Times New Roman" w:hAnsi="Times New Roman"/>
          <w:b/>
          <w:sz w:val="24"/>
        </w:rPr>
        <w:t xml:space="preserve"> első félév.</w:t>
      </w:r>
      <w:r w:rsidR="0055080D">
        <w:rPr>
          <w:rFonts w:ascii="Times New Roman" w:hAnsi="Times New Roman"/>
          <w:b/>
          <w:sz w:val="24"/>
        </w:rPr>
        <w:br/>
      </w:r>
      <w:r w:rsidR="008E3089" w:rsidRPr="008E3089">
        <w:rPr>
          <w:noProof/>
          <w:lang w:eastAsia="hu-HU"/>
        </w:rPr>
        <w:drawing>
          <wp:inline distT="0" distB="0" distL="0" distR="0">
            <wp:extent cx="9934575" cy="356357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4575" cy="356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DF" w:rsidRDefault="007B3CDF" w:rsidP="007104D6">
      <w:pPr>
        <w:jc w:val="center"/>
        <w:rPr>
          <w:rFonts w:ascii="Times New Roman" w:hAnsi="Times New Roman"/>
          <w:b/>
          <w:sz w:val="24"/>
        </w:rPr>
      </w:pPr>
    </w:p>
    <w:p w:rsidR="007104D6" w:rsidRPr="007104D6" w:rsidRDefault="007104D6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t>Kereskedelmi üzemanyag beszerzés</w:t>
      </w:r>
      <w:r w:rsidR="00A7750E">
        <w:rPr>
          <w:rFonts w:ascii="Times New Roman" w:hAnsi="Times New Roman"/>
          <w:b/>
          <w:sz w:val="24"/>
        </w:rPr>
        <w:t xml:space="preserve"> 201</w:t>
      </w:r>
      <w:r w:rsidR="00591B55">
        <w:rPr>
          <w:rFonts w:ascii="Times New Roman" w:hAnsi="Times New Roman"/>
          <w:b/>
          <w:sz w:val="24"/>
        </w:rPr>
        <w:t>7</w:t>
      </w:r>
      <w:r w:rsidR="00A7750E">
        <w:rPr>
          <w:rFonts w:ascii="Times New Roman" w:hAnsi="Times New Roman"/>
          <w:b/>
          <w:sz w:val="24"/>
        </w:rPr>
        <w:t xml:space="preserve"> első félév</w:t>
      </w:r>
      <w:r w:rsidR="004745E3">
        <w:rPr>
          <w:rFonts w:ascii="Times New Roman" w:hAnsi="Times New Roman"/>
          <w:b/>
          <w:sz w:val="24"/>
        </w:rPr>
        <w:br/>
      </w:r>
      <w:r w:rsidR="007B0A01" w:rsidRPr="007B0A01">
        <w:rPr>
          <w:noProof/>
          <w:lang w:eastAsia="hu-H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206375</wp:posOffset>
            </wp:positionV>
            <wp:extent cx="9953625" cy="580390"/>
            <wp:effectExtent l="0" t="0" r="9525" b="0"/>
            <wp:wrapNone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362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A7750E" w:rsidRDefault="00A7750E" w:rsidP="00A7750E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t>Kiadások 201</w:t>
      </w:r>
      <w:r w:rsidR="00F4159F">
        <w:rPr>
          <w:rFonts w:ascii="Times New Roman" w:hAnsi="Times New Roman"/>
          <w:b/>
          <w:sz w:val="24"/>
        </w:rPr>
        <w:t xml:space="preserve">7 </w:t>
      </w:r>
      <w:r>
        <w:rPr>
          <w:rFonts w:ascii="Times New Roman" w:hAnsi="Times New Roman"/>
          <w:b/>
          <w:sz w:val="24"/>
        </w:rPr>
        <w:t>második</w:t>
      </w:r>
      <w:r w:rsidRPr="007104D6">
        <w:rPr>
          <w:rFonts w:ascii="Times New Roman" w:hAnsi="Times New Roman"/>
          <w:b/>
          <w:sz w:val="24"/>
        </w:rPr>
        <w:t xml:space="preserve"> félév.</w:t>
      </w:r>
      <w:r w:rsidR="009D6609">
        <w:rPr>
          <w:rFonts w:ascii="Times New Roman" w:hAnsi="Times New Roman"/>
          <w:b/>
          <w:sz w:val="24"/>
        </w:rPr>
        <w:br/>
      </w:r>
      <w:r w:rsidR="00F4159F" w:rsidRPr="00F4159F">
        <w:rPr>
          <w:noProof/>
          <w:lang w:eastAsia="hu-HU"/>
        </w:rPr>
        <w:drawing>
          <wp:inline distT="0" distB="0" distL="0" distR="0">
            <wp:extent cx="9937750" cy="3295650"/>
            <wp:effectExtent l="0" t="0" r="635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2831" cy="329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DF" w:rsidRDefault="007B3CDF" w:rsidP="00A7750E">
      <w:pPr>
        <w:jc w:val="center"/>
        <w:rPr>
          <w:rFonts w:ascii="Times New Roman" w:hAnsi="Times New Roman"/>
          <w:b/>
          <w:sz w:val="24"/>
        </w:rPr>
      </w:pPr>
    </w:p>
    <w:p w:rsidR="00D907C7" w:rsidRDefault="00A7750E" w:rsidP="00523C68">
      <w:pPr>
        <w:jc w:val="center"/>
        <w:rPr>
          <w:rFonts w:ascii="Times New Roman" w:hAnsi="Times New Roman"/>
          <w:b/>
        </w:rPr>
        <w:sectPr w:rsidR="00D907C7" w:rsidSect="00AD6AD7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  <w:r w:rsidRPr="007104D6">
        <w:rPr>
          <w:rFonts w:ascii="Times New Roman" w:hAnsi="Times New Roman"/>
          <w:b/>
          <w:sz w:val="24"/>
        </w:rPr>
        <w:t>Kereskedelmi üzemanyag beszerzés</w:t>
      </w:r>
      <w:r>
        <w:rPr>
          <w:rFonts w:ascii="Times New Roman" w:hAnsi="Times New Roman"/>
          <w:b/>
          <w:sz w:val="24"/>
        </w:rPr>
        <w:t xml:space="preserve"> 201</w:t>
      </w:r>
      <w:r w:rsidR="00691EF4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második félév</w:t>
      </w:r>
      <w:r w:rsidR="007975D4">
        <w:rPr>
          <w:rFonts w:ascii="Times New Roman" w:hAnsi="Times New Roman"/>
          <w:b/>
          <w:sz w:val="24"/>
        </w:rPr>
        <w:br/>
      </w:r>
      <w:r w:rsidR="007B3CDF" w:rsidRPr="007B3CDF">
        <w:rPr>
          <w:noProof/>
          <w:lang w:eastAsia="hu-HU"/>
        </w:rPr>
        <w:drawing>
          <wp:inline distT="0" distB="0" distL="0" distR="0">
            <wp:extent cx="9932670" cy="59055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074" cy="59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A8C">
        <w:rPr>
          <w:rFonts w:ascii="Times New Roman" w:hAnsi="Times New Roman"/>
          <w:b/>
          <w:sz w:val="24"/>
        </w:rPr>
        <w:br/>
      </w: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BD3A0F" w:rsidRDefault="00D907C7" w:rsidP="00297A95">
      <w:pPr>
        <w:rPr>
          <w:rFonts w:ascii="Times New Roman" w:hAnsi="Times New Roman"/>
        </w:rPr>
      </w:pPr>
      <w:r w:rsidRPr="00D907C7">
        <w:rPr>
          <w:rFonts w:ascii="Times New Roman" w:hAnsi="Times New Roman"/>
          <w:b/>
          <w:sz w:val="24"/>
        </w:rPr>
        <w:t>Üzemi kiadások éves alakulása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z w:val="24"/>
        </w:rPr>
        <w:br/>
      </w:r>
      <w:r w:rsidRPr="00D907C7">
        <w:rPr>
          <w:rFonts w:ascii="Times New Roman" w:hAnsi="Times New Roman"/>
        </w:rPr>
        <w:t>A Kft. 201</w:t>
      </w:r>
      <w:r w:rsidR="00B61260">
        <w:rPr>
          <w:rFonts w:ascii="Times New Roman" w:hAnsi="Times New Roman"/>
        </w:rPr>
        <w:t>7</w:t>
      </w:r>
      <w:r w:rsidRPr="00D907C7">
        <w:rPr>
          <w:rFonts w:ascii="Times New Roman" w:hAnsi="Times New Roman"/>
        </w:rPr>
        <w:t xml:space="preserve"> évi, üzemanyag </w:t>
      </w:r>
      <w:r>
        <w:rPr>
          <w:rFonts w:ascii="Times New Roman" w:hAnsi="Times New Roman"/>
        </w:rPr>
        <w:t>beszerzéstől</w:t>
      </w:r>
      <w:r w:rsidRPr="00D907C7">
        <w:rPr>
          <w:rFonts w:ascii="Times New Roman" w:hAnsi="Times New Roman"/>
        </w:rPr>
        <w:t xml:space="preserve"> mentes, üzleti </w:t>
      </w:r>
      <w:r>
        <w:rPr>
          <w:rFonts w:ascii="Times New Roman" w:hAnsi="Times New Roman"/>
        </w:rPr>
        <w:t>kiadásai</w:t>
      </w:r>
      <w:r w:rsidRPr="00D907C7">
        <w:rPr>
          <w:rFonts w:ascii="Times New Roman" w:hAnsi="Times New Roman"/>
        </w:rPr>
        <w:t xml:space="preserve"> a tervezett</w:t>
      </w:r>
      <w:r w:rsidRPr="00823AE6">
        <w:rPr>
          <w:rFonts w:ascii="Times New Roman" w:hAnsi="Times New Roman"/>
          <w:b/>
        </w:rPr>
        <w:t>3</w:t>
      </w:r>
      <w:r w:rsidR="00F32F94">
        <w:rPr>
          <w:rFonts w:ascii="Times New Roman" w:hAnsi="Times New Roman"/>
          <w:b/>
        </w:rPr>
        <w:t>60</w:t>
      </w:r>
      <w:r w:rsidRPr="00823AE6">
        <w:rPr>
          <w:rFonts w:ascii="Times New Roman" w:hAnsi="Times New Roman"/>
          <w:b/>
        </w:rPr>
        <w:t>.</w:t>
      </w:r>
      <w:r w:rsidR="008C620A">
        <w:rPr>
          <w:rFonts w:ascii="Times New Roman" w:hAnsi="Times New Roman"/>
          <w:b/>
        </w:rPr>
        <w:t>098</w:t>
      </w:r>
      <w:r w:rsidR="007144D6">
        <w:rPr>
          <w:rFonts w:ascii="Times New Roman" w:hAnsi="Times New Roman"/>
          <w:b/>
        </w:rPr>
        <w:t>.</w:t>
      </w:r>
      <w:r w:rsidR="008C620A">
        <w:rPr>
          <w:rFonts w:ascii="Times New Roman" w:hAnsi="Times New Roman"/>
          <w:b/>
        </w:rPr>
        <w:t>000</w:t>
      </w:r>
      <w:r w:rsidRPr="00823AE6">
        <w:rPr>
          <w:rFonts w:ascii="Times New Roman" w:hAnsi="Times New Roman"/>
          <w:b/>
        </w:rPr>
        <w:t>.- forint</w:t>
      </w:r>
      <w:r>
        <w:rPr>
          <w:rFonts w:ascii="Times New Roman" w:hAnsi="Times New Roman"/>
        </w:rPr>
        <w:t xml:space="preserve"> helyett, attól</w:t>
      </w:r>
      <w:r w:rsidR="007F2393" w:rsidRPr="007F2393">
        <w:rPr>
          <w:rFonts w:ascii="Times New Roman" w:hAnsi="Times New Roman"/>
          <w:b/>
        </w:rPr>
        <w:t>633</w:t>
      </w:r>
      <w:r w:rsidR="007144D6" w:rsidRPr="007144D6">
        <w:rPr>
          <w:rFonts w:ascii="Times New Roman" w:hAnsi="Times New Roman"/>
          <w:b/>
        </w:rPr>
        <w:t>.</w:t>
      </w:r>
      <w:r w:rsidR="007F2393">
        <w:rPr>
          <w:rFonts w:ascii="Times New Roman" w:hAnsi="Times New Roman"/>
          <w:b/>
        </w:rPr>
        <w:t>000</w:t>
      </w:r>
      <w:r w:rsidR="00823AE6" w:rsidRPr="00823AE6">
        <w:rPr>
          <w:rFonts w:ascii="Times New Roman" w:hAnsi="Times New Roman"/>
          <w:b/>
        </w:rPr>
        <w:t>.- forinttal</w:t>
      </w:r>
      <w:r w:rsidR="007F2393">
        <w:rPr>
          <w:rFonts w:ascii="Times New Roman" w:hAnsi="Times New Roman"/>
        </w:rPr>
        <w:t>magasabban</w:t>
      </w:r>
      <w:r w:rsidR="00823AE6">
        <w:rPr>
          <w:rFonts w:ascii="Times New Roman" w:hAnsi="Times New Roman"/>
        </w:rPr>
        <w:t xml:space="preserve">, </w:t>
      </w:r>
      <w:r w:rsidR="00823AE6" w:rsidRPr="00823AE6">
        <w:rPr>
          <w:rFonts w:ascii="Times New Roman" w:hAnsi="Times New Roman"/>
          <w:b/>
        </w:rPr>
        <w:t>3</w:t>
      </w:r>
      <w:r w:rsidR="008C620A">
        <w:rPr>
          <w:rFonts w:ascii="Times New Roman" w:hAnsi="Times New Roman"/>
          <w:b/>
        </w:rPr>
        <w:t>60</w:t>
      </w:r>
      <w:r w:rsidR="00823AE6" w:rsidRPr="00823AE6">
        <w:rPr>
          <w:rFonts w:ascii="Times New Roman" w:hAnsi="Times New Roman"/>
          <w:b/>
        </w:rPr>
        <w:t>.</w:t>
      </w:r>
      <w:r w:rsidR="00A71871">
        <w:rPr>
          <w:rFonts w:ascii="Times New Roman" w:hAnsi="Times New Roman"/>
          <w:b/>
        </w:rPr>
        <w:t>731</w:t>
      </w:r>
      <w:r w:rsidR="00823AE6" w:rsidRPr="00823AE6">
        <w:rPr>
          <w:rFonts w:ascii="Times New Roman" w:hAnsi="Times New Roman"/>
          <w:b/>
        </w:rPr>
        <w:t>.</w:t>
      </w:r>
      <w:r w:rsidR="00A71871">
        <w:rPr>
          <w:rFonts w:ascii="Times New Roman" w:hAnsi="Times New Roman"/>
          <w:b/>
        </w:rPr>
        <w:t>000</w:t>
      </w:r>
      <w:r w:rsidR="00823AE6" w:rsidRPr="00823AE6">
        <w:rPr>
          <w:rFonts w:ascii="Times New Roman" w:hAnsi="Times New Roman"/>
          <w:b/>
        </w:rPr>
        <w:t>.- forintra</w:t>
      </w:r>
      <w:r w:rsidR="00823AE6">
        <w:rPr>
          <w:rFonts w:ascii="Times New Roman" w:hAnsi="Times New Roman"/>
        </w:rPr>
        <w:t xml:space="preserve"> teljesült.</w:t>
      </w:r>
      <w:r w:rsidR="000F27A0">
        <w:rPr>
          <w:rFonts w:ascii="Times New Roman" w:hAnsi="Times New Roman"/>
        </w:rPr>
        <w:br/>
      </w:r>
    </w:p>
    <w:p w:rsidR="00F26E22" w:rsidRDefault="00D8327D" w:rsidP="00297A95">
      <w:pPr>
        <w:rPr>
          <w:rFonts w:ascii="Times New Roman" w:hAnsi="Times New Roman"/>
        </w:rPr>
      </w:pPr>
      <w:r w:rsidRPr="00D8327D">
        <w:rPr>
          <w:rFonts w:ascii="Times New Roman" w:hAnsi="Times New Roman"/>
          <w:b/>
          <w:sz w:val="24"/>
        </w:rPr>
        <w:t>Jelentősebb többlet kiadások az alábbi tételeknél keletkeztek</w:t>
      </w:r>
      <w:r w:rsidR="00F26E22">
        <w:rPr>
          <w:rFonts w:ascii="Times New Roman" w:hAnsi="Times New Roman"/>
        </w:rPr>
        <w:t>:</w:t>
      </w:r>
    </w:p>
    <w:p w:rsidR="00D05619" w:rsidRDefault="00BF295F" w:rsidP="00297A95">
      <w:pPr>
        <w:rPr>
          <w:rFonts w:ascii="Times New Roman" w:hAnsi="Times New Roman"/>
        </w:rPr>
      </w:pPr>
      <w:r w:rsidRPr="00D77836">
        <w:rPr>
          <w:rFonts w:ascii="Times New Roman" w:hAnsi="Times New Roman"/>
          <w:b/>
        </w:rPr>
        <w:t>Humán:30.001.669.-Ft</w:t>
      </w:r>
      <w:r>
        <w:rPr>
          <w:rFonts w:ascii="Times New Roman" w:hAnsi="Times New Roman"/>
        </w:rPr>
        <w:t xml:space="preserve">. </w:t>
      </w:r>
      <w:r w:rsidR="001C2ECC">
        <w:rPr>
          <w:rFonts w:ascii="Times New Roman" w:hAnsi="Times New Roman"/>
        </w:rPr>
        <w:t xml:space="preserve">A fegyveres biztonsági őrzést és utasbiztonsági ellenőrzést ellátó HM Ei Zrt. </w:t>
      </w:r>
      <w:r w:rsidR="006949B2">
        <w:rPr>
          <w:rFonts w:ascii="Times New Roman" w:hAnsi="Times New Roman"/>
        </w:rPr>
        <w:t>2017. március 23. napján</w:t>
      </w:r>
      <w:r w:rsidR="009F1A34">
        <w:rPr>
          <w:rFonts w:ascii="Times New Roman" w:hAnsi="Times New Roman"/>
        </w:rPr>
        <w:t xml:space="preserve"> megbízási díj emelése tárgyában levélben megkereste cégünk. Az általuk elvárt emelés</w:t>
      </w:r>
      <w:r w:rsidR="00BE7B79">
        <w:rPr>
          <w:rFonts w:ascii="Times New Roman" w:hAnsi="Times New Roman"/>
        </w:rPr>
        <w:t xml:space="preserve"> mértéke, hivatkozva a 2012. év óta változatlan árakra</w:t>
      </w:r>
      <w:r w:rsidR="00D77836">
        <w:rPr>
          <w:rFonts w:ascii="Times New Roman" w:hAnsi="Times New Roman"/>
        </w:rPr>
        <w:t xml:space="preserve"> meghaladta a 66%-ot.</w:t>
      </w:r>
      <w:r w:rsidR="00C2039B">
        <w:rPr>
          <w:rFonts w:ascii="Times New Roman" w:hAnsi="Times New Roman"/>
        </w:rPr>
        <w:t>Az emelés mértékében hosszas egyeztetés után sem sikerült megegyezni</w:t>
      </w:r>
      <w:r w:rsidR="00664D29">
        <w:rPr>
          <w:rFonts w:ascii="Times New Roman" w:hAnsi="Times New Roman"/>
        </w:rPr>
        <w:t>. 2017. június 30 napján, 60 napos felmondási határidővel, 2017. augusztus 30 napjával szerződésük felmondták. Mivel Fegyveres Biztonsági Őrzésre</w:t>
      </w:r>
      <w:r w:rsidR="009A0E11">
        <w:rPr>
          <w:rFonts w:ascii="Times New Roman" w:hAnsi="Times New Roman"/>
        </w:rPr>
        <w:t xml:space="preserve"> versenyképes ajánlatot nem kaptunk, így az őrzés saját hatáskörben történő ellátása mellett határoztunk</w:t>
      </w:r>
      <w:r w:rsidR="00BE7A8C">
        <w:rPr>
          <w:rFonts w:ascii="Times New Roman" w:hAnsi="Times New Roman"/>
        </w:rPr>
        <w:t>.Ügyvédünkkel és a HM Ei</w:t>
      </w:r>
      <w:r w:rsidR="002D0F59">
        <w:rPr>
          <w:rFonts w:ascii="Times New Roman" w:hAnsi="Times New Roman"/>
        </w:rPr>
        <w:t>.</w:t>
      </w:r>
      <w:r w:rsidR="00BE7A8C">
        <w:rPr>
          <w:rFonts w:ascii="Times New Roman" w:hAnsi="Times New Roman"/>
        </w:rPr>
        <w:t xml:space="preserve"> Z</w:t>
      </w:r>
      <w:r w:rsidR="000F5F37">
        <w:rPr>
          <w:rFonts w:ascii="Times New Roman" w:hAnsi="Times New Roman"/>
        </w:rPr>
        <w:t>r</w:t>
      </w:r>
      <w:r w:rsidR="00BE7A8C">
        <w:rPr>
          <w:rFonts w:ascii="Times New Roman" w:hAnsi="Times New Roman"/>
        </w:rPr>
        <w:t>t</w:t>
      </w:r>
      <w:r w:rsidR="002F7CAE">
        <w:rPr>
          <w:rFonts w:ascii="Times New Roman" w:hAnsi="Times New Roman"/>
        </w:rPr>
        <w:t>.</w:t>
      </w:r>
      <w:r w:rsidR="00BE7A8C">
        <w:rPr>
          <w:rFonts w:ascii="Times New Roman" w:hAnsi="Times New Roman"/>
        </w:rPr>
        <w:t>-t képviselő ügyvédekkel történt egyeztetés után a fegyveres őrök jogfolytonosággal átvételre kerültek eredeti munkaszerződésük feltételei mellett.</w:t>
      </w:r>
      <w:r w:rsidR="00423295">
        <w:rPr>
          <w:rFonts w:ascii="Times New Roman" w:hAnsi="Times New Roman"/>
        </w:rPr>
        <w:t xml:space="preserve"> Mindezek </w:t>
      </w:r>
      <w:r w:rsidR="00C76891">
        <w:rPr>
          <w:rFonts w:ascii="Times New Roman" w:hAnsi="Times New Roman"/>
        </w:rPr>
        <w:t xml:space="preserve">havi szinten </w:t>
      </w:r>
      <w:r w:rsidR="00152FFC">
        <w:rPr>
          <w:rFonts w:ascii="Times New Roman" w:hAnsi="Times New Roman"/>
        </w:rPr>
        <w:t xml:space="preserve">jelentős </w:t>
      </w:r>
      <w:r w:rsidR="00C76891">
        <w:rPr>
          <w:rFonts w:ascii="Times New Roman" w:hAnsi="Times New Roman"/>
        </w:rPr>
        <w:t>megtakarítást eredményez</w:t>
      </w:r>
      <w:r w:rsidR="00423295">
        <w:rPr>
          <w:rFonts w:ascii="Times New Roman" w:hAnsi="Times New Roman"/>
        </w:rPr>
        <w:t>nek</w:t>
      </w:r>
      <w:r w:rsidR="00C76891">
        <w:rPr>
          <w:rFonts w:ascii="Times New Roman" w:hAnsi="Times New Roman"/>
        </w:rPr>
        <w:t xml:space="preserve"> a</w:t>
      </w:r>
      <w:r w:rsidR="00152FFC">
        <w:rPr>
          <w:rFonts w:ascii="Times New Roman" w:hAnsi="Times New Roman"/>
        </w:rPr>
        <w:t>z emelt díjakhoz képest</w:t>
      </w:r>
      <w:r w:rsidR="00DD5DB3">
        <w:rPr>
          <w:rFonts w:ascii="Times New Roman" w:hAnsi="Times New Roman"/>
        </w:rPr>
        <w:t>, azonban bérköltségünk jelentősen növeli</w:t>
      </w:r>
      <w:r w:rsidR="00C059BD">
        <w:rPr>
          <w:rFonts w:ascii="Times New Roman" w:hAnsi="Times New Roman"/>
        </w:rPr>
        <w:t>,u</w:t>
      </w:r>
      <w:r w:rsidR="005567CC">
        <w:rPr>
          <w:rFonts w:ascii="Times New Roman" w:hAnsi="Times New Roman"/>
        </w:rPr>
        <w:t xml:space="preserve">gyanakkor </w:t>
      </w:r>
      <w:r w:rsidR="008A33E5">
        <w:rPr>
          <w:rFonts w:ascii="Times New Roman" w:hAnsi="Times New Roman"/>
        </w:rPr>
        <w:t xml:space="preserve">őrzés védelem soron pedig </w:t>
      </w:r>
      <w:r w:rsidR="00BA578D">
        <w:rPr>
          <w:rFonts w:ascii="Times New Roman" w:hAnsi="Times New Roman"/>
        </w:rPr>
        <w:t xml:space="preserve">költség csökkenést </w:t>
      </w:r>
      <w:r w:rsidR="00C059BD">
        <w:rPr>
          <w:rFonts w:ascii="Times New Roman" w:hAnsi="Times New Roman"/>
        </w:rPr>
        <w:t>jelent.</w:t>
      </w:r>
    </w:p>
    <w:p w:rsidR="00E26465" w:rsidRDefault="00E26465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Augusz</w:t>
      </w:r>
      <w:r w:rsidR="007251FF">
        <w:rPr>
          <w:rFonts w:ascii="Times New Roman" w:hAnsi="Times New Roman"/>
        </w:rPr>
        <w:t xml:space="preserve">tus hónapban jelentősen növelte humán költségeink egy évek óta halogatott, </w:t>
      </w:r>
      <w:r w:rsidR="00AA7EF1">
        <w:rPr>
          <w:rFonts w:ascii="Times New Roman" w:hAnsi="Times New Roman"/>
        </w:rPr>
        <w:t>speciális repülőtéri tűzoltó képzés a teljes állomány számára, melyre további halasztást a vidéki repülőterek nem kaptak.</w:t>
      </w:r>
    </w:p>
    <w:p w:rsidR="002F7CAE" w:rsidRDefault="002F7CAE" w:rsidP="00297A95">
      <w:pPr>
        <w:rPr>
          <w:rFonts w:ascii="Times New Roman" w:hAnsi="Times New Roman"/>
        </w:rPr>
      </w:pPr>
    </w:p>
    <w:p w:rsidR="003150BA" w:rsidRDefault="003150BA" w:rsidP="00297A95">
      <w:pPr>
        <w:rPr>
          <w:rFonts w:ascii="Times New Roman" w:hAnsi="Times New Roman"/>
        </w:rPr>
      </w:pPr>
      <w:r w:rsidRPr="003150BA">
        <w:rPr>
          <w:rFonts w:ascii="Times New Roman" w:hAnsi="Times New Roman"/>
          <w:b/>
        </w:rPr>
        <w:t xml:space="preserve">Alvállalkozók, szakértők: </w:t>
      </w:r>
      <w:r w:rsidR="004615F1" w:rsidRPr="00322598">
        <w:rPr>
          <w:rFonts w:ascii="Times New Roman" w:hAnsi="Times New Roman"/>
          <w:b/>
        </w:rPr>
        <w:t>34.</w:t>
      </w:r>
      <w:r w:rsidR="00322598" w:rsidRPr="00322598">
        <w:rPr>
          <w:rFonts w:ascii="Times New Roman" w:hAnsi="Times New Roman"/>
          <w:b/>
        </w:rPr>
        <w:t>983.009.-Ft.</w:t>
      </w:r>
      <w:r w:rsidR="00AA0E5B" w:rsidRPr="000F5F37">
        <w:rPr>
          <w:rFonts w:ascii="Times New Roman" w:hAnsi="Times New Roman"/>
        </w:rPr>
        <w:t>A</w:t>
      </w:r>
      <w:r w:rsidR="000F5F37" w:rsidRPr="000F5F37">
        <w:rPr>
          <w:rFonts w:ascii="Times New Roman" w:hAnsi="Times New Roman"/>
        </w:rPr>
        <w:t>z</w:t>
      </w:r>
      <w:r w:rsidR="00AA0E5B" w:rsidRPr="000F5F37">
        <w:rPr>
          <w:rFonts w:ascii="Times New Roman" w:hAnsi="Times New Roman"/>
        </w:rPr>
        <w:t xml:space="preserve"> utasbiztonsági ellenőrzést, melyet korábban a HM Ei Zrt</w:t>
      </w:r>
      <w:r w:rsidR="000F5F37">
        <w:rPr>
          <w:rFonts w:ascii="Times New Roman" w:hAnsi="Times New Roman"/>
        </w:rPr>
        <w:t>. látott el, egyben szerződés keretében a fegyveres őrzéssel 2017. szeptember 01. napjától a Power Shield Zrt. vette át, így ennek költségei már ezen a soron jelennek meg</w:t>
      </w:r>
      <w:r w:rsidR="002336D5">
        <w:rPr>
          <w:rFonts w:ascii="Times New Roman" w:hAnsi="Times New Roman"/>
        </w:rPr>
        <w:t xml:space="preserve">. </w:t>
      </w:r>
    </w:p>
    <w:p w:rsidR="006273D1" w:rsidRDefault="00013CA5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>A 139/2014. EU rendelet előírásainak történő megfeleléshez</w:t>
      </w:r>
      <w:r w:rsidR="00D47B7F">
        <w:rPr>
          <w:rFonts w:ascii="Times New Roman" w:hAnsi="Times New Roman"/>
        </w:rPr>
        <w:t xml:space="preserve"> mind infrastruktúra mind megfelelősségi audit oldalon külső, megfelelő végzettségekkel rendelkező szakértők bevonása volt szükséges, mivel </w:t>
      </w:r>
      <w:r w:rsidR="00247616">
        <w:rPr>
          <w:rFonts w:ascii="Times New Roman" w:hAnsi="Times New Roman"/>
        </w:rPr>
        <w:t>a repülőtér eredeti tervanyagai nem állnak rendelkezésre</w:t>
      </w:r>
      <w:r w:rsidR="009B2457">
        <w:rPr>
          <w:rFonts w:ascii="Times New Roman" w:hAnsi="Times New Roman"/>
        </w:rPr>
        <w:t>. Azokból bizonyító információkat előállítani nem leh</w:t>
      </w:r>
      <w:r w:rsidR="00842027">
        <w:rPr>
          <w:rFonts w:ascii="Times New Roman" w:hAnsi="Times New Roman"/>
        </w:rPr>
        <w:t>e</w:t>
      </w:r>
      <w:r w:rsidR="009B2457">
        <w:rPr>
          <w:rFonts w:ascii="Times New Roman" w:hAnsi="Times New Roman"/>
        </w:rPr>
        <w:t>tett</w:t>
      </w:r>
      <w:r w:rsidR="00842027">
        <w:rPr>
          <w:rFonts w:ascii="Times New Roman" w:hAnsi="Times New Roman"/>
        </w:rPr>
        <w:t>. A rendeletnek történő megfeleléshez</w:t>
      </w:r>
      <w:r w:rsidR="00D86716">
        <w:rPr>
          <w:rFonts w:ascii="Times New Roman" w:hAnsi="Times New Roman"/>
        </w:rPr>
        <w:t>, a jogszabályi határidők miatt,</w:t>
      </w:r>
      <w:r w:rsidR="00842027">
        <w:rPr>
          <w:rFonts w:ascii="Times New Roman" w:hAnsi="Times New Roman"/>
        </w:rPr>
        <w:t xml:space="preserve"> a munkát már 2017. évben el kellett kezdeni, melyre </w:t>
      </w:r>
      <w:r w:rsidR="00BC51B7">
        <w:rPr>
          <w:rFonts w:ascii="Times New Roman" w:hAnsi="Times New Roman"/>
        </w:rPr>
        <w:t xml:space="preserve">az infrastrukturális keretből szerettünk volna költeni, azonban ezen keret 2017. </w:t>
      </w:r>
      <w:r w:rsidR="00D86716">
        <w:rPr>
          <w:rFonts w:ascii="Times New Roman" w:hAnsi="Times New Roman"/>
        </w:rPr>
        <w:t>évben nem nyílott meg a repülőtér számára.</w:t>
      </w:r>
    </w:p>
    <w:p w:rsidR="008C3ECD" w:rsidRDefault="008C3ECD" w:rsidP="00297A95">
      <w:pPr>
        <w:rPr>
          <w:rFonts w:ascii="Times New Roman" w:hAnsi="Times New Roman"/>
        </w:rPr>
      </w:pPr>
    </w:p>
    <w:p w:rsidR="00307A22" w:rsidRPr="006A4463" w:rsidRDefault="00307A22" w:rsidP="00297A95">
      <w:pPr>
        <w:rPr>
          <w:rFonts w:ascii="Times New Roman" w:hAnsi="Times New Roman"/>
        </w:rPr>
      </w:pPr>
      <w:r w:rsidRPr="00307A22">
        <w:rPr>
          <w:rFonts w:ascii="Times New Roman" w:hAnsi="Times New Roman"/>
          <w:b/>
        </w:rPr>
        <w:t xml:space="preserve">Közvetített szolgáltatások: </w:t>
      </w:r>
      <w:r w:rsidR="002F3948" w:rsidRPr="00D17362">
        <w:rPr>
          <w:rFonts w:ascii="Times New Roman" w:hAnsi="Times New Roman"/>
          <w:b/>
        </w:rPr>
        <w:t>2</w:t>
      </w:r>
      <w:r w:rsidR="00D17362" w:rsidRPr="00D17362">
        <w:rPr>
          <w:rFonts w:ascii="Times New Roman" w:hAnsi="Times New Roman"/>
          <w:b/>
        </w:rPr>
        <w:t>.972.685.-</w:t>
      </w:r>
      <w:r w:rsidR="00D17362">
        <w:rPr>
          <w:rFonts w:ascii="Times New Roman" w:hAnsi="Times New Roman"/>
          <w:b/>
        </w:rPr>
        <w:t>Ft.</w:t>
      </w:r>
      <w:r w:rsidR="006A4463">
        <w:rPr>
          <w:rFonts w:ascii="Times New Roman" w:hAnsi="Times New Roman"/>
        </w:rPr>
        <w:t xml:space="preserve">A repülőtér </w:t>
      </w:r>
      <w:r w:rsidR="006448A5">
        <w:rPr>
          <w:rFonts w:ascii="Times New Roman" w:hAnsi="Times New Roman"/>
        </w:rPr>
        <w:t>szolgáltatásait igénybe vevők által rajtunk keresztül megrendelt szolgáltatások díja, mely</w:t>
      </w:r>
      <w:r w:rsidR="00E3757A">
        <w:rPr>
          <w:rFonts w:ascii="Times New Roman" w:hAnsi="Times New Roman"/>
        </w:rPr>
        <w:t xml:space="preserve"> szolgáltatások tovább számlázásra kerülnek, így eredményünk nem rontja</w:t>
      </w:r>
      <w:r w:rsidR="008F6DD9">
        <w:rPr>
          <w:rFonts w:ascii="Times New Roman" w:hAnsi="Times New Roman"/>
        </w:rPr>
        <w:t>.</w:t>
      </w:r>
    </w:p>
    <w:p w:rsidR="00C0576F" w:rsidRDefault="00C0576F" w:rsidP="00297A95">
      <w:pPr>
        <w:rPr>
          <w:rFonts w:ascii="Times New Roman" w:hAnsi="Times New Roman"/>
          <w:b/>
        </w:rPr>
      </w:pPr>
    </w:p>
    <w:p w:rsidR="00C0576F" w:rsidRDefault="00C0576F" w:rsidP="00297A95">
      <w:pPr>
        <w:rPr>
          <w:rFonts w:ascii="Times New Roman" w:hAnsi="Times New Roman"/>
          <w:b/>
        </w:rPr>
      </w:pPr>
    </w:p>
    <w:p w:rsidR="00C0576F" w:rsidRDefault="00C0576F" w:rsidP="00297A95">
      <w:pPr>
        <w:rPr>
          <w:rFonts w:ascii="Times New Roman" w:hAnsi="Times New Roman"/>
          <w:b/>
        </w:rPr>
      </w:pPr>
    </w:p>
    <w:p w:rsidR="000F27A0" w:rsidRDefault="000F27A0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Megtakarítások:</w:t>
      </w:r>
    </w:p>
    <w:p w:rsidR="00441F92" w:rsidRDefault="00441F92" w:rsidP="00297A95">
      <w:pPr>
        <w:rPr>
          <w:rFonts w:ascii="Times New Roman" w:hAnsi="Times New Roman"/>
        </w:rPr>
      </w:pPr>
      <w:r w:rsidRPr="00441F92">
        <w:rPr>
          <w:rFonts w:ascii="Times New Roman" w:hAnsi="Times New Roman"/>
        </w:rPr>
        <w:t>A 201</w:t>
      </w:r>
      <w:r w:rsidR="008F6DD9">
        <w:rPr>
          <w:rFonts w:ascii="Times New Roman" w:hAnsi="Times New Roman"/>
        </w:rPr>
        <w:t>7</w:t>
      </w:r>
      <w:r w:rsidRPr="00441F92">
        <w:rPr>
          <w:rFonts w:ascii="Times New Roman" w:hAnsi="Times New Roman"/>
        </w:rPr>
        <w:t xml:space="preserve"> évi üzemelés során a korábbi é</w:t>
      </w:r>
      <w:r>
        <w:rPr>
          <w:rFonts w:ascii="Times New Roman" w:hAnsi="Times New Roman"/>
        </w:rPr>
        <w:t>vekhez hasonlóan, bizonyos beszerzéseket és karbantartásokat elcsúsztattunk</w:t>
      </w:r>
      <w:r w:rsidR="007774F2">
        <w:rPr>
          <w:rFonts w:ascii="Times New Roman" w:hAnsi="Times New Roman"/>
        </w:rPr>
        <w:t xml:space="preserve"> likvid helyzetünk miatt, valamint költéseinket minden szinten a le</w:t>
      </w:r>
      <w:r w:rsidR="00E06EAA">
        <w:rPr>
          <w:rFonts w:ascii="Times New Roman" w:hAnsi="Times New Roman"/>
        </w:rPr>
        <w:t>hetséges legminimálisabb szintre</w:t>
      </w:r>
      <w:r w:rsidR="007774F2">
        <w:rPr>
          <w:rFonts w:ascii="Times New Roman" w:hAnsi="Times New Roman"/>
        </w:rPr>
        <w:t xml:space="preserve"> v</w:t>
      </w:r>
      <w:r w:rsidR="00E06EAA">
        <w:rPr>
          <w:rFonts w:ascii="Times New Roman" w:hAnsi="Times New Roman"/>
        </w:rPr>
        <w:t>ittük, a repülésbiztonsági szempontok figyelembe vétele mellett.</w:t>
      </w:r>
    </w:p>
    <w:p w:rsidR="008838C9" w:rsidRPr="00441F92" w:rsidRDefault="00916E90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egyes sorokon elért megtakarítások </w:t>
      </w:r>
      <w:r w:rsidR="000D5E8D">
        <w:rPr>
          <w:rFonts w:ascii="Times New Roman" w:hAnsi="Times New Roman"/>
        </w:rPr>
        <w:t>(</w:t>
      </w:r>
      <w:r w:rsidR="00B45A9E">
        <w:rPr>
          <w:rFonts w:ascii="Times New Roman" w:hAnsi="Times New Roman"/>
        </w:rPr>
        <w:t>440.840.000.-Ft őrzésvédelem nélkül</w:t>
      </w:r>
      <w:r w:rsidR="002303F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elsősorban a 139/2014 EU rendelet miatti </w:t>
      </w:r>
      <w:r w:rsidR="002303FA">
        <w:rPr>
          <w:rFonts w:ascii="Times New Roman" w:hAnsi="Times New Roman"/>
        </w:rPr>
        <w:t>többletköltségek okán</w:t>
      </w:r>
      <w:r w:rsidR="003C734E">
        <w:rPr>
          <w:rFonts w:ascii="Times New Roman" w:hAnsi="Times New Roman"/>
        </w:rPr>
        <w:t xml:space="preserve"> a teljes kiadásokban megtakarítást nem eredményeztek.</w:t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7A2131" w:rsidRDefault="007A2131" w:rsidP="00297A95">
      <w:pPr>
        <w:rPr>
          <w:rFonts w:ascii="Times New Roman" w:hAnsi="Times New Roman"/>
          <w:b/>
        </w:rPr>
        <w:sectPr w:rsidR="007A2131" w:rsidSect="00D907C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</w:p>
    <w:p w:rsidR="000F27A0" w:rsidRDefault="00EB696A" w:rsidP="00EB6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Üzemi eredmény analitika alapján</w:t>
      </w:r>
      <w:r w:rsidR="00C70C5D">
        <w:rPr>
          <w:rFonts w:ascii="Times New Roman" w:hAnsi="Times New Roman"/>
          <w:b/>
        </w:rPr>
        <w:br/>
      </w:r>
      <w:r w:rsidR="00C70C5D">
        <w:rPr>
          <w:rFonts w:ascii="Times New Roman" w:hAnsi="Times New Roman"/>
          <w:b/>
        </w:rPr>
        <w:br/>
      </w:r>
      <w:r w:rsidR="006E2554" w:rsidRPr="006E2554">
        <w:rPr>
          <w:noProof/>
          <w:lang w:eastAsia="hu-HU"/>
        </w:rPr>
        <w:drawing>
          <wp:inline distT="0" distB="0" distL="0" distR="0">
            <wp:extent cx="10049510" cy="1666875"/>
            <wp:effectExtent l="0" t="0" r="8890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6070" cy="166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DC225C" w:rsidRDefault="00DC225C" w:rsidP="00297A95">
      <w:pPr>
        <w:rPr>
          <w:rFonts w:ascii="Times New Roman" w:hAnsi="Times New Roman"/>
        </w:rPr>
      </w:pPr>
      <w:r w:rsidRPr="00DC225C">
        <w:rPr>
          <w:rFonts w:ascii="Times New Roman" w:hAnsi="Times New Roman"/>
        </w:rPr>
        <w:t xml:space="preserve">A repülőtér </w:t>
      </w:r>
      <w:r w:rsidR="009614BF">
        <w:rPr>
          <w:rFonts w:ascii="Times New Roman" w:hAnsi="Times New Roman"/>
        </w:rPr>
        <w:t xml:space="preserve">korábbról elhalasztott </w:t>
      </w:r>
      <w:r w:rsidR="000B151F">
        <w:rPr>
          <w:rFonts w:ascii="Times New Roman" w:hAnsi="Times New Roman"/>
        </w:rPr>
        <w:t>feladatai és a 201</w:t>
      </w:r>
      <w:r w:rsidR="002F3EB7">
        <w:rPr>
          <w:rFonts w:ascii="Times New Roman" w:hAnsi="Times New Roman"/>
        </w:rPr>
        <w:t>8</w:t>
      </w:r>
      <w:r w:rsidR="000B151F">
        <w:rPr>
          <w:rFonts w:ascii="Times New Roman" w:hAnsi="Times New Roman"/>
        </w:rPr>
        <w:t xml:space="preserve">. 01. 01. napjától életbe lépett </w:t>
      </w:r>
      <w:r w:rsidR="003E68CA">
        <w:rPr>
          <w:rFonts w:ascii="Times New Roman" w:hAnsi="Times New Roman"/>
        </w:rPr>
        <w:t xml:space="preserve">új üzemelésre vonatkozó jogszabályi környezet miatt </w:t>
      </w:r>
      <w:r w:rsidR="002F3EB7">
        <w:rPr>
          <w:rFonts w:ascii="Times New Roman" w:hAnsi="Times New Roman"/>
        </w:rPr>
        <w:t xml:space="preserve">2017. évben megtakarításokkal </w:t>
      </w:r>
      <w:r w:rsidR="00A77F5C">
        <w:rPr>
          <w:rFonts w:ascii="Times New Roman" w:hAnsi="Times New Roman"/>
        </w:rPr>
        <w:t xml:space="preserve">a bevétel kiesést ellensúlyozni nem tudtuk, így a korábbi évekkel ellentétben </w:t>
      </w:r>
      <w:r w:rsidR="002C3AD9">
        <w:rPr>
          <w:rFonts w:ascii="Times New Roman" w:hAnsi="Times New Roman"/>
        </w:rPr>
        <w:t xml:space="preserve">a tervezett eredményt </w:t>
      </w:r>
      <w:r w:rsidR="00A72558">
        <w:rPr>
          <w:rFonts w:ascii="Times New Roman" w:hAnsi="Times New Roman"/>
        </w:rPr>
        <w:t>negatív irányban túlléptük.</w:t>
      </w:r>
    </w:p>
    <w:p w:rsidR="00A72558" w:rsidRDefault="00A72558" w:rsidP="00297A95">
      <w:pPr>
        <w:rPr>
          <w:rFonts w:ascii="Times New Roman" w:hAnsi="Times New Roman"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877683" w:rsidRDefault="00877683" w:rsidP="00297A95">
      <w:pPr>
        <w:rPr>
          <w:rFonts w:ascii="Times New Roman" w:hAnsi="Times New Roman"/>
          <w:b/>
        </w:rPr>
        <w:sectPr w:rsidR="00877683" w:rsidSect="007A2131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877683" w:rsidRDefault="00877683" w:rsidP="00877683">
      <w:pPr>
        <w:jc w:val="center"/>
        <w:rPr>
          <w:rFonts w:ascii="Times New Roman" w:hAnsi="Times New Roman"/>
          <w:b/>
        </w:rPr>
        <w:sectPr w:rsidR="00877683" w:rsidSect="00877683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E61611" w:rsidRDefault="00E61611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794A25" w:rsidRDefault="00794A25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794A25" w:rsidRDefault="00794A25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877683" w:rsidRPr="00877683" w:rsidRDefault="00877683" w:rsidP="00877683">
      <w:pPr>
        <w:spacing w:after="160" w:line="259" w:lineRule="auto"/>
        <w:jc w:val="center"/>
      </w:pPr>
      <w:bookmarkStart w:id="0" w:name="_GoBack"/>
      <w:bookmarkEnd w:id="0"/>
      <w:r w:rsidRPr="00877683">
        <w:rPr>
          <w:b/>
          <w:sz w:val="28"/>
          <w:szCs w:val="28"/>
        </w:rPr>
        <w:t>Hévíz -Balaton Airport Kft. 201</w:t>
      </w:r>
      <w:r w:rsidR="00A72558">
        <w:rPr>
          <w:b/>
          <w:sz w:val="28"/>
          <w:szCs w:val="28"/>
        </w:rPr>
        <w:t>7</w:t>
      </w:r>
      <w:r w:rsidRPr="00877683">
        <w:rPr>
          <w:b/>
          <w:sz w:val="28"/>
          <w:szCs w:val="28"/>
        </w:rPr>
        <w:t xml:space="preserve"> évet érintő támogatásai</w:t>
      </w:r>
    </w:p>
    <w:p w:rsidR="00B301B7" w:rsidRPr="00B301B7" w:rsidRDefault="00B301B7" w:rsidP="00B301B7"/>
    <w:tbl>
      <w:tblPr>
        <w:tblStyle w:val="Rcsostblzat3"/>
        <w:tblW w:w="14436" w:type="dxa"/>
        <w:tblLayout w:type="fixed"/>
        <w:tblLook w:val="04A0"/>
      </w:tblPr>
      <w:tblGrid>
        <w:gridCol w:w="2812"/>
        <w:gridCol w:w="1276"/>
        <w:gridCol w:w="1719"/>
        <w:gridCol w:w="3402"/>
        <w:gridCol w:w="1276"/>
        <w:gridCol w:w="3951"/>
      </w:tblGrid>
      <w:tr w:rsidR="004C478B" w:rsidRPr="004C478B" w:rsidTr="00F51EBD"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Szerződés száma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Szerződés</w:t>
            </w:r>
          </w:p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 xml:space="preserve"> dátuma</w:t>
            </w:r>
          </w:p>
        </w:tc>
        <w:tc>
          <w:tcPr>
            <w:tcW w:w="1719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Támogatás</w:t>
            </w:r>
          </w:p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 xml:space="preserve"> összege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Támogatást nyújtó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Folyósítás dátuma</w:t>
            </w:r>
          </w:p>
        </w:tc>
        <w:tc>
          <w:tcPr>
            <w:tcW w:w="39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Megjegyzés</w:t>
            </w:r>
          </w:p>
        </w:tc>
      </w:tr>
      <w:tr w:rsidR="004C478B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KGO/53-2/2017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2017.02.21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50.000.000,-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2017.02.27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2016. évre elszámolva 36.000.000,- Ft</w:t>
            </w:r>
          </w:p>
          <w:p w:rsidR="004C478B" w:rsidRPr="004C478B" w:rsidRDefault="004C478B" w:rsidP="004C478B">
            <w:pPr>
              <w:spacing w:after="0" w:line="240" w:lineRule="auto"/>
            </w:pPr>
            <w:r w:rsidRPr="004C478B">
              <w:t>2017. évre elszámolva 14.000.000,- Ft</w:t>
            </w:r>
          </w:p>
        </w:tc>
      </w:tr>
      <w:tr w:rsidR="004C478B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LVF/451/2017-NFM</w:t>
            </w:r>
          </w:p>
          <w:p w:rsidR="004C478B" w:rsidRPr="004C478B" w:rsidRDefault="004C478B" w:rsidP="004C478B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2017.06.12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90.000.000,-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Nemzeti Fejlesztési Minisztérium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2017.06.27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 évre elszámolva</w:t>
            </w:r>
          </w:p>
        </w:tc>
      </w:tr>
      <w:tr w:rsidR="004C478B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rPr>
                <w:rFonts w:cs="Calibri"/>
                <w:color w:val="000000"/>
              </w:rPr>
              <w:t>LVF/1457/2017-NFM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2017.12.29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100.000.000,-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Nemzeti Fejlesztési Minisztérium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2018.01.02.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2017. évre elszámolva</w:t>
            </w:r>
          </w:p>
          <w:p w:rsidR="004C478B" w:rsidRPr="004C478B" w:rsidRDefault="004C478B" w:rsidP="004C478B">
            <w:pPr>
              <w:spacing w:after="0" w:line="240" w:lineRule="auto"/>
            </w:pPr>
          </w:p>
        </w:tc>
      </w:tr>
      <w:tr w:rsidR="004C478B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rPr>
                <w:rFonts w:cs="Calibri"/>
                <w:color w:val="000000"/>
              </w:rPr>
              <w:t>HIV/971-1/2018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2018.01.26.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50.000.000,-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</w:pPr>
            <w:r w:rsidRPr="004C478B">
              <w:t>2018.01.30.</w:t>
            </w:r>
          </w:p>
          <w:p w:rsidR="004C478B" w:rsidRPr="004C478B" w:rsidRDefault="004C478B" w:rsidP="004C478B">
            <w:pPr>
              <w:spacing w:after="0" w:line="240" w:lineRule="auto"/>
            </w:pPr>
          </w:p>
        </w:tc>
        <w:tc>
          <w:tcPr>
            <w:tcW w:w="395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4C478B" w:rsidRPr="004C478B" w:rsidRDefault="001A1E18" w:rsidP="004C478B">
            <w:pPr>
              <w:spacing w:after="0" w:line="240" w:lineRule="auto"/>
            </w:pPr>
            <w:r>
              <w:t>2017. évre elszámolva46.500.000</w:t>
            </w:r>
            <w:r w:rsidR="00BF3FA0">
              <w:t>,-Ft</w:t>
            </w:r>
          </w:p>
        </w:tc>
      </w:tr>
    </w:tbl>
    <w:p w:rsidR="00B301B7" w:rsidRPr="00B301B7" w:rsidRDefault="00B301B7" w:rsidP="00B301B7">
      <w:pPr>
        <w:spacing w:after="160" w:line="259" w:lineRule="auto"/>
      </w:pP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1562100" cy="649412"/>
            <wp:effectExtent l="0" t="0" r="0" b="0"/>
            <wp:wrapNone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49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2042795</wp:posOffset>
            </wp:positionH>
            <wp:positionV relativeFrom="paragraph">
              <wp:posOffset>9525</wp:posOffset>
            </wp:positionV>
            <wp:extent cx="1400175" cy="645947"/>
            <wp:effectExtent l="0" t="0" r="0" b="1905"/>
            <wp:wrapNone/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525" cy="65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BCD" w:rsidRDefault="002A0B3B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Benkő Attila</w:t>
      </w:r>
      <w:r w:rsidR="00DA4BCD">
        <w:rPr>
          <w:rFonts w:ascii="Times New Roman" w:hAnsi="Times New Roman"/>
          <w:b/>
        </w:rPr>
        <w:br/>
        <w:t>Ügyvezető Igazgató</w:t>
      </w:r>
      <w:r>
        <w:rPr>
          <w:rFonts w:ascii="Times New Roman" w:hAnsi="Times New Roman"/>
          <w:b/>
        </w:rPr>
        <w:br/>
        <w:t>Hévíz-Balaton Airport Kft.</w:t>
      </w:r>
    </w:p>
    <w:p w:rsidR="00671180" w:rsidRPr="00671180" w:rsidRDefault="00E6161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671180" w:rsidRPr="00671180">
        <w:rPr>
          <w:rFonts w:ascii="Times New Roman" w:hAnsi="Times New Roman"/>
        </w:rPr>
        <w:t>Sármellék, 201</w:t>
      </w:r>
      <w:r w:rsidR="00794A25">
        <w:rPr>
          <w:rFonts w:ascii="Times New Roman" w:hAnsi="Times New Roman"/>
        </w:rPr>
        <w:t>8</w:t>
      </w:r>
      <w:r w:rsidR="00671180" w:rsidRPr="00671180">
        <w:rPr>
          <w:rFonts w:ascii="Times New Roman" w:hAnsi="Times New Roman"/>
        </w:rPr>
        <w:t xml:space="preserve">. </w:t>
      </w:r>
      <w:r w:rsidR="00794A25">
        <w:rPr>
          <w:rFonts w:ascii="Times New Roman" w:hAnsi="Times New Roman"/>
        </w:rPr>
        <w:t>április</w:t>
      </w:r>
      <w:r w:rsidR="00554DDB">
        <w:rPr>
          <w:rFonts w:ascii="Times New Roman" w:hAnsi="Times New Roman"/>
        </w:rPr>
        <w:t>1</w:t>
      </w:r>
      <w:r w:rsidR="00794A25">
        <w:rPr>
          <w:rFonts w:ascii="Times New Roman" w:hAnsi="Times New Roman"/>
        </w:rPr>
        <w:t>8</w:t>
      </w:r>
      <w:r w:rsidR="00671180" w:rsidRPr="00671180">
        <w:rPr>
          <w:rFonts w:ascii="Times New Roman" w:hAnsi="Times New Roman"/>
        </w:rPr>
        <w:t>.</w:t>
      </w:r>
    </w:p>
    <w:sectPr w:rsidR="00671180" w:rsidRPr="00671180" w:rsidSect="00877683">
      <w:type w:val="continuous"/>
      <w:pgSz w:w="16838" w:h="11906" w:orient="landscape" w:code="9"/>
      <w:pgMar w:top="1418" w:right="1418" w:bottom="1418" w:left="567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E83" w:rsidRDefault="00596E83" w:rsidP="006036C3">
      <w:pPr>
        <w:spacing w:after="0" w:line="240" w:lineRule="auto"/>
      </w:pPr>
      <w:r>
        <w:separator/>
      </w:r>
    </w:p>
  </w:endnote>
  <w:endnote w:type="continuationSeparator" w:id="1">
    <w:p w:rsidR="00596E83" w:rsidRDefault="00596E83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906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F33CBE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D512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74F2" w:rsidRDefault="007774F2" w:rsidP="006036C3">
    <w:pPr>
      <w:pStyle w:val="llb"/>
      <w:spacing w:after="0" w:line="240" w:lineRule="auto"/>
      <w:rPr>
        <w:b/>
        <w:color w:val="0070C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F33CBE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D5121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E83" w:rsidRDefault="00596E83" w:rsidP="006036C3">
      <w:pPr>
        <w:spacing w:after="0" w:line="240" w:lineRule="auto"/>
      </w:pPr>
      <w:r>
        <w:separator/>
      </w:r>
    </w:p>
  </w:footnote>
  <w:footnote w:type="continuationSeparator" w:id="1">
    <w:p w:rsidR="00596E83" w:rsidRDefault="00596E83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74F2" w:rsidRDefault="007774F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 w:rsidP="0077689F">
    <w:pPr>
      <w:pStyle w:val="lfej"/>
      <w:tabs>
        <w:tab w:val="clear" w:pos="4536"/>
        <w:tab w:val="clear" w:pos="9072"/>
        <w:tab w:val="left" w:pos="9015"/>
      </w:tabs>
    </w:pPr>
    <w:r>
      <w:rPr>
        <w:noProof/>
        <w:lang w:eastAsia="hu-H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3836035</wp:posOffset>
          </wp:positionH>
          <wp:positionV relativeFrom="paragraph">
            <wp:posOffset>-95885</wp:posOffset>
          </wp:positionV>
          <wp:extent cx="2614295" cy="652145"/>
          <wp:effectExtent l="0" t="0" r="0" b="0"/>
          <wp:wrapNone/>
          <wp:docPr id="28" name="Picture 4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7774F2" w:rsidRDefault="007774F2" w:rsidP="007768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649FA"/>
    <w:multiLevelType w:val="hybridMultilevel"/>
    <w:tmpl w:val="0A9ED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163D4"/>
    <w:multiLevelType w:val="hybridMultilevel"/>
    <w:tmpl w:val="16C87FC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EF5972"/>
    <w:multiLevelType w:val="hybridMultilevel"/>
    <w:tmpl w:val="5B80B8E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45FEB"/>
    <w:multiLevelType w:val="hybridMultilevel"/>
    <w:tmpl w:val="1A7E9F5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25FB2"/>
    <w:multiLevelType w:val="hybridMultilevel"/>
    <w:tmpl w:val="E0B2935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745DD"/>
    <w:multiLevelType w:val="hybridMultilevel"/>
    <w:tmpl w:val="07F0EC3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0092C"/>
    <w:multiLevelType w:val="hybridMultilevel"/>
    <w:tmpl w:val="35741E6E"/>
    <w:lvl w:ilvl="0" w:tplc="2CFAEFE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045B2"/>
    <w:multiLevelType w:val="hybridMultilevel"/>
    <w:tmpl w:val="37565F0A"/>
    <w:lvl w:ilvl="0" w:tplc="4F38B09E">
      <w:start w:val="1"/>
      <w:numFmt w:val="bullet"/>
      <w:lvlText w:val="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DD2593C" w:tentative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D2E0F38" w:tentative="1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4DAC154" w:tentative="1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3BBAC158" w:tentative="1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C90C5108" w:tentative="1">
      <w:start w:val="1"/>
      <w:numFmt w:val="bullet"/>
      <w:lvlText w:val="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16AABE00" w:tentative="1">
      <w:start w:val="1"/>
      <w:numFmt w:val="bullet"/>
      <w:lvlText w:val="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9EDE2C4A" w:tentative="1">
      <w:start w:val="1"/>
      <w:numFmt w:val="bullet"/>
      <w:lvlText w:val="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6223DE2" w:tentative="1">
      <w:start w:val="1"/>
      <w:numFmt w:val="bullet"/>
      <w:lvlText w:val="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5269589A"/>
    <w:multiLevelType w:val="hybridMultilevel"/>
    <w:tmpl w:val="943065C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43F8A"/>
    <w:multiLevelType w:val="hybridMultilevel"/>
    <w:tmpl w:val="8C4A53A4"/>
    <w:lvl w:ilvl="0" w:tplc="A22A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B09E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9557B"/>
    <w:multiLevelType w:val="hybridMultilevel"/>
    <w:tmpl w:val="182CAD8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C06AE"/>
    <w:multiLevelType w:val="hybridMultilevel"/>
    <w:tmpl w:val="D05E4D2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20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9"/>
  </w:num>
  <w:num w:numId="10">
    <w:abstractNumId w:val="22"/>
  </w:num>
  <w:num w:numId="11">
    <w:abstractNumId w:val="12"/>
  </w:num>
  <w:num w:numId="12">
    <w:abstractNumId w:val="16"/>
  </w:num>
  <w:num w:numId="13">
    <w:abstractNumId w:val="13"/>
  </w:num>
  <w:num w:numId="14">
    <w:abstractNumId w:val="18"/>
  </w:num>
  <w:num w:numId="15">
    <w:abstractNumId w:val="21"/>
  </w:num>
  <w:num w:numId="16">
    <w:abstractNumId w:val="4"/>
  </w:num>
  <w:num w:numId="17">
    <w:abstractNumId w:val="5"/>
  </w:num>
  <w:num w:numId="18">
    <w:abstractNumId w:val="14"/>
  </w:num>
  <w:num w:numId="19">
    <w:abstractNumId w:val="10"/>
  </w:num>
  <w:num w:numId="20">
    <w:abstractNumId w:val="11"/>
  </w:num>
  <w:num w:numId="21">
    <w:abstractNumId w:val="2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>
      <o:colormru v:ext="edit" colors="#0076b0"/>
    </o:shapedefaults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01721"/>
    <w:rsid w:val="00013CA5"/>
    <w:rsid w:val="00014760"/>
    <w:rsid w:val="00015F19"/>
    <w:rsid w:val="00031948"/>
    <w:rsid w:val="0003236D"/>
    <w:rsid w:val="000347F0"/>
    <w:rsid w:val="00037667"/>
    <w:rsid w:val="00041BF8"/>
    <w:rsid w:val="00044CD0"/>
    <w:rsid w:val="000457A2"/>
    <w:rsid w:val="00047500"/>
    <w:rsid w:val="00057111"/>
    <w:rsid w:val="00063FA1"/>
    <w:rsid w:val="00066991"/>
    <w:rsid w:val="000720E7"/>
    <w:rsid w:val="000729A0"/>
    <w:rsid w:val="00077128"/>
    <w:rsid w:val="00082417"/>
    <w:rsid w:val="00096B13"/>
    <w:rsid w:val="000A7670"/>
    <w:rsid w:val="000B151F"/>
    <w:rsid w:val="000B1C5E"/>
    <w:rsid w:val="000C4915"/>
    <w:rsid w:val="000D0A04"/>
    <w:rsid w:val="000D5E8D"/>
    <w:rsid w:val="000D6A1E"/>
    <w:rsid w:val="000F2658"/>
    <w:rsid w:val="000F27A0"/>
    <w:rsid w:val="000F545B"/>
    <w:rsid w:val="000F5F37"/>
    <w:rsid w:val="0010132C"/>
    <w:rsid w:val="0011194D"/>
    <w:rsid w:val="00121312"/>
    <w:rsid w:val="00123DA5"/>
    <w:rsid w:val="00141C3C"/>
    <w:rsid w:val="00152FFC"/>
    <w:rsid w:val="00153A80"/>
    <w:rsid w:val="00163BA7"/>
    <w:rsid w:val="00170606"/>
    <w:rsid w:val="00194692"/>
    <w:rsid w:val="001A0FD7"/>
    <w:rsid w:val="001A1E18"/>
    <w:rsid w:val="001B1855"/>
    <w:rsid w:val="001B5620"/>
    <w:rsid w:val="001B7902"/>
    <w:rsid w:val="001C2ECC"/>
    <w:rsid w:val="001C6D78"/>
    <w:rsid w:val="001C7A4D"/>
    <w:rsid w:val="001D176B"/>
    <w:rsid w:val="001E00B3"/>
    <w:rsid w:val="001E1799"/>
    <w:rsid w:val="001E19A8"/>
    <w:rsid w:val="001E6D90"/>
    <w:rsid w:val="001E7242"/>
    <w:rsid w:val="001E7D6A"/>
    <w:rsid w:val="001F0C39"/>
    <w:rsid w:val="001F46ED"/>
    <w:rsid w:val="001F6A45"/>
    <w:rsid w:val="002060DC"/>
    <w:rsid w:val="002130E7"/>
    <w:rsid w:val="00220712"/>
    <w:rsid w:val="00222AD4"/>
    <w:rsid w:val="00227F21"/>
    <w:rsid w:val="002303FA"/>
    <w:rsid w:val="002336D5"/>
    <w:rsid w:val="00234F74"/>
    <w:rsid w:val="00237BAF"/>
    <w:rsid w:val="00243CF0"/>
    <w:rsid w:val="00247616"/>
    <w:rsid w:val="0025558D"/>
    <w:rsid w:val="00260B5F"/>
    <w:rsid w:val="00261102"/>
    <w:rsid w:val="00263351"/>
    <w:rsid w:val="00270901"/>
    <w:rsid w:val="00273CD4"/>
    <w:rsid w:val="0027459E"/>
    <w:rsid w:val="002867EC"/>
    <w:rsid w:val="00294312"/>
    <w:rsid w:val="00296411"/>
    <w:rsid w:val="00297A95"/>
    <w:rsid w:val="002A0B3B"/>
    <w:rsid w:val="002A6995"/>
    <w:rsid w:val="002B5389"/>
    <w:rsid w:val="002C3AD9"/>
    <w:rsid w:val="002D0F59"/>
    <w:rsid w:val="002D7975"/>
    <w:rsid w:val="002E1BE0"/>
    <w:rsid w:val="002E234B"/>
    <w:rsid w:val="002E598C"/>
    <w:rsid w:val="002F2161"/>
    <w:rsid w:val="002F3948"/>
    <w:rsid w:val="002F3EB7"/>
    <w:rsid w:val="002F7CAE"/>
    <w:rsid w:val="00305CD3"/>
    <w:rsid w:val="00307A22"/>
    <w:rsid w:val="00307E6D"/>
    <w:rsid w:val="003115F9"/>
    <w:rsid w:val="00314B8F"/>
    <w:rsid w:val="003150BA"/>
    <w:rsid w:val="00321424"/>
    <w:rsid w:val="00322598"/>
    <w:rsid w:val="00324C1E"/>
    <w:rsid w:val="003260EE"/>
    <w:rsid w:val="003313D8"/>
    <w:rsid w:val="00337F8C"/>
    <w:rsid w:val="003411D9"/>
    <w:rsid w:val="00357E2C"/>
    <w:rsid w:val="00361F8F"/>
    <w:rsid w:val="00366B41"/>
    <w:rsid w:val="003770B3"/>
    <w:rsid w:val="00390F56"/>
    <w:rsid w:val="003A13FD"/>
    <w:rsid w:val="003A1596"/>
    <w:rsid w:val="003A2212"/>
    <w:rsid w:val="003B10FA"/>
    <w:rsid w:val="003B6A48"/>
    <w:rsid w:val="003C0187"/>
    <w:rsid w:val="003C734E"/>
    <w:rsid w:val="003D418C"/>
    <w:rsid w:val="003D4A3A"/>
    <w:rsid w:val="003E68CA"/>
    <w:rsid w:val="003F037C"/>
    <w:rsid w:val="003F5EAB"/>
    <w:rsid w:val="004068CD"/>
    <w:rsid w:val="00407CF3"/>
    <w:rsid w:val="00414C73"/>
    <w:rsid w:val="004204CE"/>
    <w:rsid w:val="00423295"/>
    <w:rsid w:val="00426170"/>
    <w:rsid w:val="00427C5B"/>
    <w:rsid w:val="004376AE"/>
    <w:rsid w:val="00441F92"/>
    <w:rsid w:val="00447909"/>
    <w:rsid w:val="00452B95"/>
    <w:rsid w:val="00452DF6"/>
    <w:rsid w:val="004557FA"/>
    <w:rsid w:val="0045711F"/>
    <w:rsid w:val="004615F1"/>
    <w:rsid w:val="004745E3"/>
    <w:rsid w:val="00476656"/>
    <w:rsid w:val="004863F4"/>
    <w:rsid w:val="00497378"/>
    <w:rsid w:val="004A2C5A"/>
    <w:rsid w:val="004A5861"/>
    <w:rsid w:val="004A5A6E"/>
    <w:rsid w:val="004A797C"/>
    <w:rsid w:val="004B4EEE"/>
    <w:rsid w:val="004C03FF"/>
    <w:rsid w:val="004C1140"/>
    <w:rsid w:val="004C3C2D"/>
    <w:rsid w:val="004C478B"/>
    <w:rsid w:val="004C48A9"/>
    <w:rsid w:val="004D1647"/>
    <w:rsid w:val="004D451C"/>
    <w:rsid w:val="004D4ECA"/>
    <w:rsid w:val="004D6F33"/>
    <w:rsid w:val="004E4A8C"/>
    <w:rsid w:val="004E7E9F"/>
    <w:rsid w:val="004F0D95"/>
    <w:rsid w:val="00500C3C"/>
    <w:rsid w:val="005016D0"/>
    <w:rsid w:val="00510693"/>
    <w:rsid w:val="005149DC"/>
    <w:rsid w:val="00516775"/>
    <w:rsid w:val="0052033A"/>
    <w:rsid w:val="00523C68"/>
    <w:rsid w:val="00535700"/>
    <w:rsid w:val="005400F6"/>
    <w:rsid w:val="0055080D"/>
    <w:rsid w:val="00554446"/>
    <w:rsid w:val="00554DDB"/>
    <w:rsid w:val="00554F69"/>
    <w:rsid w:val="005567CC"/>
    <w:rsid w:val="00583AD5"/>
    <w:rsid w:val="0058459F"/>
    <w:rsid w:val="005908AD"/>
    <w:rsid w:val="00591B55"/>
    <w:rsid w:val="00596E83"/>
    <w:rsid w:val="005A02E2"/>
    <w:rsid w:val="005B2EB1"/>
    <w:rsid w:val="005B52E0"/>
    <w:rsid w:val="005B5351"/>
    <w:rsid w:val="005B599C"/>
    <w:rsid w:val="005B7E25"/>
    <w:rsid w:val="005B7EA9"/>
    <w:rsid w:val="005C3D2B"/>
    <w:rsid w:val="005D7046"/>
    <w:rsid w:val="005E07EA"/>
    <w:rsid w:val="005E3666"/>
    <w:rsid w:val="005E3A3D"/>
    <w:rsid w:val="005E482A"/>
    <w:rsid w:val="00600175"/>
    <w:rsid w:val="006036C3"/>
    <w:rsid w:val="006047CA"/>
    <w:rsid w:val="0061271E"/>
    <w:rsid w:val="00613F68"/>
    <w:rsid w:val="00626E29"/>
    <w:rsid w:val="006273D1"/>
    <w:rsid w:val="00627F0A"/>
    <w:rsid w:val="00642C39"/>
    <w:rsid w:val="006448A5"/>
    <w:rsid w:val="00653DB6"/>
    <w:rsid w:val="00654127"/>
    <w:rsid w:val="00654600"/>
    <w:rsid w:val="00657DDC"/>
    <w:rsid w:val="00663199"/>
    <w:rsid w:val="00664D29"/>
    <w:rsid w:val="006654DF"/>
    <w:rsid w:val="00670EED"/>
    <w:rsid w:val="00671180"/>
    <w:rsid w:val="006718F4"/>
    <w:rsid w:val="00671B4B"/>
    <w:rsid w:val="00673A97"/>
    <w:rsid w:val="00676336"/>
    <w:rsid w:val="00682C94"/>
    <w:rsid w:val="0068738D"/>
    <w:rsid w:val="00691EF4"/>
    <w:rsid w:val="006949B2"/>
    <w:rsid w:val="006A2C0F"/>
    <w:rsid w:val="006A4463"/>
    <w:rsid w:val="006B5CD5"/>
    <w:rsid w:val="006B74E2"/>
    <w:rsid w:val="006C06FE"/>
    <w:rsid w:val="006C3334"/>
    <w:rsid w:val="006D2722"/>
    <w:rsid w:val="006D3078"/>
    <w:rsid w:val="006D3361"/>
    <w:rsid w:val="006E2554"/>
    <w:rsid w:val="007011C7"/>
    <w:rsid w:val="00705C37"/>
    <w:rsid w:val="007104D6"/>
    <w:rsid w:val="007144D6"/>
    <w:rsid w:val="00717A7D"/>
    <w:rsid w:val="00717CAD"/>
    <w:rsid w:val="00720E2A"/>
    <w:rsid w:val="007211AC"/>
    <w:rsid w:val="007251FF"/>
    <w:rsid w:val="00725C56"/>
    <w:rsid w:val="0073662F"/>
    <w:rsid w:val="0074328F"/>
    <w:rsid w:val="00746189"/>
    <w:rsid w:val="007524CC"/>
    <w:rsid w:val="00757321"/>
    <w:rsid w:val="007637F0"/>
    <w:rsid w:val="007643EF"/>
    <w:rsid w:val="00773AF6"/>
    <w:rsid w:val="00775F22"/>
    <w:rsid w:val="0077689F"/>
    <w:rsid w:val="00776E5F"/>
    <w:rsid w:val="007774F2"/>
    <w:rsid w:val="0079045E"/>
    <w:rsid w:val="00794A25"/>
    <w:rsid w:val="00797202"/>
    <w:rsid w:val="007975D4"/>
    <w:rsid w:val="007A2131"/>
    <w:rsid w:val="007A3939"/>
    <w:rsid w:val="007B02FC"/>
    <w:rsid w:val="007B0A01"/>
    <w:rsid w:val="007B1A64"/>
    <w:rsid w:val="007B20B4"/>
    <w:rsid w:val="007B3CDF"/>
    <w:rsid w:val="007E06D6"/>
    <w:rsid w:val="007E0744"/>
    <w:rsid w:val="007E4B5B"/>
    <w:rsid w:val="007F0B6C"/>
    <w:rsid w:val="007F2393"/>
    <w:rsid w:val="007F62D5"/>
    <w:rsid w:val="007F6ACA"/>
    <w:rsid w:val="00802604"/>
    <w:rsid w:val="00802C9F"/>
    <w:rsid w:val="00810CC0"/>
    <w:rsid w:val="0082352E"/>
    <w:rsid w:val="00823AE6"/>
    <w:rsid w:val="00825CA7"/>
    <w:rsid w:val="0083394D"/>
    <w:rsid w:val="00834928"/>
    <w:rsid w:val="008373D9"/>
    <w:rsid w:val="00842027"/>
    <w:rsid w:val="008506D6"/>
    <w:rsid w:val="00864560"/>
    <w:rsid w:val="0086618D"/>
    <w:rsid w:val="00867B6B"/>
    <w:rsid w:val="00877683"/>
    <w:rsid w:val="00882FDF"/>
    <w:rsid w:val="008838C9"/>
    <w:rsid w:val="00884A0D"/>
    <w:rsid w:val="008955C5"/>
    <w:rsid w:val="008959E3"/>
    <w:rsid w:val="008A17DA"/>
    <w:rsid w:val="008A33E5"/>
    <w:rsid w:val="008A475D"/>
    <w:rsid w:val="008B4D8C"/>
    <w:rsid w:val="008C2D25"/>
    <w:rsid w:val="008C3ECD"/>
    <w:rsid w:val="008C4140"/>
    <w:rsid w:val="008C4C12"/>
    <w:rsid w:val="008C620A"/>
    <w:rsid w:val="008E26A7"/>
    <w:rsid w:val="008E2D9A"/>
    <w:rsid w:val="008E3089"/>
    <w:rsid w:val="008F0ED5"/>
    <w:rsid w:val="008F36AC"/>
    <w:rsid w:val="008F6DD9"/>
    <w:rsid w:val="00911DB3"/>
    <w:rsid w:val="00916E90"/>
    <w:rsid w:val="00932870"/>
    <w:rsid w:val="009358AD"/>
    <w:rsid w:val="009373A8"/>
    <w:rsid w:val="009404D8"/>
    <w:rsid w:val="00942937"/>
    <w:rsid w:val="009503F7"/>
    <w:rsid w:val="00953CF0"/>
    <w:rsid w:val="009614BF"/>
    <w:rsid w:val="009651EE"/>
    <w:rsid w:val="0097321F"/>
    <w:rsid w:val="00975926"/>
    <w:rsid w:val="009836F7"/>
    <w:rsid w:val="009929A7"/>
    <w:rsid w:val="009A0E11"/>
    <w:rsid w:val="009A6595"/>
    <w:rsid w:val="009A6CF8"/>
    <w:rsid w:val="009B2457"/>
    <w:rsid w:val="009C4191"/>
    <w:rsid w:val="009C61F4"/>
    <w:rsid w:val="009D3BD8"/>
    <w:rsid w:val="009D5193"/>
    <w:rsid w:val="009D6609"/>
    <w:rsid w:val="009D7EED"/>
    <w:rsid w:val="009E111B"/>
    <w:rsid w:val="009F08D3"/>
    <w:rsid w:val="009F1A34"/>
    <w:rsid w:val="009F32F8"/>
    <w:rsid w:val="009F334D"/>
    <w:rsid w:val="009F4154"/>
    <w:rsid w:val="009F4F57"/>
    <w:rsid w:val="009F5204"/>
    <w:rsid w:val="009F7FC3"/>
    <w:rsid w:val="00A00395"/>
    <w:rsid w:val="00A22716"/>
    <w:rsid w:val="00A25ED3"/>
    <w:rsid w:val="00A42B9C"/>
    <w:rsid w:val="00A45928"/>
    <w:rsid w:val="00A540FA"/>
    <w:rsid w:val="00A6172D"/>
    <w:rsid w:val="00A6481A"/>
    <w:rsid w:val="00A71871"/>
    <w:rsid w:val="00A72558"/>
    <w:rsid w:val="00A7462B"/>
    <w:rsid w:val="00A7750E"/>
    <w:rsid w:val="00A77F5C"/>
    <w:rsid w:val="00A9764F"/>
    <w:rsid w:val="00AA0E5B"/>
    <w:rsid w:val="00AA0F32"/>
    <w:rsid w:val="00AA4405"/>
    <w:rsid w:val="00AA682D"/>
    <w:rsid w:val="00AA76A7"/>
    <w:rsid w:val="00AA7EF1"/>
    <w:rsid w:val="00AB5446"/>
    <w:rsid w:val="00AB713C"/>
    <w:rsid w:val="00AB7348"/>
    <w:rsid w:val="00AC1609"/>
    <w:rsid w:val="00AC3CDC"/>
    <w:rsid w:val="00AD67E3"/>
    <w:rsid w:val="00AD6AD7"/>
    <w:rsid w:val="00AE0054"/>
    <w:rsid w:val="00AE3083"/>
    <w:rsid w:val="00AF0D23"/>
    <w:rsid w:val="00AF17EE"/>
    <w:rsid w:val="00AF5F30"/>
    <w:rsid w:val="00AF73E1"/>
    <w:rsid w:val="00B041A5"/>
    <w:rsid w:val="00B10833"/>
    <w:rsid w:val="00B11610"/>
    <w:rsid w:val="00B116B4"/>
    <w:rsid w:val="00B13AB7"/>
    <w:rsid w:val="00B14E45"/>
    <w:rsid w:val="00B26C23"/>
    <w:rsid w:val="00B301B7"/>
    <w:rsid w:val="00B30DF0"/>
    <w:rsid w:val="00B32178"/>
    <w:rsid w:val="00B346B6"/>
    <w:rsid w:val="00B37942"/>
    <w:rsid w:val="00B41026"/>
    <w:rsid w:val="00B43FAD"/>
    <w:rsid w:val="00B45A9E"/>
    <w:rsid w:val="00B517F3"/>
    <w:rsid w:val="00B55D4E"/>
    <w:rsid w:val="00B56F0B"/>
    <w:rsid w:val="00B5736F"/>
    <w:rsid w:val="00B576A3"/>
    <w:rsid w:val="00B6083B"/>
    <w:rsid w:val="00B61260"/>
    <w:rsid w:val="00B64BB9"/>
    <w:rsid w:val="00B64FE0"/>
    <w:rsid w:val="00B70CDC"/>
    <w:rsid w:val="00B76562"/>
    <w:rsid w:val="00B90F63"/>
    <w:rsid w:val="00B925DC"/>
    <w:rsid w:val="00B94F91"/>
    <w:rsid w:val="00BA578D"/>
    <w:rsid w:val="00BA7692"/>
    <w:rsid w:val="00BB0964"/>
    <w:rsid w:val="00BB6B51"/>
    <w:rsid w:val="00BB7328"/>
    <w:rsid w:val="00BB788F"/>
    <w:rsid w:val="00BC51B7"/>
    <w:rsid w:val="00BC66CC"/>
    <w:rsid w:val="00BD3A0F"/>
    <w:rsid w:val="00BE18A8"/>
    <w:rsid w:val="00BE3350"/>
    <w:rsid w:val="00BE74F0"/>
    <w:rsid w:val="00BE7A8C"/>
    <w:rsid w:val="00BE7B79"/>
    <w:rsid w:val="00BF295F"/>
    <w:rsid w:val="00BF3FA0"/>
    <w:rsid w:val="00BF6F80"/>
    <w:rsid w:val="00C00BA8"/>
    <w:rsid w:val="00C0216C"/>
    <w:rsid w:val="00C03AF9"/>
    <w:rsid w:val="00C051A2"/>
    <w:rsid w:val="00C0576F"/>
    <w:rsid w:val="00C059BD"/>
    <w:rsid w:val="00C05B74"/>
    <w:rsid w:val="00C11ED1"/>
    <w:rsid w:val="00C127E0"/>
    <w:rsid w:val="00C13768"/>
    <w:rsid w:val="00C2039B"/>
    <w:rsid w:val="00C20793"/>
    <w:rsid w:val="00C20E2A"/>
    <w:rsid w:val="00C262D5"/>
    <w:rsid w:val="00C35A2B"/>
    <w:rsid w:val="00C50DEC"/>
    <w:rsid w:val="00C54716"/>
    <w:rsid w:val="00C608CE"/>
    <w:rsid w:val="00C66D63"/>
    <w:rsid w:val="00C70C5D"/>
    <w:rsid w:val="00C71EBB"/>
    <w:rsid w:val="00C72470"/>
    <w:rsid w:val="00C76891"/>
    <w:rsid w:val="00C915F9"/>
    <w:rsid w:val="00C94E93"/>
    <w:rsid w:val="00C96276"/>
    <w:rsid w:val="00CA03C6"/>
    <w:rsid w:val="00CA0EFD"/>
    <w:rsid w:val="00CB6E0A"/>
    <w:rsid w:val="00CB73EF"/>
    <w:rsid w:val="00CC4A3C"/>
    <w:rsid w:val="00CC788C"/>
    <w:rsid w:val="00CD1DD7"/>
    <w:rsid w:val="00CD242B"/>
    <w:rsid w:val="00CD3224"/>
    <w:rsid w:val="00CD40B1"/>
    <w:rsid w:val="00CD4D3D"/>
    <w:rsid w:val="00CE70C2"/>
    <w:rsid w:val="00CF4C2F"/>
    <w:rsid w:val="00CF6A01"/>
    <w:rsid w:val="00D005AA"/>
    <w:rsid w:val="00D02EB1"/>
    <w:rsid w:val="00D05367"/>
    <w:rsid w:val="00D05619"/>
    <w:rsid w:val="00D07C53"/>
    <w:rsid w:val="00D1087F"/>
    <w:rsid w:val="00D11542"/>
    <w:rsid w:val="00D12088"/>
    <w:rsid w:val="00D12515"/>
    <w:rsid w:val="00D17362"/>
    <w:rsid w:val="00D302B1"/>
    <w:rsid w:val="00D302BC"/>
    <w:rsid w:val="00D33A17"/>
    <w:rsid w:val="00D3465A"/>
    <w:rsid w:val="00D43998"/>
    <w:rsid w:val="00D43A71"/>
    <w:rsid w:val="00D47B7F"/>
    <w:rsid w:val="00D51211"/>
    <w:rsid w:val="00D66323"/>
    <w:rsid w:val="00D70FE0"/>
    <w:rsid w:val="00D72D77"/>
    <w:rsid w:val="00D73999"/>
    <w:rsid w:val="00D77836"/>
    <w:rsid w:val="00D8327D"/>
    <w:rsid w:val="00D853E1"/>
    <w:rsid w:val="00D86716"/>
    <w:rsid w:val="00D907C7"/>
    <w:rsid w:val="00D9370A"/>
    <w:rsid w:val="00DA285E"/>
    <w:rsid w:val="00DA37F8"/>
    <w:rsid w:val="00DA4BCD"/>
    <w:rsid w:val="00DA7C76"/>
    <w:rsid w:val="00DC07BC"/>
    <w:rsid w:val="00DC10A5"/>
    <w:rsid w:val="00DC225C"/>
    <w:rsid w:val="00DC2DFB"/>
    <w:rsid w:val="00DD4DF7"/>
    <w:rsid w:val="00DD5DB3"/>
    <w:rsid w:val="00DD7191"/>
    <w:rsid w:val="00DE43E7"/>
    <w:rsid w:val="00DF0EFA"/>
    <w:rsid w:val="00E0069B"/>
    <w:rsid w:val="00E0457D"/>
    <w:rsid w:val="00E04A44"/>
    <w:rsid w:val="00E06EAA"/>
    <w:rsid w:val="00E13092"/>
    <w:rsid w:val="00E1783E"/>
    <w:rsid w:val="00E17AB7"/>
    <w:rsid w:val="00E20C43"/>
    <w:rsid w:val="00E26465"/>
    <w:rsid w:val="00E334A9"/>
    <w:rsid w:val="00E3757A"/>
    <w:rsid w:val="00E37766"/>
    <w:rsid w:val="00E43C1B"/>
    <w:rsid w:val="00E506D2"/>
    <w:rsid w:val="00E50F0C"/>
    <w:rsid w:val="00E53DE9"/>
    <w:rsid w:val="00E61611"/>
    <w:rsid w:val="00E616A1"/>
    <w:rsid w:val="00E867E5"/>
    <w:rsid w:val="00E92568"/>
    <w:rsid w:val="00EA560A"/>
    <w:rsid w:val="00EA6803"/>
    <w:rsid w:val="00EA750D"/>
    <w:rsid w:val="00EB08D5"/>
    <w:rsid w:val="00EB31E7"/>
    <w:rsid w:val="00EB696A"/>
    <w:rsid w:val="00EC1B13"/>
    <w:rsid w:val="00ED2276"/>
    <w:rsid w:val="00ED48C1"/>
    <w:rsid w:val="00ED6117"/>
    <w:rsid w:val="00ED7B99"/>
    <w:rsid w:val="00EE09C6"/>
    <w:rsid w:val="00EE7B1D"/>
    <w:rsid w:val="00EF2E26"/>
    <w:rsid w:val="00EF33DE"/>
    <w:rsid w:val="00F01E77"/>
    <w:rsid w:val="00F0287E"/>
    <w:rsid w:val="00F057F8"/>
    <w:rsid w:val="00F1196C"/>
    <w:rsid w:val="00F14107"/>
    <w:rsid w:val="00F14203"/>
    <w:rsid w:val="00F24BEB"/>
    <w:rsid w:val="00F26E22"/>
    <w:rsid w:val="00F278AB"/>
    <w:rsid w:val="00F313C9"/>
    <w:rsid w:val="00F32868"/>
    <w:rsid w:val="00F32F94"/>
    <w:rsid w:val="00F33CBE"/>
    <w:rsid w:val="00F4159F"/>
    <w:rsid w:val="00F51A07"/>
    <w:rsid w:val="00F5223E"/>
    <w:rsid w:val="00F527CE"/>
    <w:rsid w:val="00F53924"/>
    <w:rsid w:val="00F71738"/>
    <w:rsid w:val="00F72698"/>
    <w:rsid w:val="00F74BED"/>
    <w:rsid w:val="00F75B50"/>
    <w:rsid w:val="00F76574"/>
    <w:rsid w:val="00F76EED"/>
    <w:rsid w:val="00F77424"/>
    <w:rsid w:val="00F81CDF"/>
    <w:rsid w:val="00F82D2B"/>
    <w:rsid w:val="00F841A4"/>
    <w:rsid w:val="00F87476"/>
    <w:rsid w:val="00F94884"/>
    <w:rsid w:val="00F969FA"/>
    <w:rsid w:val="00FA249F"/>
    <w:rsid w:val="00FA43B0"/>
    <w:rsid w:val="00FB26B2"/>
    <w:rsid w:val="00FD02BE"/>
    <w:rsid w:val="00FD21E8"/>
    <w:rsid w:val="00FE3EEB"/>
    <w:rsid w:val="00FE3FD8"/>
    <w:rsid w:val="00FE5432"/>
    <w:rsid w:val="00FF2460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007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39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7C53"/>
    <w:rPr>
      <w:rFonts w:asciiTheme="minorHAnsi" w:eastAsiaTheme="minorHAnsi" w:hAnsiTheme="minorHAnsi" w:cstheme="minorBid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aliases w:val="bt,Body Text - Level 2,block,Body text,B,heading3"/>
    <w:basedOn w:val="Norml"/>
    <w:link w:val="SzvegtrzsChar"/>
    <w:rsid w:val="00AA682D"/>
    <w:pPr>
      <w:spacing w:after="260" w:line="260" w:lineRule="atLeast"/>
      <w:jc w:val="both"/>
    </w:pPr>
    <w:rPr>
      <w:rFonts w:eastAsia="Times New Roman"/>
      <w:szCs w:val="20"/>
      <w:lang w:val="en-GB"/>
    </w:rPr>
  </w:style>
  <w:style w:type="character" w:customStyle="1" w:styleId="SzvegtrzsChar">
    <w:name w:val="Szövegtörzs Char"/>
    <w:aliases w:val="bt Char,Body Text - Level 2 Char,block Char,Body text Char,B Char,heading3 Char"/>
    <w:basedOn w:val="Bekezdsalapbettpusa"/>
    <w:link w:val="Szvegtrzs"/>
    <w:rsid w:val="00AA682D"/>
    <w:rPr>
      <w:rFonts w:eastAsia="Times New Roman"/>
      <w:sz w:val="22"/>
      <w:lang w:val="en-GB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8776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B301B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39"/>
    <w:rsid w:val="004C478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0C15C-D8C8-46AF-961B-1583CDDE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1387</Words>
  <Characters>9577</Characters>
  <Application>Microsoft Office Word</Application>
  <DocSecurity>0</DocSecurity>
  <Lines>79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10943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Sanyi</cp:lastModifiedBy>
  <cp:revision>2</cp:revision>
  <cp:lastPrinted>2016-05-12T08:11:00Z</cp:lastPrinted>
  <dcterms:created xsi:type="dcterms:W3CDTF">2018-04-18T20:33:00Z</dcterms:created>
  <dcterms:modified xsi:type="dcterms:W3CDTF">2018-04-18T20:33:00Z</dcterms:modified>
</cp:coreProperties>
</file>