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200FF9">
        <w:rPr>
          <w:rFonts w:ascii="Arial" w:hAnsi="Arial" w:cs="Arial"/>
          <w:sz w:val="24"/>
          <w:szCs w:val="24"/>
        </w:rPr>
        <w:t>VFO</w:t>
      </w:r>
      <w:r w:rsidR="0016354E">
        <w:rPr>
          <w:rFonts w:ascii="Arial" w:hAnsi="Arial" w:cs="Arial"/>
          <w:sz w:val="24"/>
          <w:szCs w:val="24"/>
        </w:rPr>
        <w:t>/539-1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/2014.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2014. </w:t>
      </w:r>
      <w:r w:rsidR="00200FF9">
        <w:rPr>
          <w:rFonts w:ascii="Arial" w:hAnsi="Arial" w:cs="Arial"/>
          <w:b/>
          <w:sz w:val="24"/>
          <w:szCs w:val="24"/>
        </w:rPr>
        <w:t>június 24</w:t>
      </w:r>
      <w:r>
        <w:rPr>
          <w:rFonts w:ascii="Arial" w:hAnsi="Arial" w:cs="Arial"/>
          <w:b/>
          <w:sz w:val="24"/>
          <w:szCs w:val="24"/>
        </w:rPr>
        <w:t>.</w:t>
      </w:r>
      <w:r w:rsidR="0066553E">
        <w:rPr>
          <w:rFonts w:ascii="Arial" w:hAnsi="Arial" w:cs="Arial"/>
          <w:b/>
          <w:sz w:val="24"/>
          <w:szCs w:val="24"/>
        </w:rPr>
        <w:t>-ei</w:t>
      </w:r>
      <w:r>
        <w:rPr>
          <w:rFonts w:ascii="Arial" w:hAnsi="Arial" w:cs="Arial"/>
          <w:b/>
          <w:sz w:val="24"/>
          <w:szCs w:val="24"/>
        </w:rPr>
        <w:t xml:space="preserve">  nyilvános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00FF9" w:rsidRPr="00AF1B8E" w:rsidRDefault="00E24B9A" w:rsidP="00200FF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 w:rsidR="00200FF9" w:rsidRPr="00AF1B8E">
        <w:rPr>
          <w:rFonts w:ascii="Arial" w:hAnsi="Arial" w:cs="Arial"/>
          <w:sz w:val="24"/>
          <w:szCs w:val="24"/>
        </w:rPr>
        <w:t xml:space="preserve">A közösségi együttélés alapvető szabályairól, valamint ezek elmulasztása, megszegése jogkövetkezményeiről szóló 24/2013. (VI.26.) önkormányzati rendelet módosítása   </w:t>
      </w:r>
    </w:p>
    <w:p w:rsidR="008E2138" w:rsidRPr="001D34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A50C0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00FF9">
        <w:rPr>
          <w:rFonts w:ascii="Arial" w:hAnsi="Arial" w:cs="Arial"/>
          <w:b/>
          <w:sz w:val="24"/>
          <w:szCs w:val="24"/>
        </w:rPr>
        <w:t xml:space="preserve">Készítette: </w:t>
      </w:r>
      <w:r w:rsidRPr="00200FF9">
        <w:rPr>
          <w:rFonts w:ascii="Arial" w:hAnsi="Arial" w:cs="Arial"/>
          <w:sz w:val="24"/>
          <w:szCs w:val="24"/>
        </w:rPr>
        <w:t xml:space="preserve"> </w:t>
      </w: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ab/>
      </w:r>
      <w:r w:rsidR="00200FF9">
        <w:rPr>
          <w:rFonts w:ascii="Arial" w:hAnsi="Arial" w:cs="Arial"/>
          <w:color w:val="000000" w:themeColor="text1"/>
          <w:sz w:val="24"/>
          <w:szCs w:val="24"/>
        </w:rPr>
        <w:t>Király Zoltán István közterület-felügyelő</w:t>
      </w:r>
    </w:p>
    <w:p w:rsidR="008E2138" w:rsidRPr="002A50C0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E2138" w:rsidRPr="002A50C0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A50C0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8E2138" w:rsidRPr="002A50C0" w:rsidRDefault="008E2138" w:rsidP="00E24B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A50C0">
        <w:rPr>
          <w:rFonts w:ascii="Arial" w:hAnsi="Arial" w:cs="Arial"/>
          <w:b/>
          <w:color w:val="000000" w:themeColor="text1"/>
          <w:sz w:val="24"/>
          <w:szCs w:val="24"/>
        </w:rPr>
        <w:t>Megtárgyalta:</w:t>
      </w:r>
      <w:r w:rsidR="00E24B9A">
        <w:rPr>
          <w:rFonts w:ascii="Arial" w:hAnsi="Arial" w:cs="Arial"/>
          <w:color w:val="000000" w:themeColor="text1"/>
          <w:sz w:val="24"/>
          <w:szCs w:val="24"/>
        </w:rPr>
        <w:tab/>
      </w:r>
      <w:r w:rsidRPr="002A50C0">
        <w:rPr>
          <w:rFonts w:ascii="Arial" w:hAnsi="Arial" w:cs="Arial"/>
          <w:color w:val="000000" w:themeColor="text1"/>
          <w:sz w:val="24"/>
          <w:szCs w:val="24"/>
        </w:rPr>
        <w:t>Pénzügyi és Turisztikai Bizottság</w:t>
      </w:r>
    </w:p>
    <w:p w:rsidR="008E2138" w:rsidRPr="002A50C0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dr. </w:t>
      </w:r>
      <w:r w:rsidR="0038715F">
        <w:rPr>
          <w:rFonts w:ascii="Arial" w:hAnsi="Arial" w:cs="Arial"/>
          <w:sz w:val="24"/>
          <w:szCs w:val="24"/>
        </w:rPr>
        <w:t>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8E2138" w:rsidRDefault="008E2138"/>
    <w:p w:rsidR="00B6063F" w:rsidRDefault="00B6063F"/>
    <w:p w:rsidR="00B6063F" w:rsidRDefault="00B6063F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56A7D">
        <w:rPr>
          <w:rFonts w:ascii="Arial" w:hAnsi="Arial" w:cs="Arial"/>
          <w:sz w:val="24"/>
          <w:szCs w:val="24"/>
        </w:rPr>
        <w:t>Tisztelt Képviselő-testület!</w:t>
      </w:r>
    </w:p>
    <w:p w:rsidR="00B6063F" w:rsidRPr="00956A7D" w:rsidRDefault="00B6063F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00FF9" w:rsidRPr="00200FF9" w:rsidRDefault="00200FF9" w:rsidP="00E03EE5">
      <w:pPr>
        <w:tabs>
          <w:tab w:val="left" w:pos="195"/>
        </w:tabs>
        <w:spacing w:after="0" w:line="240" w:lineRule="auto"/>
        <w:jc w:val="both"/>
        <w:rPr>
          <w:rFonts w:ascii="Arial" w:hAnsi="Arial" w:cs="Arial"/>
        </w:rPr>
      </w:pPr>
      <w:r w:rsidRPr="00200FF9">
        <w:rPr>
          <w:rFonts w:ascii="Arial" w:hAnsi="Arial" w:cs="Arial"/>
        </w:rPr>
        <w:t>A közigazgatási hatósági eljárás és szolgáltatás általános szabályairól szóló 2004. évi CXL. törvény 94/A. §-a a közigazgatási bírság, helyszíni bírság</w:t>
      </w:r>
      <w:r>
        <w:rPr>
          <w:rFonts w:ascii="Arial" w:hAnsi="Arial" w:cs="Arial"/>
        </w:rPr>
        <w:t xml:space="preserve"> és az elkobzás alkalmazásának</w:t>
      </w:r>
      <w:r w:rsidRPr="00200FF9">
        <w:rPr>
          <w:rFonts w:ascii="Arial" w:hAnsi="Arial" w:cs="Arial"/>
        </w:rPr>
        <w:t xml:space="preserve"> eljárásjogi alapjaival foglalkozik. A 94/A. § (1</w:t>
      </w:r>
      <w:r>
        <w:rPr>
          <w:rFonts w:ascii="Arial" w:hAnsi="Arial" w:cs="Arial"/>
        </w:rPr>
        <w:t>a)</w:t>
      </w:r>
      <w:r w:rsidRPr="00200FF9">
        <w:rPr>
          <w:rFonts w:ascii="Arial" w:hAnsi="Arial" w:cs="Arial"/>
        </w:rPr>
        <w:t xml:space="preserve"> pont</w:t>
      </w:r>
      <w:r>
        <w:rPr>
          <w:rFonts w:ascii="Arial" w:hAnsi="Arial" w:cs="Arial"/>
        </w:rPr>
        <w:t>ja</w:t>
      </w:r>
      <w:r w:rsidRPr="00200FF9">
        <w:rPr>
          <w:rFonts w:ascii="Arial" w:hAnsi="Arial" w:cs="Arial"/>
        </w:rPr>
        <w:t xml:space="preserve"> szerint:</w:t>
      </w:r>
    </w:p>
    <w:p w:rsidR="00E03EE5" w:rsidRDefault="00200FF9" w:rsidP="00E03EE5">
      <w:pPr>
        <w:tabs>
          <w:tab w:val="left" w:pos="195"/>
        </w:tabs>
        <w:spacing w:after="0" w:line="240" w:lineRule="auto"/>
        <w:jc w:val="both"/>
      </w:pPr>
      <w:r w:rsidRPr="00200FF9">
        <w:rPr>
          <w:rFonts w:ascii="Arial" w:hAnsi="Arial" w:cs="Arial"/>
        </w:rPr>
        <w:t xml:space="preserve"> </w:t>
      </w:r>
    </w:p>
    <w:p w:rsidR="00200FF9" w:rsidRPr="00200FF9" w:rsidRDefault="00200FF9" w:rsidP="00E03EE5">
      <w:pPr>
        <w:tabs>
          <w:tab w:val="left" w:pos="195"/>
        </w:tabs>
        <w:spacing w:after="0" w:line="240" w:lineRule="auto"/>
        <w:jc w:val="both"/>
        <w:rPr>
          <w:rFonts w:ascii="Arial" w:hAnsi="Arial" w:cs="Arial"/>
        </w:rPr>
      </w:pPr>
      <w:r w:rsidRPr="00200FF9">
        <w:rPr>
          <w:rFonts w:ascii="Arial" w:hAnsi="Arial" w:cs="Arial"/>
        </w:rPr>
        <w:t>„A helyi önkormányzat képviselő testületének rendelete alapján megállapítható közigazgatási bírság felső határa- a jogsértő személyétől függően- természetes személyek esetén kétszázezer forint, jogi személyek és jogi személyiséggel nem rendelkező szervezetek esetén kétmillió forint lehet. A közigazgatási bírság felső határát az önkormányzati rendeletben a jogsértés jellegével arányban kell megállapítani.”</w:t>
      </w:r>
    </w:p>
    <w:p w:rsidR="00200FF9" w:rsidRPr="00200FF9" w:rsidRDefault="00200FF9" w:rsidP="00E03EE5">
      <w:pPr>
        <w:tabs>
          <w:tab w:val="left" w:pos="195"/>
        </w:tabs>
        <w:spacing w:after="0" w:line="240" w:lineRule="auto"/>
        <w:jc w:val="both"/>
        <w:rPr>
          <w:rFonts w:ascii="Arial" w:hAnsi="Arial" w:cs="Arial"/>
        </w:rPr>
      </w:pPr>
      <w:r w:rsidRPr="00200FF9">
        <w:rPr>
          <w:rFonts w:ascii="Arial" w:hAnsi="Arial" w:cs="Arial"/>
        </w:rPr>
        <w:t>(Beiktatta a 2013. évi CCXVIII. törvény 10. § (9) bekezdése, hatályos 2014. I. 1-től)</w:t>
      </w:r>
    </w:p>
    <w:p w:rsidR="00200FF9" w:rsidRPr="00200FF9" w:rsidRDefault="00200FF9" w:rsidP="00E03EE5">
      <w:pPr>
        <w:tabs>
          <w:tab w:val="left" w:pos="195"/>
        </w:tabs>
        <w:spacing w:after="0" w:line="240" w:lineRule="auto"/>
        <w:jc w:val="both"/>
        <w:rPr>
          <w:rFonts w:ascii="Arial" w:hAnsi="Arial" w:cs="Arial"/>
        </w:rPr>
      </w:pPr>
    </w:p>
    <w:p w:rsidR="00200FF9" w:rsidRPr="00200FF9" w:rsidRDefault="00E03EE5" w:rsidP="00E03EE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Képviselő-testületének a</w:t>
      </w:r>
      <w:r w:rsidR="00200FF9" w:rsidRPr="00200FF9">
        <w:rPr>
          <w:rFonts w:ascii="Arial" w:hAnsi="Arial" w:cs="Arial"/>
        </w:rPr>
        <w:t xml:space="preserve"> közösségi együttélés alapvető szabályairól, valamint ezek elmulasztása, megszegése jogkövetkezményeiről szóló 24/2013.</w:t>
      </w:r>
      <w:r>
        <w:rPr>
          <w:rFonts w:ascii="Arial" w:hAnsi="Arial" w:cs="Arial"/>
        </w:rPr>
        <w:t xml:space="preserve"> (VI.</w:t>
      </w:r>
      <w:r w:rsidR="00200FF9" w:rsidRPr="00200FF9">
        <w:rPr>
          <w:rFonts w:ascii="Arial" w:hAnsi="Arial" w:cs="Arial"/>
        </w:rPr>
        <w:t>26.) önkormányzati rendelet 2. § (2) bekezdés</w:t>
      </w:r>
      <w:r>
        <w:rPr>
          <w:rFonts w:ascii="Arial" w:hAnsi="Arial" w:cs="Arial"/>
        </w:rPr>
        <w:t>ének hatályos rendelkezése</w:t>
      </w:r>
      <w:r w:rsidR="00200FF9" w:rsidRPr="00200FF9">
        <w:rPr>
          <w:rFonts w:ascii="Arial" w:hAnsi="Arial" w:cs="Arial"/>
        </w:rPr>
        <w:t xml:space="preserve"> alapján:</w:t>
      </w:r>
    </w:p>
    <w:p w:rsidR="00200FF9" w:rsidRPr="00200FF9" w:rsidRDefault="00200FF9" w:rsidP="00E03EE5">
      <w:pPr>
        <w:spacing w:after="0" w:line="240" w:lineRule="auto"/>
        <w:jc w:val="both"/>
        <w:rPr>
          <w:rFonts w:ascii="Arial" w:hAnsi="Arial" w:cs="Arial"/>
        </w:rPr>
      </w:pPr>
    </w:p>
    <w:p w:rsidR="00200FF9" w:rsidRDefault="00200FF9" w:rsidP="00E03EE5">
      <w:pPr>
        <w:spacing w:after="0" w:line="240" w:lineRule="auto"/>
        <w:jc w:val="both"/>
        <w:rPr>
          <w:rFonts w:ascii="Arial" w:hAnsi="Arial" w:cs="Arial"/>
        </w:rPr>
      </w:pPr>
      <w:r w:rsidRPr="00200FF9">
        <w:rPr>
          <w:rFonts w:ascii="Arial" w:hAnsi="Arial" w:cs="Arial"/>
        </w:rPr>
        <w:t xml:space="preserve">„A közösségi együttélés alapvető szabályairól, valamint ezek elmulasztása, megszegése miatti eljárásban a jogsértő- az eljárási képességgel nem rendelkező természetes személy kivételével-helyszíni bírság vagy közigazgatási bírsággal sújtható, és vele szemben elkobzás foganatosítható. A helyszíni bírság mértéke ötvenezer forintig, míg a közigazgatási bírság mértéke százötvenezer forintig terjedhet.” </w:t>
      </w:r>
      <w:r w:rsidR="00E03EE5">
        <w:rPr>
          <w:rFonts w:ascii="Arial" w:hAnsi="Arial" w:cs="Arial"/>
        </w:rPr>
        <w:t xml:space="preserve"> </w:t>
      </w:r>
    </w:p>
    <w:p w:rsidR="00E03EE5" w:rsidRPr="00200FF9" w:rsidRDefault="00E03EE5" w:rsidP="00E03EE5">
      <w:pPr>
        <w:spacing w:after="0" w:line="240" w:lineRule="auto"/>
        <w:jc w:val="both"/>
        <w:rPr>
          <w:rFonts w:ascii="Arial" w:hAnsi="Arial" w:cs="Arial"/>
        </w:rPr>
      </w:pPr>
    </w:p>
    <w:p w:rsidR="00E03EE5" w:rsidRPr="00200FF9" w:rsidRDefault="00E03EE5" w:rsidP="00E03EE5">
      <w:pPr>
        <w:spacing w:after="0" w:line="240" w:lineRule="auto"/>
        <w:jc w:val="both"/>
        <w:rPr>
          <w:rFonts w:ascii="Arial" w:hAnsi="Arial" w:cs="Arial"/>
        </w:rPr>
      </w:pPr>
      <w:r w:rsidRPr="00E03EE5">
        <w:rPr>
          <w:rFonts w:ascii="Arial" w:hAnsi="Arial" w:cs="Arial"/>
          <w:iCs/>
        </w:rPr>
        <w:t xml:space="preserve">A jogbiztonság, </w:t>
      </w:r>
      <w:r>
        <w:rPr>
          <w:rFonts w:ascii="Arial" w:hAnsi="Arial" w:cs="Arial"/>
          <w:iCs/>
        </w:rPr>
        <w:t>valamint</w:t>
      </w:r>
      <w:r w:rsidRPr="00E03EE5">
        <w:rPr>
          <w:rFonts w:ascii="Arial" w:hAnsi="Arial" w:cs="Arial"/>
          <w:iCs/>
        </w:rPr>
        <w:t xml:space="preserve"> a megbírságolt személyek jogainak védelme érdekében szükséges a helyi önkormányzatok számára megállapítani a rendeletük alapján kiszabható közigazgatási bírságok lehetséges felső határát. Természetesen a Ket.-ben megállapított maximum nem jelenti, hogy az önkormányzati rendelet, illetve hatóság teljesen tetszőlegesen határozhatná meg a bírságot. </w:t>
      </w:r>
      <w:r>
        <w:rPr>
          <w:rFonts w:ascii="Arial" w:hAnsi="Arial" w:cs="Arial"/>
          <w:iCs/>
        </w:rPr>
        <w:t>F</w:t>
      </w:r>
      <w:r w:rsidRPr="00E03EE5">
        <w:rPr>
          <w:rFonts w:ascii="Arial" w:hAnsi="Arial" w:cs="Arial"/>
          <w:iCs/>
        </w:rPr>
        <w:t xml:space="preserve">ontos tényező az arányosság elve, amire figyelemmel kell lenni. </w:t>
      </w:r>
    </w:p>
    <w:p w:rsidR="00200FF9" w:rsidRPr="00200FF9" w:rsidRDefault="00200FF9" w:rsidP="00E03EE5">
      <w:pPr>
        <w:spacing w:after="0" w:line="240" w:lineRule="auto"/>
        <w:jc w:val="both"/>
        <w:rPr>
          <w:rFonts w:ascii="Arial" w:hAnsi="Arial" w:cs="Arial"/>
        </w:rPr>
      </w:pPr>
      <w:r w:rsidRPr="00200FF9">
        <w:rPr>
          <w:rFonts w:ascii="Arial" w:hAnsi="Arial" w:cs="Arial"/>
        </w:rPr>
        <w:t>A törvényi rendelkezésnek megfelelően a közigazgatási bírság összegét százötvenezer forintról kétszázezer forintra kell módosítani az önkormányzati rendeletben.</w:t>
      </w:r>
    </w:p>
    <w:p w:rsidR="00200FF9" w:rsidRPr="00200FF9" w:rsidRDefault="00200FF9" w:rsidP="00E03EE5">
      <w:pPr>
        <w:spacing w:after="0" w:line="240" w:lineRule="auto"/>
        <w:jc w:val="both"/>
        <w:rPr>
          <w:rFonts w:ascii="Arial" w:hAnsi="Arial" w:cs="Arial"/>
        </w:rPr>
      </w:pPr>
    </w:p>
    <w:p w:rsidR="00200FF9" w:rsidRPr="00200FF9" w:rsidRDefault="00200FF9" w:rsidP="00E03EE5">
      <w:pPr>
        <w:spacing w:after="0" w:line="240" w:lineRule="auto"/>
        <w:jc w:val="both"/>
        <w:rPr>
          <w:rFonts w:ascii="Arial" w:hAnsi="Arial" w:cs="Arial"/>
        </w:rPr>
      </w:pPr>
      <w:r w:rsidRPr="00200FF9">
        <w:rPr>
          <w:rFonts w:ascii="Arial" w:hAnsi="Arial" w:cs="Arial"/>
        </w:rPr>
        <w:t>A fenti rendelet 2. § (7) bekezdésében szereplő Hévíz Város Önkormányzat 11749039-15432429 számú költségvetési elszámolási számlaszám</w:t>
      </w:r>
      <w:r w:rsidR="00E03EE5">
        <w:rPr>
          <w:rFonts w:ascii="Arial" w:hAnsi="Arial" w:cs="Arial"/>
        </w:rPr>
        <w:t>a szintén</w:t>
      </w:r>
      <w:r w:rsidRPr="00200FF9">
        <w:rPr>
          <w:rFonts w:ascii="Arial" w:hAnsi="Arial" w:cs="Arial"/>
        </w:rPr>
        <w:t xml:space="preserve"> megváltozott</w:t>
      </w:r>
      <w:r w:rsidR="00E03EE5">
        <w:rPr>
          <w:rFonts w:ascii="Arial" w:hAnsi="Arial" w:cs="Arial"/>
        </w:rPr>
        <w:t>,</w:t>
      </w:r>
      <w:r w:rsidRPr="00200FF9">
        <w:rPr>
          <w:rFonts w:ascii="Arial" w:hAnsi="Arial" w:cs="Arial"/>
        </w:rPr>
        <w:t xml:space="preserve"> és a következő számlákra tagozódott:</w:t>
      </w:r>
    </w:p>
    <w:p w:rsidR="00200FF9" w:rsidRPr="00E03EE5" w:rsidRDefault="00200FF9" w:rsidP="00E03EE5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E03EE5">
        <w:rPr>
          <w:rFonts w:ascii="Arial" w:hAnsi="Arial" w:cs="Arial"/>
        </w:rPr>
        <w:t>A 11749039-15432429-10190009 számú közterület-felügyelet bírság számla</w:t>
      </w:r>
      <w:r w:rsidR="00E03EE5" w:rsidRPr="00E03EE5">
        <w:rPr>
          <w:rFonts w:ascii="Arial" w:hAnsi="Arial" w:cs="Arial"/>
        </w:rPr>
        <w:t>, amely</w:t>
      </w:r>
      <w:r w:rsidRPr="00E03EE5">
        <w:rPr>
          <w:rFonts w:ascii="Arial" w:hAnsi="Arial" w:cs="Arial"/>
        </w:rPr>
        <w:t xml:space="preserve"> az önkormányzati rendelet alapján kiszabott bírságokat kezeli.</w:t>
      </w:r>
    </w:p>
    <w:p w:rsidR="00200FF9" w:rsidRPr="00E03EE5" w:rsidRDefault="00200FF9" w:rsidP="00E03EE5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E03EE5">
        <w:rPr>
          <w:rFonts w:ascii="Arial" w:hAnsi="Arial" w:cs="Arial"/>
        </w:rPr>
        <w:t>A 11749039-15432429-1020005 számú közterület-felügyelet szabálysértési bírság számla</w:t>
      </w:r>
      <w:r w:rsidR="00E03EE5">
        <w:rPr>
          <w:rFonts w:ascii="Arial" w:hAnsi="Arial" w:cs="Arial"/>
        </w:rPr>
        <w:t>, amely</w:t>
      </w:r>
      <w:r w:rsidRPr="00E03EE5">
        <w:rPr>
          <w:rFonts w:ascii="Arial" w:hAnsi="Arial" w:cs="Arial"/>
        </w:rPr>
        <w:t xml:space="preserve"> a szabálysértésekről szóló 2012. évi II. törvény alapján kiszabott bírságokat kezeli. </w:t>
      </w:r>
    </w:p>
    <w:p w:rsidR="00F42D2F" w:rsidRDefault="00F42D2F" w:rsidP="00F42D2F">
      <w:pPr>
        <w:spacing w:afterLines="80" w:after="192" w:line="240" w:lineRule="auto"/>
        <w:jc w:val="both"/>
        <w:rPr>
          <w:rFonts w:ascii="Arial" w:hAnsi="Arial" w:cs="Arial"/>
          <w:sz w:val="24"/>
          <w:szCs w:val="24"/>
        </w:rPr>
      </w:pPr>
    </w:p>
    <w:p w:rsidR="00F42D2F" w:rsidRPr="00F42D2F" w:rsidRDefault="00F42D2F" w:rsidP="00F42D2F">
      <w:pPr>
        <w:spacing w:afterLines="80" w:after="192" w:line="240" w:lineRule="auto"/>
        <w:jc w:val="both"/>
        <w:rPr>
          <w:rFonts w:ascii="Arial" w:hAnsi="Arial" w:cs="Arial"/>
        </w:rPr>
      </w:pPr>
      <w:r w:rsidRPr="00F42D2F">
        <w:rPr>
          <w:rFonts w:ascii="Arial" w:hAnsi="Arial" w:cs="Arial"/>
        </w:rPr>
        <w:t>Az önkormányzati rendelet-tervezet módosításának, indokolása:</w:t>
      </w:r>
    </w:p>
    <w:p w:rsidR="00D032B6" w:rsidRDefault="00F42D2F" w:rsidP="00F42D2F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§.  A közigazgatási bírság mértékhatárát meghatározó rendelkezés.</w:t>
      </w:r>
    </w:p>
    <w:p w:rsidR="00F42D2F" w:rsidRDefault="00F42D2F" w:rsidP="00F42D2F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§. </w:t>
      </w:r>
      <w:r w:rsidR="00F913B6">
        <w:rPr>
          <w:rFonts w:ascii="Arial" w:eastAsiaTheme="minorHAnsi" w:hAnsi="Arial" w:cs="Arial"/>
        </w:rPr>
        <w:t xml:space="preserve"> A közigazgatási bírság befizetésének számlaszámát megnevező szakasz.</w:t>
      </w:r>
    </w:p>
    <w:p w:rsidR="00F913B6" w:rsidRPr="00F42D2F" w:rsidRDefault="00F913B6" w:rsidP="00F42D2F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§. A rendelet hatálybeléptetése.</w:t>
      </w:r>
    </w:p>
    <w:p w:rsidR="00F913B6" w:rsidRDefault="00F913B6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</w:p>
    <w:p w:rsidR="00F913B6" w:rsidRDefault="00F913B6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</w:p>
    <w:p w:rsidR="00F913B6" w:rsidRDefault="00F913B6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</w:p>
    <w:p w:rsidR="00F913B6" w:rsidRDefault="00F913B6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</w:p>
    <w:p w:rsidR="00F913B6" w:rsidRDefault="00F913B6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</w:p>
    <w:p w:rsidR="00D032B6" w:rsidRPr="00200FF9" w:rsidRDefault="00D032B6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200FF9">
        <w:rPr>
          <w:rFonts w:ascii="Arial" w:eastAsiaTheme="minorHAnsi" w:hAnsi="Arial" w:cs="Arial"/>
        </w:rPr>
        <w:t>Tisztelt Képviselő-testület!</w:t>
      </w:r>
    </w:p>
    <w:p w:rsidR="00D032B6" w:rsidRPr="00200FF9" w:rsidRDefault="00D032B6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</w:p>
    <w:p w:rsidR="00200FF9" w:rsidRPr="00200FF9" w:rsidRDefault="00200FF9" w:rsidP="00200FF9">
      <w:pPr>
        <w:spacing w:after="0" w:line="240" w:lineRule="auto"/>
        <w:jc w:val="both"/>
        <w:rPr>
          <w:rFonts w:ascii="Arial" w:hAnsi="Arial" w:cs="Arial"/>
        </w:rPr>
      </w:pPr>
      <w:r w:rsidRPr="00200FF9">
        <w:rPr>
          <w:rFonts w:ascii="Arial" w:hAnsi="Arial" w:cs="Arial"/>
        </w:rPr>
        <w:lastRenderedPageBreak/>
        <w:t xml:space="preserve">Az előterjesztés alapján kérem a rendelet-tervezetet megvitatni és elfogadni szíveskedjenek! </w:t>
      </w:r>
    </w:p>
    <w:p w:rsidR="00200FF9" w:rsidRPr="00200FF9" w:rsidRDefault="00200FF9" w:rsidP="00200FF9">
      <w:pPr>
        <w:spacing w:after="0" w:line="240" w:lineRule="auto"/>
        <w:jc w:val="both"/>
        <w:rPr>
          <w:rFonts w:ascii="Arial" w:hAnsi="Arial" w:cs="Arial"/>
        </w:rPr>
      </w:pPr>
    </w:p>
    <w:p w:rsidR="00200FF9" w:rsidRPr="00200FF9" w:rsidRDefault="00200FF9" w:rsidP="00200FF9">
      <w:pPr>
        <w:spacing w:after="0" w:line="240" w:lineRule="auto"/>
        <w:jc w:val="both"/>
        <w:rPr>
          <w:rFonts w:ascii="Arial" w:hAnsi="Arial" w:cs="Arial"/>
        </w:rPr>
      </w:pPr>
      <w:r w:rsidRPr="00200FF9">
        <w:rPr>
          <w:rFonts w:ascii="Arial" w:hAnsi="Arial" w:cs="Arial"/>
        </w:rPr>
        <w:t>A rendelet-tervezet elfogadása minősített többséget igényel.</w:t>
      </w:r>
    </w:p>
    <w:p w:rsidR="00D032B6" w:rsidRPr="00200FF9" w:rsidRDefault="00D032B6" w:rsidP="00D032B6">
      <w:pPr>
        <w:spacing w:after="0" w:line="240" w:lineRule="auto"/>
        <w:jc w:val="both"/>
        <w:rPr>
          <w:rFonts w:ascii="Arial" w:hAnsi="Arial" w:cs="Arial"/>
        </w:rPr>
      </w:pPr>
    </w:p>
    <w:p w:rsidR="00D032B6" w:rsidRPr="00200FF9" w:rsidRDefault="00D032B6" w:rsidP="00D032B6">
      <w:pPr>
        <w:spacing w:after="0" w:line="240" w:lineRule="auto"/>
        <w:jc w:val="both"/>
        <w:rPr>
          <w:rFonts w:ascii="Arial" w:hAnsi="Arial" w:cs="Arial"/>
          <w:b/>
        </w:rPr>
      </w:pPr>
      <w:r w:rsidRPr="00200FF9">
        <w:rPr>
          <w:rFonts w:ascii="Arial" w:hAnsi="Arial" w:cs="Arial"/>
        </w:rPr>
        <w:t xml:space="preserve">Hévíz, 2014. </w:t>
      </w:r>
      <w:r w:rsidR="00200FF9">
        <w:rPr>
          <w:rFonts w:ascii="Arial" w:hAnsi="Arial" w:cs="Arial"/>
        </w:rPr>
        <w:t>június 13</w:t>
      </w:r>
      <w:r w:rsidRPr="00200FF9">
        <w:rPr>
          <w:rFonts w:ascii="Arial" w:hAnsi="Arial" w:cs="Arial"/>
        </w:rPr>
        <w:t>.</w:t>
      </w:r>
    </w:p>
    <w:p w:rsidR="00D032B6" w:rsidRPr="00200FF9" w:rsidRDefault="00D032B6" w:rsidP="00D032B6">
      <w:pPr>
        <w:spacing w:after="0" w:line="240" w:lineRule="auto"/>
        <w:jc w:val="center"/>
        <w:rPr>
          <w:rFonts w:ascii="Arial" w:hAnsi="Arial" w:cs="Arial"/>
          <w:b/>
        </w:rPr>
        <w:sectPr w:rsidR="00D032B6" w:rsidRPr="00200FF9" w:rsidSect="009E5702">
          <w:pgSz w:w="11906" w:h="16838" w:code="9"/>
          <w:pgMar w:top="567" w:right="1531" w:bottom="360" w:left="1531" w:header="567" w:footer="567" w:gutter="0"/>
          <w:cols w:space="708"/>
          <w:titlePg/>
          <w:docGrid w:linePitch="360"/>
        </w:sect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00FF9" w:rsidRPr="00200FF9" w:rsidRDefault="00200FF9" w:rsidP="00200FF9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200FF9">
        <w:rPr>
          <w:rFonts w:ascii="Arial" w:eastAsia="Calibri" w:hAnsi="Arial" w:cs="Arial"/>
          <w:b/>
        </w:rPr>
        <w:t>Hévíz Város Önkormányzat Képviselő-testületének</w:t>
      </w:r>
    </w:p>
    <w:p w:rsidR="00200FF9" w:rsidRPr="00200FF9" w:rsidRDefault="00200FF9" w:rsidP="00200FF9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200FF9">
        <w:rPr>
          <w:rFonts w:ascii="Arial" w:eastAsia="Calibri" w:hAnsi="Arial" w:cs="Arial"/>
          <w:b/>
        </w:rPr>
        <w:t>…/…  .. . ..) önkormányzati rendelet tervezet</w:t>
      </w:r>
      <w:r w:rsidR="00FF146C">
        <w:rPr>
          <w:rFonts w:ascii="Arial" w:eastAsia="Calibri" w:hAnsi="Arial" w:cs="Arial"/>
          <w:b/>
        </w:rPr>
        <w:t>e</w:t>
      </w:r>
    </w:p>
    <w:p w:rsidR="00E03EE5" w:rsidRPr="00E03EE5" w:rsidRDefault="00E03EE5" w:rsidP="00200FF9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E03EE5">
        <w:rPr>
          <w:rFonts w:ascii="Arial" w:hAnsi="Arial" w:cs="Arial"/>
          <w:b/>
        </w:rPr>
        <w:t>A közösségi együttélés alapvető szabályairól, valamint ezek elmulasztása, megszegése jogkövetkezményeiről szóló 24/2013. (VI.26.) önkormányzati rendelet módosításáról</w:t>
      </w:r>
    </w:p>
    <w:p w:rsidR="00200FF9" w:rsidRPr="00200FF9" w:rsidRDefault="00200FF9" w:rsidP="00200FF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200FF9" w:rsidRPr="00200FF9" w:rsidRDefault="00200FF9" w:rsidP="00200FF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200FF9" w:rsidRPr="00F42D2F" w:rsidRDefault="00200FF9" w:rsidP="00200FF9">
      <w:pPr>
        <w:spacing w:after="0" w:line="240" w:lineRule="auto"/>
        <w:jc w:val="both"/>
        <w:outlineLvl w:val="0"/>
        <w:rPr>
          <w:rFonts w:ascii="Arial" w:hAnsi="Arial" w:cs="Arial"/>
          <w:kern w:val="36"/>
          <w:lang w:eastAsia="hu-HU"/>
        </w:rPr>
      </w:pPr>
      <w:r w:rsidRPr="00200FF9">
        <w:rPr>
          <w:rFonts w:ascii="Arial" w:hAnsi="Arial" w:cs="Arial"/>
          <w:kern w:val="36"/>
          <w:lang w:eastAsia="hu-HU"/>
        </w:rPr>
        <w:t xml:space="preserve">Hévíz Város Önkormányzat Képviselő-testülete </w:t>
      </w:r>
      <w:r w:rsidR="00E03EE5">
        <w:rPr>
          <w:rFonts w:ascii="Arial" w:hAnsi="Arial" w:cs="Arial"/>
        </w:rPr>
        <w:t>a</w:t>
      </w:r>
      <w:r w:rsidR="00E03EE5" w:rsidRPr="00200FF9">
        <w:rPr>
          <w:rFonts w:ascii="Arial" w:hAnsi="Arial" w:cs="Arial"/>
        </w:rPr>
        <w:t xml:space="preserve"> közigazgatási hatósági eljárás és szolgáltatás általános szabályairól szóló</w:t>
      </w:r>
      <w:r w:rsidR="00E03EE5">
        <w:rPr>
          <w:rFonts w:ascii="Arial" w:hAnsi="Arial" w:cs="Arial"/>
        </w:rPr>
        <w:t xml:space="preserve"> 2004. évi CXL. törvény 94/A. § (1a) </w:t>
      </w:r>
      <w:r w:rsidR="00F42D2F" w:rsidRPr="00F42D2F">
        <w:rPr>
          <w:rFonts w:ascii="Arial" w:hAnsi="Arial" w:cs="Arial"/>
          <w:bCs/>
        </w:rPr>
        <w:t xml:space="preserve">kapott felhatalmazás alapján, </w:t>
      </w:r>
      <w:r w:rsidR="00F42D2F" w:rsidRPr="00F42D2F">
        <w:rPr>
          <w:rFonts w:ascii="Arial" w:hAnsi="Arial" w:cs="Arial"/>
        </w:rPr>
        <w:t>az Alaptörvény 32. cikk (2) bekezdésében meghatározott feladatkörében eljárva, a következőket rendeli el</w:t>
      </w:r>
      <w:r w:rsidRPr="00F42D2F">
        <w:rPr>
          <w:rFonts w:ascii="Arial" w:hAnsi="Arial" w:cs="Arial"/>
          <w:kern w:val="36"/>
          <w:lang w:eastAsia="hu-HU"/>
        </w:rPr>
        <w:t>:</w:t>
      </w:r>
    </w:p>
    <w:p w:rsidR="00200FF9" w:rsidRPr="00200FF9" w:rsidRDefault="00200FF9" w:rsidP="00200FF9">
      <w:pPr>
        <w:spacing w:after="0" w:line="240" w:lineRule="auto"/>
        <w:jc w:val="both"/>
        <w:outlineLvl w:val="0"/>
        <w:rPr>
          <w:rFonts w:ascii="Arial" w:hAnsi="Arial" w:cs="Arial"/>
          <w:color w:val="FF0000"/>
          <w:kern w:val="36"/>
          <w:lang w:eastAsia="hu-HU"/>
        </w:rPr>
      </w:pPr>
    </w:p>
    <w:p w:rsidR="00200FF9" w:rsidRDefault="00200FF9" w:rsidP="00200FF9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</w:rPr>
      </w:pPr>
      <w:r w:rsidRPr="00200FF9">
        <w:rPr>
          <w:rFonts w:ascii="Arial" w:eastAsia="Calibri" w:hAnsi="Arial" w:cs="Arial"/>
          <w:b/>
        </w:rPr>
        <w:t>1. §</w:t>
      </w:r>
      <w:r w:rsidRPr="00200FF9">
        <w:rPr>
          <w:rFonts w:ascii="Arial" w:eastAsia="Calibri" w:hAnsi="Arial" w:cs="Arial"/>
        </w:rPr>
        <w:t xml:space="preserve"> </w:t>
      </w:r>
      <w:r w:rsidR="00FF146C" w:rsidRPr="00FF146C">
        <w:rPr>
          <w:rFonts w:ascii="Arial" w:hAnsi="Arial" w:cs="Arial"/>
        </w:rPr>
        <w:t>A közösségi együttélés alapvető szabályairól, valamint ezek elmulasztása, megszegése jogkövetkezményeiről szóló 24/2013. (VI.26.) önkormányzati rendelet</w:t>
      </w:r>
      <w:r w:rsidR="00FF146C">
        <w:rPr>
          <w:rFonts w:ascii="Arial" w:eastAsia="Calibri" w:hAnsi="Arial" w:cs="Arial"/>
        </w:rPr>
        <w:t xml:space="preserve"> 2. § (2) bekezdése</w:t>
      </w:r>
      <w:r w:rsidRPr="00200FF9">
        <w:rPr>
          <w:rFonts w:ascii="Arial" w:eastAsia="Calibri" w:hAnsi="Arial" w:cs="Arial"/>
        </w:rPr>
        <w:t xml:space="preserve"> </w:t>
      </w:r>
      <w:r w:rsidR="00E24B9A">
        <w:rPr>
          <w:rFonts w:ascii="Arial" w:eastAsia="Calibri" w:hAnsi="Arial" w:cs="Arial"/>
        </w:rPr>
        <w:t>helyébe a következő rendelkezés lép:</w:t>
      </w:r>
    </w:p>
    <w:p w:rsidR="00FF146C" w:rsidRPr="00200FF9" w:rsidRDefault="00FF146C" w:rsidP="00200FF9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„</w:t>
      </w:r>
      <w:r w:rsidRPr="00FF146C">
        <w:rPr>
          <w:rFonts w:ascii="Arial" w:hAnsi="Arial" w:cs="Arial"/>
        </w:rPr>
        <w:t xml:space="preserve">2. § (2) A közösségi együttélés alapvető szabályairól, valamint ezek elmulasztása, megszegése miatti eljárásban a jogsértő- az eljárási képességgel nem rendelkező természetes személy kivételével-helyszíni bírság vagy közigazgatási bírsággal sújtható, és vele szemben elkobzás foganatosítható. A helyszíni bírság mértéke ötvenezer forintig, míg a közigazgatási bírság mértéke </w:t>
      </w:r>
      <w:r w:rsidRPr="00371CC9">
        <w:rPr>
          <w:rFonts w:ascii="Arial" w:hAnsi="Arial" w:cs="Arial"/>
        </w:rPr>
        <w:t>kétszázezer</w:t>
      </w:r>
      <w:r w:rsidRPr="00FF146C">
        <w:rPr>
          <w:rFonts w:ascii="Arial" w:hAnsi="Arial" w:cs="Arial"/>
          <w:b/>
        </w:rPr>
        <w:t xml:space="preserve"> </w:t>
      </w:r>
      <w:r w:rsidRPr="00FF146C">
        <w:rPr>
          <w:rFonts w:ascii="Arial" w:hAnsi="Arial" w:cs="Arial"/>
        </w:rPr>
        <w:t>forintig terjedhet.</w:t>
      </w:r>
      <w:r>
        <w:rPr>
          <w:rFonts w:ascii="Arial" w:hAnsi="Arial" w:cs="Arial"/>
        </w:rPr>
        <w:t>”</w:t>
      </w:r>
    </w:p>
    <w:p w:rsidR="00FF146C" w:rsidRDefault="00FF146C" w:rsidP="00FF146C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2</w:t>
      </w:r>
      <w:r w:rsidRPr="00200FF9">
        <w:rPr>
          <w:rFonts w:ascii="Arial" w:eastAsia="Calibri" w:hAnsi="Arial" w:cs="Arial"/>
          <w:b/>
        </w:rPr>
        <w:t>. §</w:t>
      </w:r>
      <w:r w:rsidRPr="00200FF9">
        <w:rPr>
          <w:rFonts w:ascii="Arial" w:eastAsia="Calibri" w:hAnsi="Arial" w:cs="Arial"/>
        </w:rPr>
        <w:t xml:space="preserve"> </w:t>
      </w:r>
      <w:r w:rsidRPr="00FF146C">
        <w:rPr>
          <w:rFonts w:ascii="Arial" w:hAnsi="Arial" w:cs="Arial"/>
        </w:rPr>
        <w:t>A közösségi együttélés alapvető szabályairól, valamint ezek elmulasztása, megszegése jogkövetkezményeiről szóló 24/2013. (VI.26.) önkormányzati rendelet</w:t>
      </w:r>
      <w:r>
        <w:rPr>
          <w:rFonts w:ascii="Arial" w:eastAsia="Calibri" w:hAnsi="Arial" w:cs="Arial"/>
        </w:rPr>
        <w:t xml:space="preserve"> 2. § (7) bekezdése</w:t>
      </w:r>
      <w:r w:rsidRPr="00200FF9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 </w:t>
      </w:r>
      <w:r w:rsidR="00E24B9A">
        <w:rPr>
          <w:rFonts w:ascii="Arial" w:eastAsia="Calibri" w:hAnsi="Arial" w:cs="Arial"/>
        </w:rPr>
        <w:t>helyébe a következő rendelkezés lép</w:t>
      </w:r>
      <w:r>
        <w:rPr>
          <w:rFonts w:ascii="Arial" w:eastAsia="Calibri" w:hAnsi="Arial" w:cs="Arial"/>
        </w:rPr>
        <w:t>:</w:t>
      </w:r>
    </w:p>
    <w:p w:rsidR="00FF146C" w:rsidRPr="00FF146C" w:rsidRDefault="00FF146C" w:rsidP="00200FF9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b/>
        </w:rPr>
      </w:pPr>
      <w:r w:rsidRPr="00FF146C">
        <w:rPr>
          <w:rFonts w:ascii="Arial" w:hAnsi="Arial" w:cs="Arial"/>
        </w:rPr>
        <w:t>„2. § (7) A közösségi együttélés alapvető szabályainak elmulasztása, megszegése miatt kiszabott közigazgatási bírságot készpénz-átutalási megbízással, vagy Hévíz Város Önkormányzat 11749039-15432429-</w:t>
      </w:r>
      <w:r w:rsidRPr="00371CC9">
        <w:rPr>
          <w:rFonts w:ascii="Arial" w:hAnsi="Arial" w:cs="Arial"/>
        </w:rPr>
        <w:t xml:space="preserve">10190009 </w:t>
      </w:r>
      <w:r w:rsidRPr="00FF146C">
        <w:rPr>
          <w:rFonts w:ascii="Arial" w:hAnsi="Arial" w:cs="Arial"/>
        </w:rPr>
        <w:t>számú költségvetési elszámolási számlájára átutalással kell megfizetni a határozat jogerőre emelkedésétől számított 30 napon belül.”</w:t>
      </w:r>
    </w:p>
    <w:p w:rsidR="00200FF9" w:rsidRPr="00200FF9" w:rsidRDefault="00FF146C" w:rsidP="00200FF9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3</w:t>
      </w:r>
      <w:r w:rsidR="00200FF9" w:rsidRPr="00200FF9">
        <w:rPr>
          <w:rFonts w:ascii="Arial" w:eastAsia="Calibri" w:hAnsi="Arial" w:cs="Arial"/>
          <w:b/>
        </w:rPr>
        <w:t>. §</w:t>
      </w:r>
      <w:r w:rsidR="00E24B9A">
        <w:rPr>
          <w:rFonts w:ascii="Arial" w:eastAsia="Calibri" w:hAnsi="Arial" w:cs="Arial"/>
        </w:rPr>
        <w:t xml:space="preserve"> A rendelet a kihirdetését követő napon</w:t>
      </w:r>
      <w:r w:rsidR="00200FF9" w:rsidRPr="00200FF9">
        <w:rPr>
          <w:rFonts w:ascii="Arial" w:eastAsia="Calibri" w:hAnsi="Arial" w:cs="Arial"/>
        </w:rPr>
        <w:t xml:space="preserve"> lép hatályba</w:t>
      </w:r>
      <w:r w:rsidR="00E24B9A">
        <w:rPr>
          <w:rFonts w:ascii="Arial" w:eastAsia="Calibri" w:hAnsi="Arial" w:cs="Arial"/>
        </w:rPr>
        <w:t>,</w:t>
      </w:r>
      <w:r w:rsidR="00200FF9" w:rsidRPr="00200FF9">
        <w:rPr>
          <w:rFonts w:ascii="Arial" w:eastAsia="Calibri" w:hAnsi="Arial" w:cs="Arial"/>
        </w:rPr>
        <w:t xml:space="preserve"> és a hatályba lépését követő napon hatályát veszti.</w:t>
      </w:r>
    </w:p>
    <w:p w:rsidR="00200FF9" w:rsidRPr="00200FF9" w:rsidRDefault="00200FF9" w:rsidP="00200FF9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b/>
          <w:i/>
        </w:rPr>
      </w:pPr>
      <w:r w:rsidRPr="00200FF9">
        <w:rPr>
          <w:rFonts w:ascii="Arial" w:eastAsia="Calibri" w:hAnsi="Arial" w:cs="Arial"/>
          <w:b/>
          <w:i/>
        </w:rPr>
        <w:t xml:space="preserve"> </w:t>
      </w:r>
      <w:r w:rsidRPr="00200FF9">
        <w:rPr>
          <w:rFonts w:ascii="Arial" w:eastAsia="Calibri" w:hAnsi="Arial" w:cs="Arial"/>
        </w:rPr>
        <w:t xml:space="preserve">Hévíz, 2014. </w:t>
      </w:r>
      <w:r w:rsidR="00E24B9A">
        <w:rPr>
          <w:rFonts w:ascii="Arial" w:eastAsia="Calibri" w:hAnsi="Arial" w:cs="Arial"/>
        </w:rPr>
        <w:t>június 24</w:t>
      </w:r>
      <w:r w:rsidRPr="00200FF9">
        <w:rPr>
          <w:rFonts w:ascii="Arial" w:eastAsia="Calibri" w:hAnsi="Arial" w:cs="Arial"/>
        </w:rPr>
        <w:t>.</w:t>
      </w:r>
    </w:p>
    <w:p w:rsidR="00200FF9" w:rsidRPr="00200FF9" w:rsidRDefault="00200FF9" w:rsidP="00200FF9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</w:rPr>
      </w:pPr>
    </w:p>
    <w:p w:rsidR="00200FF9" w:rsidRPr="00200FF9" w:rsidRDefault="00200FF9" w:rsidP="00200FF9">
      <w:pPr>
        <w:spacing w:after="0"/>
        <w:ind w:left="709" w:firstLine="709"/>
        <w:jc w:val="both"/>
        <w:rPr>
          <w:rFonts w:ascii="Arial" w:eastAsia="Calibri" w:hAnsi="Arial" w:cs="Arial"/>
        </w:rPr>
      </w:pPr>
      <w:r w:rsidRPr="00200FF9">
        <w:rPr>
          <w:rFonts w:ascii="Arial" w:eastAsia="Calibri" w:hAnsi="Arial" w:cs="Arial"/>
        </w:rPr>
        <w:t>dr. Tüske Róbert</w:t>
      </w:r>
      <w:r w:rsidRPr="00200FF9">
        <w:rPr>
          <w:rFonts w:ascii="Arial" w:eastAsia="Calibri" w:hAnsi="Arial" w:cs="Arial"/>
        </w:rPr>
        <w:tab/>
      </w:r>
      <w:r w:rsidRPr="00200FF9">
        <w:rPr>
          <w:rFonts w:ascii="Arial" w:eastAsia="Calibri" w:hAnsi="Arial" w:cs="Arial"/>
        </w:rPr>
        <w:tab/>
      </w:r>
      <w:r w:rsidRPr="00200FF9">
        <w:rPr>
          <w:rFonts w:ascii="Arial" w:eastAsia="Calibri" w:hAnsi="Arial" w:cs="Arial"/>
        </w:rPr>
        <w:tab/>
      </w:r>
      <w:r w:rsidRPr="00200FF9">
        <w:rPr>
          <w:rFonts w:ascii="Arial" w:eastAsia="Calibri" w:hAnsi="Arial" w:cs="Arial"/>
        </w:rPr>
        <w:tab/>
      </w:r>
      <w:r w:rsidRPr="00200FF9">
        <w:rPr>
          <w:rFonts w:ascii="Arial" w:eastAsia="Calibri" w:hAnsi="Arial" w:cs="Arial"/>
        </w:rPr>
        <w:tab/>
      </w:r>
      <w:r w:rsidRPr="00200FF9">
        <w:rPr>
          <w:rFonts w:ascii="Arial" w:eastAsia="Calibri" w:hAnsi="Arial" w:cs="Arial"/>
        </w:rPr>
        <w:tab/>
      </w:r>
      <w:smartTag w:uri="urn:schemas-microsoft-com:office:smarttags" w:element="PersonName">
        <w:r w:rsidRPr="00200FF9">
          <w:rPr>
            <w:rFonts w:ascii="Arial" w:eastAsia="Calibri" w:hAnsi="Arial" w:cs="Arial"/>
          </w:rPr>
          <w:t>Papp Gábor</w:t>
        </w:r>
      </w:smartTag>
    </w:p>
    <w:p w:rsidR="00200FF9" w:rsidRPr="00200FF9" w:rsidRDefault="00200FF9" w:rsidP="00200FF9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200FF9">
        <w:rPr>
          <w:rFonts w:ascii="Arial" w:eastAsia="Calibri" w:hAnsi="Arial" w:cs="Arial"/>
        </w:rPr>
        <w:t xml:space="preserve">                             jegyző</w:t>
      </w:r>
      <w:r w:rsidRPr="00200FF9">
        <w:rPr>
          <w:rFonts w:ascii="Arial" w:eastAsia="Calibri" w:hAnsi="Arial" w:cs="Arial"/>
        </w:rPr>
        <w:tab/>
      </w:r>
      <w:r w:rsidRPr="00200FF9">
        <w:rPr>
          <w:rFonts w:ascii="Arial" w:eastAsia="Calibri" w:hAnsi="Arial" w:cs="Arial"/>
        </w:rPr>
        <w:tab/>
      </w:r>
      <w:r w:rsidRPr="00200FF9">
        <w:rPr>
          <w:rFonts w:ascii="Arial" w:eastAsia="Calibri" w:hAnsi="Arial" w:cs="Arial"/>
        </w:rPr>
        <w:tab/>
      </w:r>
      <w:r w:rsidRPr="00200FF9">
        <w:rPr>
          <w:rFonts w:ascii="Arial" w:eastAsia="Calibri" w:hAnsi="Arial" w:cs="Arial"/>
        </w:rPr>
        <w:tab/>
      </w:r>
      <w:r w:rsidRPr="00200FF9">
        <w:rPr>
          <w:rFonts w:ascii="Arial" w:eastAsia="Calibri" w:hAnsi="Arial" w:cs="Arial"/>
        </w:rPr>
        <w:tab/>
      </w:r>
      <w:r w:rsidRPr="00200FF9">
        <w:rPr>
          <w:rFonts w:ascii="Arial" w:eastAsia="Calibri" w:hAnsi="Arial" w:cs="Arial"/>
        </w:rPr>
        <w:tab/>
      </w:r>
      <w:r w:rsidRPr="00200FF9">
        <w:rPr>
          <w:rFonts w:ascii="Arial" w:eastAsia="Calibri" w:hAnsi="Arial" w:cs="Arial"/>
        </w:rPr>
        <w:tab/>
        <w:t>polgármester</w:t>
      </w:r>
    </w:p>
    <w:p w:rsidR="00200FF9" w:rsidRPr="00200FF9" w:rsidRDefault="00200FF9" w:rsidP="00200FF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200FF9" w:rsidRPr="00200FF9" w:rsidRDefault="00200FF9" w:rsidP="00200FF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200FF9" w:rsidRPr="00200FF9" w:rsidRDefault="00200FF9" w:rsidP="00200FF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200FF9" w:rsidRPr="00200FF9" w:rsidRDefault="00200FF9" w:rsidP="00200FF9">
      <w:pPr>
        <w:spacing w:after="0" w:line="240" w:lineRule="auto"/>
        <w:rPr>
          <w:rFonts w:ascii="Arial" w:eastAsia="Calibri" w:hAnsi="Arial" w:cs="Arial"/>
        </w:rPr>
      </w:pPr>
      <w:r w:rsidRPr="00200FF9">
        <w:rPr>
          <w:rFonts w:ascii="Arial" w:eastAsia="Calibri" w:hAnsi="Arial" w:cs="Arial"/>
        </w:rPr>
        <w:t>Kihirdetve:</w:t>
      </w:r>
    </w:p>
    <w:p w:rsidR="00200FF9" w:rsidRPr="00200FF9" w:rsidRDefault="00200FF9" w:rsidP="00200FF9">
      <w:pPr>
        <w:spacing w:after="0" w:line="240" w:lineRule="auto"/>
        <w:rPr>
          <w:rFonts w:ascii="Arial" w:eastAsia="Calibri" w:hAnsi="Arial" w:cs="Arial"/>
        </w:rPr>
      </w:pPr>
    </w:p>
    <w:p w:rsidR="00200FF9" w:rsidRPr="00200FF9" w:rsidRDefault="00200FF9" w:rsidP="00200FF9">
      <w:pPr>
        <w:spacing w:after="0" w:line="240" w:lineRule="auto"/>
        <w:rPr>
          <w:rFonts w:ascii="Arial" w:eastAsia="Calibri" w:hAnsi="Arial" w:cs="Arial"/>
        </w:rPr>
      </w:pPr>
      <w:r w:rsidRPr="00200FF9">
        <w:rPr>
          <w:rFonts w:ascii="Arial" w:eastAsia="Calibri" w:hAnsi="Arial" w:cs="Arial"/>
        </w:rPr>
        <w:t xml:space="preserve">2014. </w:t>
      </w:r>
      <w:r w:rsidR="00FF146C">
        <w:rPr>
          <w:rFonts w:ascii="Arial" w:eastAsia="Calibri" w:hAnsi="Arial" w:cs="Arial"/>
        </w:rPr>
        <w:t>június</w:t>
      </w:r>
      <w:r w:rsidRPr="00200FF9">
        <w:rPr>
          <w:rFonts w:ascii="Arial" w:eastAsia="Calibri" w:hAnsi="Arial" w:cs="Arial"/>
        </w:rPr>
        <w:t xml:space="preserve"> …</w:t>
      </w:r>
    </w:p>
    <w:p w:rsidR="00200FF9" w:rsidRPr="00200FF9" w:rsidRDefault="00200FF9" w:rsidP="00200FF9">
      <w:pPr>
        <w:spacing w:after="0" w:line="240" w:lineRule="auto"/>
        <w:rPr>
          <w:rFonts w:ascii="Arial" w:eastAsia="Calibri" w:hAnsi="Arial" w:cs="Arial"/>
        </w:rPr>
      </w:pPr>
    </w:p>
    <w:p w:rsidR="00200FF9" w:rsidRPr="00200FF9" w:rsidRDefault="00200FF9" w:rsidP="00200FF9">
      <w:pPr>
        <w:spacing w:after="0" w:line="240" w:lineRule="auto"/>
        <w:rPr>
          <w:rFonts w:ascii="Arial" w:eastAsia="Calibri" w:hAnsi="Arial" w:cs="Arial"/>
        </w:rPr>
      </w:pPr>
      <w:r w:rsidRPr="00200FF9">
        <w:rPr>
          <w:rFonts w:ascii="Arial" w:eastAsia="Calibri" w:hAnsi="Arial" w:cs="Arial"/>
        </w:rPr>
        <w:t>dr. Tüske Róbert</w:t>
      </w:r>
    </w:p>
    <w:p w:rsidR="00200FF9" w:rsidRPr="00200FF9" w:rsidRDefault="00200FF9" w:rsidP="00200FF9">
      <w:pPr>
        <w:spacing w:after="0" w:line="240" w:lineRule="auto"/>
        <w:rPr>
          <w:rFonts w:ascii="Arial" w:eastAsia="Calibri" w:hAnsi="Arial" w:cs="Arial"/>
        </w:rPr>
      </w:pPr>
      <w:r w:rsidRPr="00200FF9">
        <w:rPr>
          <w:rFonts w:ascii="Arial" w:eastAsia="Calibri" w:hAnsi="Arial" w:cs="Arial"/>
        </w:rPr>
        <w:t>jegyző</w:t>
      </w:r>
    </w:p>
    <w:p w:rsidR="00200FF9" w:rsidRPr="00200FF9" w:rsidRDefault="00200FF9" w:rsidP="00200FF9">
      <w:pPr>
        <w:spacing w:after="0" w:line="240" w:lineRule="auto"/>
        <w:jc w:val="center"/>
        <w:rPr>
          <w:rFonts w:ascii="Arial" w:eastAsia="Calibri" w:hAnsi="Arial" w:cs="Arial"/>
          <w:color w:val="3366FF"/>
        </w:rPr>
      </w:pPr>
    </w:p>
    <w:p w:rsidR="00200FF9" w:rsidRPr="00200FF9" w:rsidRDefault="00200FF9" w:rsidP="00200FF9">
      <w:pPr>
        <w:spacing w:after="0" w:line="240" w:lineRule="auto"/>
        <w:jc w:val="center"/>
        <w:rPr>
          <w:rFonts w:ascii="Arial" w:eastAsia="Calibri" w:hAnsi="Arial" w:cs="Arial"/>
          <w:color w:val="3366FF"/>
        </w:rPr>
      </w:pPr>
    </w:p>
    <w:p w:rsidR="008E2138" w:rsidRDefault="008E2138"/>
    <w:p w:rsidR="00371CC9" w:rsidRDefault="00371CC9"/>
    <w:p w:rsidR="00F913B6" w:rsidRPr="009F7A6D" w:rsidRDefault="00F913B6" w:rsidP="00F913B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F7A6D">
        <w:rPr>
          <w:rFonts w:ascii="Arial" w:hAnsi="Arial" w:cs="Arial"/>
          <w:b/>
          <w:sz w:val="24"/>
          <w:szCs w:val="24"/>
        </w:rPr>
        <w:lastRenderedPageBreak/>
        <w:t>Előzetes hatásvizsgálat</w:t>
      </w:r>
    </w:p>
    <w:p w:rsidR="00F913B6" w:rsidRPr="00DA05F0" w:rsidRDefault="00F913B6" w:rsidP="00F913B6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DA05F0">
        <w:rPr>
          <w:rFonts w:ascii="Arial" w:hAnsi="Arial" w:cs="Arial"/>
          <w:sz w:val="24"/>
          <w:szCs w:val="24"/>
        </w:rPr>
        <w:t>a jogalkotásról szóló 2010. évi CXXX. törvény 17. § (1) bekezdése alapján</w:t>
      </w:r>
    </w:p>
    <w:p w:rsidR="00F913B6" w:rsidRPr="00DA05F0" w:rsidRDefault="00F913B6" w:rsidP="00F913B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913B6" w:rsidRPr="00F913B6" w:rsidRDefault="00F913B6" w:rsidP="00F913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A05F0">
        <w:rPr>
          <w:rFonts w:ascii="Arial" w:hAnsi="Arial" w:cs="Arial"/>
          <w:b/>
          <w:sz w:val="24"/>
          <w:szCs w:val="24"/>
        </w:rPr>
        <w:t>A rendelet-tervezet címe</w:t>
      </w:r>
      <w:r w:rsidRPr="00DA05F0">
        <w:rPr>
          <w:rFonts w:ascii="Arial" w:hAnsi="Arial" w:cs="Arial"/>
          <w:sz w:val="24"/>
          <w:szCs w:val="24"/>
        </w:rPr>
        <w:t xml:space="preserve">: </w:t>
      </w:r>
      <w:r w:rsidRPr="00F913B6">
        <w:rPr>
          <w:rFonts w:ascii="Arial" w:hAnsi="Arial" w:cs="Arial"/>
        </w:rPr>
        <w:t>A közösségi együttélés alapvető szabályairól, valamint ezek elmulasztása, megszegése jogkövetkezményeiről szóló 24/2013. (VI.26.) önko</w:t>
      </w:r>
      <w:r>
        <w:rPr>
          <w:rFonts w:ascii="Arial" w:hAnsi="Arial" w:cs="Arial"/>
        </w:rPr>
        <w:t>rmányzati rendelet módosítása.</w:t>
      </w:r>
    </w:p>
    <w:p w:rsidR="00F913B6" w:rsidRPr="00DA05F0" w:rsidRDefault="00F913B6" w:rsidP="00F913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A05F0">
        <w:rPr>
          <w:rFonts w:ascii="Arial" w:hAnsi="Arial" w:cs="Arial"/>
          <w:b/>
          <w:sz w:val="24"/>
          <w:szCs w:val="24"/>
        </w:rPr>
        <w:t>Társadalmi-gazdasági hatása</w:t>
      </w:r>
      <w:r w:rsidRPr="00DA05F0">
        <w:rPr>
          <w:rFonts w:ascii="Arial" w:hAnsi="Arial" w:cs="Arial"/>
          <w:sz w:val="24"/>
          <w:szCs w:val="24"/>
        </w:rPr>
        <w:t xml:space="preserve">: </w:t>
      </w:r>
      <w:r w:rsidR="00FF03E1" w:rsidRPr="00E03EE5">
        <w:rPr>
          <w:rFonts w:ascii="Arial" w:hAnsi="Arial" w:cs="Arial"/>
          <w:iCs/>
        </w:rPr>
        <w:t xml:space="preserve">A jogbiztonság, </w:t>
      </w:r>
      <w:r w:rsidR="00FF03E1">
        <w:rPr>
          <w:rFonts w:ascii="Arial" w:hAnsi="Arial" w:cs="Arial"/>
          <w:iCs/>
        </w:rPr>
        <w:t>valamint</w:t>
      </w:r>
      <w:r w:rsidR="00FF03E1" w:rsidRPr="00E03EE5">
        <w:rPr>
          <w:rFonts w:ascii="Arial" w:hAnsi="Arial" w:cs="Arial"/>
          <w:iCs/>
        </w:rPr>
        <w:t xml:space="preserve"> a megbírságolt személyek jogainak védelme érdekében szükséges a helyi önkormányzatok számára megállapítani a rendeletük alapján kiszabható közigazgatási bírságok lehetséges felső határát</w:t>
      </w:r>
    </w:p>
    <w:p w:rsidR="00F913B6" w:rsidRPr="00DA05F0" w:rsidRDefault="00F913B6" w:rsidP="00F913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A05F0">
        <w:rPr>
          <w:rFonts w:ascii="Arial" w:hAnsi="Arial" w:cs="Arial"/>
          <w:b/>
          <w:sz w:val="24"/>
          <w:szCs w:val="24"/>
        </w:rPr>
        <w:t>Költségvetési hatása</w:t>
      </w:r>
      <w:r w:rsidRPr="00DA05F0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Nincs</w:t>
      </w:r>
    </w:p>
    <w:p w:rsidR="00F913B6" w:rsidRPr="00DA05F0" w:rsidRDefault="00F913B6" w:rsidP="00F913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A05F0">
        <w:rPr>
          <w:rFonts w:ascii="Arial" w:hAnsi="Arial" w:cs="Arial"/>
          <w:b/>
          <w:sz w:val="24"/>
          <w:szCs w:val="24"/>
        </w:rPr>
        <w:t>Környezeti, egészségi hatása</w:t>
      </w:r>
      <w:r w:rsidRPr="00DA05F0">
        <w:rPr>
          <w:rFonts w:ascii="Arial" w:hAnsi="Arial" w:cs="Arial"/>
          <w:sz w:val="24"/>
          <w:szCs w:val="24"/>
        </w:rPr>
        <w:t>: Nincs</w:t>
      </w:r>
    </w:p>
    <w:p w:rsidR="00F913B6" w:rsidRPr="00DA05F0" w:rsidRDefault="00F913B6" w:rsidP="00F913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A05F0">
        <w:rPr>
          <w:rFonts w:ascii="Arial" w:hAnsi="Arial" w:cs="Arial"/>
          <w:b/>
          <w:sz w:val="24"/>
          <w:szCs w:val="24"/>
        </w:rPr>
        <w:t>Adminisztratív terheket befolyásoló hatása</w:t>
      </w:r>
      <w:r w:rsidRPr="00DA05F0">
        <w:rPr>
          <w:rFonts w:ascii="Arial" w:hAnsi="Arial" w:cs="Arial"/>
          <w:sz w:val="24"/>
          <w:szCs w:val="24"/>
        </w:rPr>
        <w:t xml:space="preserve">: </w:t>
      </w:r>
      <w:r w:rsidR="00FF03E1">
        <w:rPr>
          <w:rFonts w:ascii="Arial" w:hAnsi="Arial" w:cs="Arial"/>
          <w:sz w:val="24"/>
          <w:szCs w:val="24"/>
        </w:rPr>
        <w:t>nincs</w:t>
      </w:r>
    </w:p>
    <w:p w:rsidR="00F913B6" w:rsidRPr="00DA05F0" w:rsidRDefault="00F913B6" w:rsidP="00F913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A05F0">
        <w:rPr>
          <w:rFonts w:ascii="Arial" w:hAnsi="Arial" w:cs="Arial"/>
          <w:b/>
          <w:sz w:val="24"/>
          <w:szCs w:val="24"/>
        </w:rPr>
        <w:t>Egyéb hatása</w:t>
      </w:r>
      <w:r w:rsidRPr="00DA05F0">
        <w:rPr>
          <w:rFonts w:ascii="Arial" w:hAnsi="Arial" w:cs="Arial"/>
          <w:sz w:val="24"/>
          <w:szCs w:val="24"/>
        </w:rPr>
        <w:t>: Nincs</w:t>
      </w:r>
    </w:p>
    <w:p w:rsidR="00F913B6" w:rsidRPr="00DA05F0" w:rsidRDefault="00F913B6" w:rsidP="00F913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A05F0">
        <w:rPr>
          <w:rFonts w:ascii="Arial" w:hAnsi="Arial" w:cs="Arial"/>
          <w:b/>
          <w:sz w:val="24"/>
          <w:szCs w:val="24"/>
        </w:rPr>
        <w:t>A rendelet megalkotásának szükségessége</w:t>
      </w:r>
      <w:r w:rsidRPr="00DA05F0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Törvényi kötelezettség</w:t>
      </w:r>
      <w:r w:rsidRPr="00DA05F0">
        <w:rPr>
          <w:rFonts w:ascii="Arial" w:hAnsi="Arial" w:cs="Arial"/>
          <w:sz w:val="24"/>
          <w:szCs w:val="24"/>
        </w:rPr>
        <w:t>.</w:t>
      </w:r>
    </w:p>
    <w:p w:rsidR="00FF03E1" w:rsidRDefault="00F913B6" w:rsidP="00F913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A05F0">
        <w:rPr>
          <w:rFonts w:ascii="Arial" w:hAnsi="Arial" w:cs="Arial"/>
          <w:b/>
          <w:sz w:val="24"/>
          <w:szCs w:val="24"/>
        </w:rPr>
        <w:t>A rendelet megalkotása elmaradása esetén várható következmények</w:t>
      </w:r>
      <w:r w:rsidRPr="00DA05F0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Az Önkormányzat törvényben rögzített kötelezettsége elmulasztása következne be</w:t>
      </w:r>
    </w:p>
    <w:p w:rsidR="00F913B6" w:rsidRPr="00DA05F0" w:rsidRDefault="00F913B6" w:rsidP="00F913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A05F0">
        <w:rPr>
          <w:rFonts w:ascii="Arial" w:hAnsi="Arial" w:cs="Arial"/>
          <w:b/>
          <w:sz w:val="24"/>
          <w:szCs w:val="24"/>
        </w:rPr>
        <w:t>A rendelet alkalmazásához szükséges feltételek</w:t>
      </w:r>
      <w:r w:rsidRPr="00DA05F0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</w:p>
    <w:p w:rsidR="00F913B6" w:rsidRPr="00DA05F0" w:rsidRDefault="00F913B6" w:rsidP="00F913B6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A05F0">
        <w:rPr>
          <w:rFonts w:ascii="Arial" w:hAnsi="Arial" w:cs="Arial"/>
          <w:b/>
          <w:sz w:val="24"/>
          <w:szCs w:val="24"/>
        </w:rPr>
        <w:t>személyi</w:t>
      </w:r>
      <w:r w:rsidRPr="00DA05F0">
        <w:rPr>
          <w:rFonts w:ascii="Arial" w:hAnsi="Arial" w:cs="Arial"/>
          <w:sz w:val="24"/>
          <w:szCs w:val="24"/>
        </w:rPr>
        <w:t>: nincs</w:t>
      </w:r>
    </w:p>
    <w:p w:rsidR="00F913B6" w:rsidRPr="00DA05F0" w:rsidRDefault="00F913B6" w:rsidP="00F913B6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A05F0">
        <w:rPr>
          <w:rFonts w:ascii="Arial" w:hAnsi="Arial" w:cs="Arial"/>
          <w:b/>
          <w:sz w:val="24"/>
          <w:szCs w:val="24"/>
        </w:rPr>
        <w:t>szervezeti</w:t>
      </w:r>
      <w:r w:rsidRPr="00DA05F0">
        <w:rPr>
          <w:rFonts w:ascii="Arial" w:hAnsi="Arial" w:cs="Arial"/>
          <w:sz w:val="24"/>
          <w:szCs w:val="24"/>
        </w:rPr>
        <w:t>: nincs</w:t>
      </w:r>
    </w:p>
    <w:p w:rsidR="00F913B6" w:rsidRPr="00DA05F0" w:rsidRDefault="00F913B6" w:rsidP="00F913B6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A05F0">
        <w:rPr>
          <w:rFonts w:ascii="Arial" w:hAnsi="Arial" w:cs="Arial"/>
          <w:b/>
          <w:sz w:val="24"/>
          <w:szCs w:val="24"/>
        </w:rPr>
        <w:t>tárgyi</w:t>
      </w:r>
      <w:r w:rsidRPr="00DA05F0">
        <w:rPr>
          <w:rFonts w:ascii="Arial" w:hAnsi="Arial" w:cs="Arial"/>
          <w:sz w:val="24"/>
          <w:szCs w:val="24"/>
        </w:rPr>
        <w:t xml:space="preserve">: </w:t>
      </w:r>
      <w:r w:rsidR="00FF03E1">
        <w:rPr>
          <w:rFonts w:ascii="Arial" w:hAnsi="Arial" w:cs="Arial"/>
          <w:sz w:val="24"/>
          <w:szCs w:val="24"/>
        </w:rPr>
        <w:t>nincs</w:t>
      </w:r>
    </w:p>
    <w:p w:rsidR="00F913B6" w:rsidRPr="00DA05F0" w:rsidRDefault="00F913B6" w:rsidP="00F913B6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A05F0">
        <w:rPr>
          <w:rFonts w:ascii="Arial" w:hAnsi="Arial" w:cs="Arial"/>
          <w:b/>
          <w:sz w:val="24"/>
          <w:szCs w:val="24"/>
        </w:rPr>
        <w:t>pénzügyi</w:t>
      </w:r>
      <w:r w:rsidRPr="00DA05F0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nincs</w:t>
      </w:r>
    </w:p>
    <w:p w:rsidR="00F913B6" w:rsidRDefault="00F913B6" w:rsidP="00F913B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66553E" w:rsidRDefault="0066553E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2A50C0" w:rsidRDefault="002A50C0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FF146C" w:rsidRDefault="00FF146C"/>
    <w:p w:rsidR="00FF146C" w:rsidRDefault="00FF146C"/>
    <w:p w:rsidR="00FF146C" w:rsidRDefault="00FF146C"/>
    <w:p w:rsidR="00FF146C" w:rsidRDefault="00FF146C"/>
    <w:p w:rsidR="00FF146C" w:rsidRDefault="00FF146C"/>
    <w:p w:rsidR="00FF146C" w:rsidRDefault="00FF146C"/>
    <w:p w:rsidR="00FF146C" w:rsidRDefault="00FF146C"/>
    <w:p w:rsidR="00FF146C" w:rsidRDefault="00FF146C"/>
    <w:p w:rsidR="00FF146C" w:rsidRDefault="00FF146C"/>
    <w:p w:rsidR="00FF146C" w:rsidRDefault="00FF146C"/>
    <w:p w:rsidR="00FF146C" w:rsidRDefault="00FF146C"/>
    <w:p w:rsidR="00FF146C" w:rsidRDefault="00FF146C"/>
    <w:p w:rsidR="00FF146C" w:rsidRDefault="00FF146C"/>
    <w:p w:rsidR="00FF146C" w:rsidRDefault="00FF146C"/>
    <w:p w:rsidR="00FF146C" w:rsidRDefault="00FF146C"/>
    <w:p w:rsidR="00FF146C" w:rsidRDefault="00FF146C"/>
    <w:p w:rsidR="00FF146C" w:rsidRDefault="00FF146C"/>
    <w:p w:rsidR="00FF146C" w:rsidRDefault="00FF146C"/>
    <w:p w:rsidR="008E2138" w:rsidRDefault="008E2138"/>
    <w:p w:rsidR="008E2138" w:rsidRDefault="008E2138"/>
    <w:p w:rsidR="002A50C0" w:rsidRDefault="002A50C0"/>
    <w:p w:rsidR="002A50C0" w:rsidRDefault="002A50C0"/>
    <w:p w:rsidR="002A50C0" w:rsidRDefault="002A50C0"/>
    <w:p w:rsidR="002A50C0" w:rsidRDefault="002A50C0"/>
    <w:p w:rsidR="002A50C0" w:rsidRDefault="002A50C0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956A7D" w:rsidTr="004C6D25">
        <w:tc>
          <w:tcPr>
            <w:tcW w:w="995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4C6D25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697"/>
        </w:trPr>
        <w:tc>
          <w:tcPr>
            <w:tcW w:w="2303" w:type="dxa"/>
          </w:tcPr>
          <w:p w:rsidR="008E2138" w:rsidRPr="00956A7D" w:rsidRDefault="00D032B6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Kepli József</w:t>
            </w:r>
          </w:p>
        </w:tc>
        <w:tc>
          <w:tcPr>
            <w:tcW w:w="2483" w:type="dxa"/>
            <w:vAlign w:val="center"/>
          </w:tcPr>
          <w:p w:rsidR="008E2138" w:rsidRPr="00956A7D" w:rsidRDefault="00D032B6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alpolgármester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51"/>
        </w:trPr>
        <w:tc>
          <w:tcPr>
            <w:tcW w:w="2303" w:type="dxa"/>
          </w:tcPr>
          <w:p w:rsidR="008E2138" w:rsidRPr="00956A7D" w:rsidRDefault="008E2138" w:rsidP="00C407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Dr. </w:t>
            </w:r>
            <w:r w:rsidR="00C40740">
              <w:rPr>
                <w:rFonts w:ascii="Arial" w:hAnsi="Arial" w:cs="Arial"/>
                <w:b/>
                <w:sz w:val="24"/>
                <w:szCs w:val="24"/>
              </w:rPr>
              <w:t>Márkus Mirtill</w:t>
            </w:r>
          </w:p>
        </w:tc>
        <w:tc>
          <w:tcPr>
            <w:tcW w:w="2483" w:type="dxa"/>
            <w:vAlign w:val="center"/>
          </w:tcPr>
          <w:p w:rsidR="008E2138" w:rsidRPr="00956A7D" w:rsidRDefault="00C40740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</w:t>
            </w:r>
            <w:r w:rsidR="008E2138" w:rsidRPr="00956A7D">
              <w:rPr>
                <w:rFonts w:ascii="Arial" w:hAnsi="Arial" w:cs="Arial"/>
                <w:b/>
                <w:sz w:val="24"/>
                <w:szCs w:val="24"/>
              </w:rPr>
              <w:t>jegyző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73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Bediné Makra Anikó</w:t>
            </w: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6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egyeztetési kötelezettség</w:t>
            </w:r>
          </w:p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c>
          <w:tcPr>
            <w:tcW w:w="2303" w:type="dxa"/>
          </w:tcPr>
          <w:p w:rsidR="008E2138" w:rsidRPr="00956A7D" w:rsidRDefault="008E2138" w:rsidP="003E466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dr. </w:t>
            </w:r>
            <w:r w:rsidR="003E4665">
              <w:rPr>
                <w:rFonts w:ascii="Arial" w:hAnsi="Arial" w:cs="Arial"/>
                <w:b/>
                <w:sz w:val="24"/>
                <w:szCs w:val="24"/>
              </w:rPr>
              <w:t>Márkus Mirtill</w:t>
            </w: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56A7D" w:rsidTr="004C6D25">
        <w:trPr>
          <w:trHeight w:val="277"/>
        </w:trPr>
        <w:tc>
          <w:tcPr>
            <w:tcW w:w="9933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Külsős partner </w:t>
            </w:r>
          </w:p>
        </w:tc>
      </w:tr>
      <w:tr w:rsidR="008E2138" w:rsidRPr="00956A7D" w:rsidTr="004C6D25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6761B6">
      <w:headerReference w:type="default" r:id="rId9"/>
      <w:footerReference w:type="default" r:id="rId10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284" w:rsidRDefault="00C24284" w:rsidP="00B6063F">
      <w:pPr>
        <w:spacing w:after="0" w:line="240" w:lineRule="auto"/>
      </w:pPr>
      <w:r>
        <w:separator/>
      </w:r>
    </w:p>
  </w:endnote>
  <w:endnote w:type="continuationSeparator" w:id="0">
    <w:p w:rsidR="00C24284" w:rsidRDefault="00C24284" w:rsidP="00B60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63F" w:rsidRDefault="00B6063F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284" w:rsidRDefault="00C24284" w:rsidP="00B6063F">
      <w:pPr>
        <w:spacing w:after="0" w:line="240" w:lineRule="auto"/>
      </w:pPr>
      <w:r>
        <w:separator/>
      </w:r>
    </w:p>
  </w:footnote>
  <w:footnote w:type="continuationSeparator" w:id="0">
    <w:p w:rsidR="00C24284" w:rsidRDefault="00C24284" w:rsidP="00B60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63F" w:rsidRDefault="00B6063F">
    <w:pPr>
      <w:rPr>
        <w:sz w:val="2"/>
        <w:szCs w:val="2"/>
      </w:rPr>
    </w:pPr>
  </w:p>
  <w:p w:rsidR="00B6063F" w:rsidRDefault="00B6063F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750968"/>
    <w:multiLevelType w:val="hybridMultilevel"/>
    <w:tmpl w:val="8B64F206"/>
    <w:lvl w:ilvl="0" w:tplc="5C102F00">
      <w:start w:val="20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4A555C"/>
    <w:multiLevelType w:val="hybridMultilevel"/>
    <w:tmpl w:val="7EC273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065403"/>
    <w:multiLevelType w:val="multilevel"/>
    <w:tmpl w:val="7F569CF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65F5FF5"/>
    <w:multiLevelType w:val="multilevel"/>
    <w:tmpl w:val="2E3E73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C10C3"/>
    <w:rsid w:val="0016354E"/>
    <w:rsid w:val="001D7391"/>
    <w:rsid w:val="00200FF9"/>
    <w:rsid w:val="002A50C0"/>
    <w:rsid w:val="002C1A1C"/>
    <w:rsid w:val="00371CC9"/>
    <w:rsid w:val="0038715F"/>
    <w:rsid w:val="003E4665"/>
    <w:rsid w:val="0065409F"/>
    <w:rsid w:val="0066553E"/>
    <w:rsid w:val="006761B6"/>
    <w:rsid w:val="008E2138"/>
    <w:rsid w:val="0093463A"/>
    <w:rsid w:val="00AF1B8E"/>
    <w:rsid w:val="00B6063F"/>
    <w:rsid w:val="00C24284"/>
    <w:rsid w:val="00C40740"/>
    <w:rsid w:val="00D032B6"/>
    <w:rsid w:val="00E03EE5"/>
    <w:rsid w:val="00E24B9A"/>
    <w:rsid w:val="00F42D2F"/>
    <w:rsid w:val="00F913B6"/>
    <w:rsid w:val="00FE42A4"/>
    <w:rsid w:val="00FF03E1"/>
    <w:rsid w:val="00FF1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paragraph" w:styleId="NormlWeb">
    <w:name w:val="Normal (Web)"/>
    <w:basedOn w:val="Norml"/>
    <w:uiPriority w:val="99"/>
    <w:semiHidden/>
    <w:unhideWhenUsed/>
    <w:rsid w:val="0093463A"/>
    <w:pPr>
      <w:spacing w:before="100" w:beforeAutospacing="1" w:after="300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Szvegtrzs2">
    <w:name w:val="Szövegtörzs (2)_"/>
    <w:basedOn w:val="Bekezdsalapbettpusa"/>
    <w:link w:val="Szvegtrzs20"/>
    <w:rsid w:val="00B6063F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Fejlcvagylbjegyzet">
    <w:name w:val="Fejléc vagy lábjegyzet_"/>
    <w:basedOn w:val="Bekezdsalapbettpusa"/>
    <w:rsid w:val="00B606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Fejlcvagylbjegyzet0">
    <w:name w:val="Fejléc vagy lábjegyzet"/>
    <w:basedOn w:val="Fejlcvagylbjegyzet"/>
    <w:rsid w:val="00B606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Fejlcvagylbjegyzet85pt">
    <w:name w:val="Fejléc vagy lábjegyzet + 8;5 pt"/>
    <w:basedOn w:val="Fejlcvagylbjegyzet"/>
    <w:rsid w:val="00B606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hu-HU" w:eastAsia="hu-HU" w:bidi="hu-HU"/>
    </w:rPr>
  </w:style>
  <w:style w:type="character" w:customStyle="1" w:styleId="Cmsor1">
    <w:name w:val="Címsor #1_"/>
    <w:basedOn w:val="Bekezdsalapbettpusa"/>
    <w:rsid w:val="00B606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58"/>
      <w:szCs w:val="58"/>
      <w:u w:val="none"/>
    </w:rPr>
  </w:style>
  <w:style w:type="character" w:customStyle="1" w:styleId="Cmsor10">
    <w:name w:val="Címsor #1"/>
    <w:basedOn w:val="Cmsor1"/>
    <w:rsid w:val="00B606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58"/>
      <w:szCs w:val="58"/>
      <w:u w:val="none"/>
      <w:lang w:val="hu-HU" w:eastAsia="hu-HU" w:bidi="hu-HU"/>
    </w:rPr>
  </w:style>
  <w:style w:type="character" w:customStyle="1" w:styleId="Cmsor2">
    <w:name w:val="Címsor #2_"/>
    <w:basedOn w:val="Bekezdsalapbettpusa"/>
    <w:rsid w:val="00B6063F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Cmsor20">
    <w:name w:val="Címsor #2"/>
    <w:basedOn w:val="Cmsor2"/>
    <w:rsid w:val="00B6063F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hu-HU" w:eastAsia="hu-HU" w:bidi="hu-HU"/>
    </w:rPr>
  </w:style>
  <w:style w:type="character" w:customStyle="1" w:styleId="Szvegtrzs">
    <w:name w:val="Szövegtörzs_"/>
    <w:basedOn w:val="Bekezdsalapbettpusa"/>
    <w:link w:val="Szvegtrzs21"/>
    <w:rsid w:val="00B6063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Szvegtrzs1">
    <w:name w:val="Szövegtörzs1"/>
    <w:basedOn w:val="Szvegtrzs"/>
    <w:rsid w:val="00B6063F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hu-HU" w:eastAsia="hu-HU" w:bidi="hu-HU"/>
    </w:rPr>
  </w:style>
  <w:style w:type="character" w:customStyle="1" w:styleId="Szvegtrzs3">
    <w:name w:val="Szövegtörzs (3)_"/>
    <w:basedOn w:val="Bekezdsalapbettpusa"/>
    <w:link w:val="Szvegtrzs30"/>
    <w:rsid w:val="00B6063F"/>
    <w:rPr>
      <w:rFonts w:ascii="Book Antiqua" w:eastAsia="Book Antiqua" w:hAnsi="Book Antiqua" w:cs="Book Antiqua"/>
      <w:b/>
      <w:bCs/>
      <w:i/>
      <w:iCs/>
      <w:sz w:val="23"/>
      <w:szCs w:val="23"/>
      <w:shd w:val="clear" w:color="auto" w:fill="FFFFFF"/>
    </w:rPr>
  </w:style>
  <w:style w:type="character" w:customStyle="1" w:styleId="Cmsor3">
    <w:name w:val="Címsor #3_"/>
    <w:basedOn w:val="Bekezdsalapbettpusa"/>
    <w:link w:val="Cmsor30"/>
    <w:rsid w:val="00B6063F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paragraph" w:customStyle="1" w:styleId="Szvegtrzs20">
    <w:name w:val="Szövegtörzs (2)"/>
    <w:basedOn w:val="Norml"/>
    <w:link w:val="Szvegtrzs2"/>
    <w:rsid w:val="00B6063F"/>
    <w:pPr>
      <w:widowControl w:val="0"/>
      <w:shd w:val="clear" w:color="auto" w:fill="FFFFFF"/>
      <w:spacing w:after="660" w:line="787" w:lineRule="exact"/>
    </w:pPr>
    <w:rPr>
      <w:rFonts w:ascii="Times New Roman" w:hAnsi="Times New Roman"/>
    </w:rPr>
  </w:style>
  <w:style w:type="paragraph" w:customStyle="1" w:styleId="Szvegtrzs21">
    <w:name w:val="Szövegtörzs2"/>
    <w:basedOn w:val="Norml"/>
    <w:link w:val="Szvegtrzs"/>
    <w:rsid w:val="00B6063F"/>
    <w:pPr>
      <w:widowControl w:val="0"/>
      <w:shd w:val="clear" w:color="auto" w:fill="FFFFFF"/>
      <w:spacing w:before="1680" w:after="420" w:line="480" w:lineRule="exact"/>
      <w:ind w:hanging="360"/>
      <w:jc w:val="both"/>
    </w:pPr>
    <w:rPr>
      <w:rFonts w:ascii="Times New Roman" w:hAnsi="Times New Roman"/>
      <w:sz w:val="24"/>
      <w:szCs w:val="24"/>
    </w:rPr>
  </w:style>
  <w:style w:type="paragraph" w:customStyle="1" w:styleId="Szvegtrzs30">
    <w:name w:val="Szövegtörzs (3)"/>
    <w:basedOn w:val="Norml"/>
    <w:link w:val="Szvegtrzs3"/>
    <w:rsid w:val="00B6063F"/>
    <w:pPr>
      <w:widowControl w:val="0"/>
      <w:shd w:val="clear" w:color="auto" w:fill="FFFFFF"/>
      <w:spacing w:after="720" w:line="0" w:lineRule="atLeast"/>
      <w:jc w:val="both"/>
    </w:pPr>
    <w:rPr>
      <w:rFonts w:ascii="Book Antiqua" w:eastAsia="Book Antiqua" w:hAnsi="Book Antiqua" w:cs="Book Antiqua"/>
      <w:b/>
      <w:bCs/>
      <w:i/>
      <w:iCs/>
      <w:sz w:val="23"/>
      <w:szCs w:val="23"/>
    </w:rPr>
  </w:style>
  <w:style w:type="paragraph" w:customStyle="1" w:styleId="Cmsor30">
    <w:name w:val="Címsor #3"/>
    <w:basedOn w:val="Norml"/>
    <w:link w:val="Cmsor3"/>
    <w:rsid w:val="00B6063F"/>
    <w:pPr>
      <w:widowControl w:val="0"/>
      <w:shd w:val="clear" w:color="auto" w:fill="FFFFFF"/>
      <w:spacing w:before="720" w:after="0" w:line="0" w:lineRule="atLeast"/>
      <w:outlineLvl w:val="2"/>
    </w:pPr>
    <w:rPr>
      <w:rFonts w:ascii="Book Antiqua" w:eastAsia="Book Antiqua" w:hAnsi="Book Antiqua" w:cs="Book Antiqua"/>
      <w:b/>
      <w:bCs/>
      <w:sz w:val="30"/>
      <w:szCs w:val="30"/>
    </w:rPr>
  </w:style>
  <w:style w:type="paragraph" w:styleId="lfej">
    <w:name w:val="header"/>
    <w:basedOn w:val="Norml"/>
    <w:link w:val="lfejChar"/>
    <w:uiPriority w:val="99"/>
    <w:unhideWhenUsed/>
    <w:rsid w:val="00B60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6063F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B60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6063F"/>
    <w:rPr>
      <w:rFonts w:ascii="Calibri" w:eastAsia="Times New Roman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A5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A50C0"/>
    <w:rPr>
      <w:rFonts w:ascii="Segoe UI" w:eastAsia="Times New Roman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E03EE5"/>
    <w:rPr>
      <w:strike w:val="0"/>
      <w:dstrike w:val="0"/>
      <w:color w:val="157F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1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6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11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01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12296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901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Bertalan Linda</cp:lastModifiedBy>
  <cp:revision>5</cp:revision>
  <cp:lastPrinted>2014-04-18T08:02:00Z</cp:lastPrinted>
  <dcterms:created xsi:type="dcterms:W3CDTF">2014-06-13T08:15:00Z</dcterms:created>
  <dcterms:modified xsi:type="dcterms:W3CDTF">2014-06-13T08:31:00Z</dcterms:modified>
</cp:coreProperties>
</file>