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ind w:hanging="284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számú határozat előterjesztése</w:t>
      </w:r>
    </w:p>
    <w:p w:rsidR="00000000" w:rsidDel="00000000" w:rsidP="00000000" w:rsidRDefault="00000000" w:rsidRPr="00000000" w14:paraId="00000002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 tárgya a Hévíz-Balaton Airport Kft. Közbeszerzési és Beszerzési Szabályzatának elfogadása.</w:t>
      </w:r>
    </w:p>
    <w:p w:rsidR="00000000" w:rsidDel="00000000" w:rsidP="00000000" w:rsidRDefault="00000000" w:rsidRPr="00000000" w14:paraId="00000004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Előzmények</w:t>
      </w:r>
    </w:p>
    <w:p w:rsidR="00000000" w:rsidDel="00000000" w:rsidP="00000000" w:rsidRDefault="00000000" w:rsidRPr="00000000" w14:paraId="00000005">
      <w:pPr>
        <w:spacing w:after="20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2021 tavaszán a Hévíz-Balaton Airport Kft.  - a Perneki Ügyvédi Iroda által lefolytatott - jogi átvilágításra került sor, melynek során többek között a Társaság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K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özbeszerzési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zabályzatával kapcsolatos javaslatok is megfogalmazásra kerültek. </w:t>
      </w:r>
    </w:p>
    <w:p w:rsidR="00000000" w:rsidDel="00000000" w:rsidP="00000000" w:rsidRDefault="00000000" w:rsidRPr="00000000" w14:paraId="00000006">
      <w:pPr>
        <w:spacing w:after="20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Az Ügyvédi Iroda által tett megállapítások, valamint a Társaság által kialakított jó gyakorlat alapján került sor jelen Közbeszerzési Szabályzat felülvizsgálatára.</w:t>
      </w:r>
    </w:p>
    <w:p w:rsidR="00000000" w:rsidDel="00000000" w:rsidP="00000000" w:rsidRDefault="00000000" w:rsidRPr="00000000" w14:paraId="00000007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előterjesztésről a Taggyűlés az „a veszélyhelyzet során a személy- és vagyonegyesítő szervezetek működésére vonatkozó eltérő rendelkezések újbóli bevezetéséről” szóló 502/2020. (XI. 16.) Korm. rendelet 3. § (2) és (3) bekezdése, valamint 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HBA Társasági Szerződésének 11.17. pontja értelmében, ülés tartása nélkül, írásbeli szavazás keretében dönt.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Vezetői összefoglaló</w:t>
      </w:r>
    </w:p>
    <w:p w:rsidR="00000000" w:rsidDel="00000000" w:rsidP="00000000" w:rsidRDefault="00000000" w:rsidRPr="00000000" w14:paraId="00000009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felülvizsgálat során a Közbeszerzési Szabályzat kiegészült a központosított közbeszerzésekre vonatkozó szabályokkal (KEF, NKOH, DKÜ), valamint a mindenkori közbeszerzési értékhatárt el nem érő beszerzési eljárások lefolytatására vonatkozó szabályokkal. </w:t>
      </w:r>
    </w:p>
    <w:p w:rsidR="00000000" w:rsidDel="00000000" w:rsidP="00000000" w:rsidRDefault="00000000" w:rsidRPr="00000000" w14:paraId="0000000A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beszerzési eljárások kialakítására a következő értékhatárok mentén került sor: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500.000 Ft becsült értékét el nem érő eljárások;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500.000-5.000.000 Ft-ig terjedő becsült értékű eljárások;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5.000.000 Ft becsült értéket elérő, de a mindenkori közbeszerzési értékhatárt el nem érő eljárások.</w:t>
      </w:r>
    </w:p>
    <w:p w:rsidR="00000000" w:rsidDel="00000000" w:rsidP="00000000" w:rsidRDefault="00000000" w:rsidRPr="00000000" w14:paraId="0000000E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Szabályzatban az EKR használatára jogosultak köre kibővítésre került, továbbá mellékletként csatolásra került többek között a fedezet rendelkezésre állásáról, valamint a becsült érték meghatározásáról szóló nyilatkozat.</w:t>
      </w:r>
    </w:p>
    <w:p w:rsidR="00000000" w:rsidDel="00000000" w:rsidP="00000000" w:rsidRDefault="00000000" w:rsidRPr="00000000" w14:paraId="0000000F">
      <w:pPr>
        <w:spacing w:after="200" w:line="240" w:lineRule="auto"/>
        <w:ind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Ülés tartása nélküli döntéshozatal</w:t>
      </w:r>
    </w:p>
    <w:p w:rsidR="00000000" w:rsidDel="00000000" w:rsidP="00000000" w:rsidRDefault="00000000" w:rsidRPr="00000000" w14:paraId="00000010">
      <w:pPr>
        <w:spacing w:after="200" w:line="240" w:lineRule="auto"/>
        <w:ind w:hanging="284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2021. </w:t>
      </w:r>
    </w:p>
    <w:p w:rsidR="00000000" w:rsidDel="00000000" w:rsidP="00000000" w:rsidRDefault="00000000" w:rsidRPr="00000000" w14:paraId="00000011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24.  számú határozattervezet: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Taggyűlés az Ügyvezető által írásban előterjesztett, a Hévíz-Balaton Airport Kft. Közbeszerzési és Beszerzési Szabályzatának módosítását elfogadja. 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BarmenoRegularHU"/>
  <w:font w:name="BarmenoBoldHU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after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  <w:t xml:space="preserve">      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flipH="1" rot="10800000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cap="flat" cmpd="sng" w="12700">
                        <a:solidFill>
                          <a:srgbClr val="31538F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8550" cy="711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259.0" w:type="dxa"/>
      <w:jc w:val="left"/>
      <w:tblInd w:w="0.0" w:type="dxa"/>
      <w:tblLayout w:type="fixed"/>
      <w:tblLook w:val="0400"/>
    </w:tblPr>
    <w:tblGrid>
      <w:gridCol w:w="6821"/>
      <w:gridCol w:w="1278"/>
      <w:gridCol w:w="160"/>
      <w:tblGridChange w:id="0">
        <w:tblGrid>
          <w:gridCol w:w="6821"/>
          <w:gridCol w:w="1278"/>
          <w:gridCol w:w="160"/>
        </w:tblGrid>
      </w:tblGridChange>
    </w:tblGrid>
    <w:tr>
      <w:trPr>
        <w:cantSplit w:val="0"/>
        <w:trHeight w:val="1145" w:hRule="atLeast"/>
        <w:tblHeader w:val="0"/>
      </w:trPr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6">
          <w:pPr>
            <w:spacing w:after="200" w:line="240" w:lineRule="auto"/>
            <w:ind w:left="-3" w:firstLine="0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Kft.   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rtl w:val="0"/>
            </w:rPr>
            <w:t xml:space="preserve">-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/ LHSM-SOB</w:t>
            <w:br w:type="textWrapping"/>
          </w:r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H-8391 Sármellék, Repülőtér  Tel: (+36-83) 200-300  Fax: (+36-83) 200-301</w:t>
            <w:br w:type="textWrapping"/>
            <w:t xml:space="preserve">E-mail: </w:t>
          </w:r>
          <w:hyperlink r:id="rId2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info@hevizairport.com</w:t>
            </w:r>
          </w:hyperlink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    Web: </w:t>
          </w:r>
          <w:hyperlink r:id="rId3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www.hevizairport.com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7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714375" cy="733425"/>
                <wp:effectExtent b="0" l="0" r="0" t="0"/>
                <wp:docPr id="1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8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609850" cy="647700"/>
          <wp:effectExtent b="0" l="0" r="0" t="0"/>
          <wp:docPr descr="A képen szöveg, clipart látható&#10;&#10;Automatikusan generált leírás" id="13" name="image2.jpg"/>
          <a:graphic>
            <a:graphicData uri="http://schemas.openxmlformats.org/drawingml/2006/picture">
              <pic:pic>
                <pic:nvPicPr>
                  <pic:cNvPr descr="A képen szöveg, clipart látható&#10;&#10;Automatikusan generált leírás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0F4350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fej">
    <w:name w:val="header"/>
    <w:basedOn w:val="Norml"/>
    <w:link w:val="lfej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semiHidden w:val="1"/>
    <w:unhideWhenUsed w:val="1"/>
    <w:rsid w:val="0023108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 w:val="1"/>
    <w:unhideWhenUsed w:val="1"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Listaszerbekezds">
    <w:name w:val="List Paragraph"/>
    <w:basedOn w:val="Norml"/>
    <w:uiPriority w:val="34"/>
    <w:qFormat w:val="1"/>
    <w:rsid w:val="00E876E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mailto:info@hevizairport.com" TargetMode="External"/><Relationship Id="rId3" Type="http://schemas.openxmlformats.org/officeDocument/2006/relationships/hyperlink" Target="http://www.hevizairport.com" TargetMode="External"/><Relationship Id="rId4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32E098gTiODrDDOiZlEAbn8nIg==">AMUW2mX7JOrWGMaRgnU12NJL3OGDIDpVZSGXGHxAX4cnMA/V3m1cA/+Xd6+lt2bmY6lmhKesIuPhlf9if9/iX3+Uu/NvRSmk/OQkYMU9+8/aBSTTvP2tCsB+soJdQMnHd1JhpcQju3wn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2021-11-29T03:43:00Z</dcterms:created>
  <dc:creator>Katinka Bencze-Fekete</dc:creator>
</cp:coreProperties>
</file>