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 w:rsidR="00D018C5">
        <w:rPr>
          <w:rFonts w:ascii="Arial" w:hAnsi="Arial" w:cs="Arial"/>
          <w:sz w:val="24"/>
          <w:szCs w:val="24"/>
        </w:rPr>
        <w:t>266-1</w:t>
      </w:r>
      <w:r>
        <w:rPr>
          <w:rFonts w:ascii="Arial" w:hAnsi="Arial" w:cs="Arial"/>
          <w:sz w:val="24"/>
          <w:szCs w:val="24"/>
        </w:rPr>
        <w:t>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AA336B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AA336B">
        <w:rPr>
          <w:rFonts w:ascii="Arial" w:hAnsi="Arial" w:cs="Arial"/>
          <w:b/>
          <w:sz w:val="24"/>
          <w:szCs w:val="24"/>
        </w:rPr>
        <w:t>március 26-i</w:t>
      </w:r>
      <w:r>
        <w:rPr>
          <w:rFonts w:ascii="Arial" w:hAnsi="Arial" w:cs="Arial"/>
          <w:b/>
          <w:sz w:val="24"/>
          <w:szCs w:val="24"/>
        </w:rPr>
        <w:t xml:space="preserve"> 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D311C2" w:rsidRDefault="008E2138" w:rsidP="008E2138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 w:rsidR="00E558C9">
        <w:rPr>
          <w:rFonts w:ascii="Arial" w:hAnsi="Arial" w:cs="Arial"/>
          <w:b/>
          <w:sz w:val="24"/>
          <w:szCs w:val="24"/>
        </w:rPr>
        <w:tab/>
      </w:r>
      <w:r w:rsidR="00E558C9">
        <w:rPr>
          <w:rFonts w:ascii="Arial" w:hAnsi="Arial" w:cs="Arial"/>
          <w:b/>
          <w:sz w:val="24"/>
          <w:szCs w:val="24"/>
        </w:rPr>
        <w:tab/>
      </w:r>
      <w:r w:rsidR="00986522" w:rsidRPr="00E558C9">
        <w:rPr>
          <w:rFonts w:ascii="Arial" w:hAnsi="Arial" w:cs="Arial"/>
          <w:sz w:val="24"/>
          <w:szCs w:val="24"/>
        </w:rPr>
        <w:t>A 2015. évi</w:t>
      </w:r>
      <w:r w:rsidRPr="00E558C9">
        <w:rPr>
          <w:rFonts w:ascii="Arial" w:hAnsi="Arial" w:cs="Arial"/>
          <w:b/>
          <w:sz w:val="24"/>
          <w:szCs w:val="24"/>
        </w:rPr>
        <w:t xml:space="preserve"> </w:t>
      </w:r>
      <w:r w:rsidR="00986522" w:rsidRPr="00E558C9">
        <w:rPr>
          <w:rFonts w:ascii="Arial" w:hAnsi="Arial" w:cs="Arial"/>
          <w:sz w:val="24"/>
          <w:szCs w:val="24"/>
        </w:rPr>
        <w:t>e</w:t>
      </w:r>
      <w:r w:rsidR="00D311C2" w:rsidRPr="00E558C9">
        <w:rPr>
          <w:rFonts w:ascii="Arial" w:hAnsi="Arial" w:cs="Arial"/>
          <w:sz w:val="24"/>
          <w:szCs w:val="24"/>
        </w:rPr>
        <w:t>b</w:t>
      </w:r>
      <w:r w:rsidR="00B503C3">
        <w:rPr>
          <w:rFonts w:ascii="Arial" w:hAnsi="Arial" w:cs="Arial"/>
          <w:sz w:val="24"/>
          <w:szCs w:val="24"/>
        </w:rPr>
        <w:t xml:space="preserve"> </w:t>
      </w:r>
      <w:r w:rsidR="00D311C2" w:rsidRPr="00E558C9">
        <w:rPr>
          <w:rFonts w:ascii="Arial" w:hAnsi="Arial" w:cs="Arial"/>
          <w:sz w:val="24"/>
          <w:szCs w:val="24"/>
        </w:rPr>
        <w:t>összeírás elrendelése</w:t>
      </w:r>
      <w:r w:rsidR="00D311C2" w:rsidRPr="00E558C9">
        <w:rPr>
          <w:rFonts w:ascii="Arial" w:hAnsi="Arial" w:cs="Arial"/>
          <w:b/>
          <w:sz w:val="24"/>
          <w:szCs w:val="24"/>
        </w:rPr>
        <w:t xml:space="preserve"> 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 xml:space="preserve">Készítette: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212598">
        <w:rPr>
          <w:rFonts w:ascii="Arial" w:hAnsi="Arial" w:cs="Arial"/>
          <w:sz w:val="24"/>
          <w:szCs w:val="24"/>
        </w:rPr>
        <w:t>Király Zoltán István közterület-felügyelő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212598" w:rsidRPr="000714B4" w:rsidRDefault="00212598" w:rsidP="0021259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</w:t>
      </w:r>
      <w:r w:rsidR="00D018C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, Ügyrendi és Szociális </w:t>
      </w:r>
      <w:r w:rsidR="00D018C5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lang w:eastAsia="hu-HU"/>
        </w:rPr>
      </w:pPr>
      <w:r w:rsidRPr="00C17EB2">
        <w:rPr>
          <w:rFonts w:ascii="Arial" w:eastAsia="TimesNewRomanPSMT" w:hAnsi="Arial" w:cs="Arial"/>
          <w:b/>
          <w:lang w:eastAsia="hu-HU"/>
        </w:rPr>
        <w:t>Tisztelt Képviselő-testület!</w:t>
      </w:r>
    </w:p>
    <w:p w:rsidR="00212598" w:rsidRPr="00671804" w:rsidRDefault="00212598" w:rsidP="00212598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  <w:lang w:eastAsia="hu-HU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Az állatok védelméről és kíméletéről szóló 1998. évi XXVIII. tv. </w:t>
      </w:r>
      <w:r w:rsidRPr="00C17EB2">
        <w:rPr>
          <w:rFonts w:ascii="Arial" w:eastAsia="TimesNewRomanPSMT" w:hAnsi="Arial" w:cs="Arial"/>
          <w:i/>
          <w:iCs/>
          <w:lang w:eastAsia="hu-HU"/>
        </w:rPr>
        <w:t xml:space="preserve">(továbbiakban: </w:t>
      </w:r>
      <w:proofErr w:type="spellStart"/>
      <w:r w:rsidRPr="00C17EB2">
        <w:rPr>
          <w:rFonts w:ascii="Arial" w:eastAsia="TimesNewRomanPSMT" w:hAnsi="Arial" w:cs="Arial"/>
          <w:i/>
          <w:iCs/>
          <w:lang w:eastAsia="hu-HU"/>
        </w:rPr>
        <w:t>Ávtv</w:t>
      </w:r>
      <w:proofErr w:type="spellEnd"/>
      <w:r w:rsidRPr="00C17EB2">
        <w:rPr>
          <w:rFonts w:ascii="Arial" w:eastAsia="TimesNewRomanPSMT" w:hAnsi="Arial" w:cs="Arial"/>
          <w:i/>
          <w:iCs/>
          <w:lang w:eastAsia="hu-HU"/>
        </w:rPr>
        <w:t xml:space="preserve">.) </w:t>
      </w:r>
      <w:r w:rsidRPr="00C17EB2">
        <w:rPr>
          <w:rFonts w:ascii="Arial" w:eastAsia="TimesNewRomanPSMT" w:hAnsi="Arial" w:cs="Arial"/>
          <w:lang w:eastAsia="hu-HU"/>
        </w:rPr>
        <w:t>2012. január 1-i hatállyal módosított 42/B. §</w:t>
      </w:r>
      <w:proofErr w:type="spellStart"/>
      <w:r w:rsidRPr="00C17EB2">
        <w:rPr>
          <w:rFonts w:ascii="Arial" w:eastAsia="TimesNewRomanPSMT" w:hAnsi="Arial" w:cs="Arial"/>
          <w:lang w:eastAsia="hu-HU"/>
        </w:rPr>
        <w:t>-a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értelmében az eb tartási helye szerinti települési önkormányzat </w:t>
      </w:r>
      <w:proofErr w:type="spellStart"/>
      <w:r w:rsidRPr="00C17EB2">
        <w:rPr>
          <w:rFonts w:ascii="Arial" w:eastAsia="TimesNewRomanPSMT" w:hAnsi="Arial" w:cs="Arial"/>
          <w:lang w:eastAsia="hu-HU"/>
        </w:rPr>
        <w:t>ebrendészeti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feladatainak elvégzése érdekében, illetve a veszettség elleni oltás járványvédelmi vonatkozásaira tekintettel három évente legalább egy alkalommal </w:t>
      </w:r>
      <w:proofErr w:type="spellStart"/>
      <w:r w:rsidRPr="00C17EB2">
        <w:rPr>
          <w:rFonts w:ascii="Arial" w:eastAsia="TimesNewRomanPSMT" w:hAnsi="Arial" w:cs="Arial"/>
          <w:lang w:eastAsia="hu-HU"/>
        </w:rPr>
        <w:t>ebösszeírást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végez. E rendelkezés az önkormányzatok számára kötelező. </w:t>
      </w:r>
    </w:p>
    <w:p w:rsidR="00E722D7" w:rsidRPr="00C17EB2" w:rsidRDefault="00E722D7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7F5E9D" w:rsidRPr="00C17EB2" w:rsidRDefault="007F5E9D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C17EB2">
        <w:rPr>
          <w:rFonts w:ascii="Arial" w:hAnsi="Arial" w:cs="Arial"/>
          <w:u w:val="single"/>
        </w:rPr>
        <w:t>Az</w:t>
      </w:r>
      <w:r w:rsidR="008F38C4" w:rsidRPr="00C17EB2">
        <w:rPr>
          <w:rFonts w:ascii="Arial" w:hAnsi="Arial" w:cs="Arial"/>
          <w:u w:val="single"/>
        </w:rPr>
        <w:t xml:space="preserve"> összeírásra</w:t>
      </w:r>
      <w:r w:rsidRPr="00C17EB2">
        <w:rPr>
          <w:rFonts w:ascii="Arial" w:hAnsi="Arial" w:cs="Arial"/>
          <w:u w:val="single"/>
        </w:rPr>
        <w:t xml:space="preserve"> előírt és nyilvántartandó adattartalom a törvényi előírás szerint</w:t>
      </w:r>
      <w:r w:rsidR="008F38C4" w:rsidRPr="00C17EB2">
        <w:rPr>
          <w:rFonts w:ascii="Arial" w:hAnsi="Arial" w:cs="Arial"/>
          <w:u w:val="single"/>
        </w:rPr>
        <w:t xml:space="preserve"> a következőket kell tartalmaznia</w:t>
      </w:r>
      <w:r w:rsidRPr="00C17EB2">
        <w:rPr>
          <w:rFonts w:ascii="Arial" w:hAnsi="Arial" w:cs="Arial"/>
          <w:u w:val="single"/>
        </w:rPr>
        <w:t xml:space="preserve">: 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Az </w:t>
      </w:r>
      <w:proofErr w:type="spellStart"/>
      <w:r w:rsidRPr="00C17EB2">
        <w:rPr>
          <w:rFonts w:ascii="Arial" w:eastAsia="TimesNewRomanPSMT" w:hAnsi="Arial" w:cs="Arial"/>
          <w:lang w:eastAsia="hu-HU"/>
        </w:rPr>
        <w:t>Ávtv</w:t>
      </w:r>
      <w:proofErr w:type="spellEnd"/>
      <w:r w:rsidRPr="00C17EB2">
        <w:rPr>
          <w:rFonts w:ascii="Arial" w:eastAsia="TimesNewRomanPSMT" w:hAnsi="Arial" w:cs="Arial"/>
          <w:lang w:eastAsia="hu-HU"/>
        </w:rPr>
        <w:t>. „42/A. § (4)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a) </w:t>
      </w:r>
      <w:r w:rsidRPr="00C17EB2">
        <w:rPr>
          <w:rFonts w:ascii="Arial" w:eastAsia="TimesNewRomanPSMT" w:hAnsi="Arial" w:cs="Arial"/>
          <w:lang w:eastAsia="hu-HU"/>
        </w:rPr>
        <w:t>az eb tulajdonosának nevét, címét,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b) </w:t>
      </w:r>
      <w:r w:rsidRPr="00C17EB2">
        <w:rPr>
          <w:rFonts w:ascii="Arial" w:eastAsia="TimesNewRomanPSMT" w:hAnsi="Arial" w:cs="Arial"/>
          <w:lang w:eastAsia="hu-HU"/>
        </w:rPr>
        <w:t xml:space="preserve">az </w:t>
      </w:r>
      <w:proofErr w:type="spellStart"/>
      <w:r w:rsidRPr="00C17EB2">
        <w:rPr>
          <w:rFonts w:ascii="Arial" w:eastAsia="TimesNewRomanPSMT" w:hAnsi="Arial" w:cs="Arial"/>
          <w:lang w:eastAsia="hu-HU"/>
        </w:rPr>
        <w:t>ebtartó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lakcímét, telefonszámát, elektronikus levélcímét,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c) </w:t>
      </w:r>
      <w:r w:rsidRPr="00C17EB2">
        <w:rPr>
          <w:rFonts w:ascii="Arial" w:eastAsia="TimesNewRomanPSMT" w:hAnsi="Arial" w:cs="Arial"/>
          <w:lang w:eastAsia="hu-HU"/>
        </w:rPr>
        <w:t>az eb fajtáját, nemét, születési idejét, színét, hívónevét,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d) </w:t>
      </w:r>
      <w:r w:rsidRPr="00C17EB2">
        <w:rPr>
          <w:rFonts w:ascii="Arial" w:eastAsia="TimesNewRomanPSMT" w:hAnsi="Arial" w:cs="Arial"/>
          <w:lang w:eastAsia="hu-HU"/>
        </w:rPr>
        <w:t>az eb tartási helyét,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e) </w:t>
      </w:r>
      <w:r w:rsidRPr="00C17EB2">
        <w:rPr>
          <w:rFonts w:ascii="Arial" w:eastAsia="TimesNewRomanPSMT" w:hAnsi="Arial" w:cs="Arial"/>
          <w:lang w:eastAsia="hu-HU"/>
        </w:rPr>
        <w:t xml:space="preserve">a beültetett </w:t>
      </w:r>
      <w:proofErr w:type="spellStart"/>
      <w:r w:rsidRPr="00C17EB2">
        <w:rPr>
          <w:rFonts w:ascii="Arial" w:eastAsia="TimesNewRomanPSMT" w:hAnsi="Arial" w:cs="Arial"/>
          <w:lang w:eastAsia="hu-HU"/>
        </w:rPr>
        <w:t>transzponder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sorszámát, a beültetés időpontját, a beültetést végző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f) </w:t>
      </w:r>
      <w:r w:rsidRPr="00C17EB2">
        <w:rPr>
          <w:rFonts w:ascii="Arial" w:eastAsia="TimesNewRomanPSMT" w:hAnsi="Arial" w:cs="Arial"/>
          <w:lang w:eastAsia="hu-HU"/>
        </w:rPr>
        <w:t xml:space="preserve">ivartalanított eb esetén az ivartalanítás időpontját, az ivartalanítást végző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g) </w:t>
      </w:r>
      <w:r w:rsidRPr="00C17EB2">
        <w:rPr>
          <w:rFonts w:ascii="Arial" w:eastAsia="TimesNewRomanPSMT" w:hAnsi="Arial" w:cs="Arial"/>
          <w:lang w:eastAsia="hu-HU"/>
        </w:rPr>
        <w:t xml:space="preserve">az eb oltási könyvének számát, az azt kiadó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h) </w:t>
      </w:r>
      <w:r w:rsidRPr="00C17EB2">
        <w:rPr>
          <w:rFonts w:ascii="Arial" w:eastAsia="TimesNewRomanPSMT" w:hAnsi="Arial" w:cs="Arial"/>
          <w:lang w:eastAsia="hu-HU"/>
        </w:rPr>
        <w:t>az eb veszettség elleni védőoltásainak időpontját,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i) </w:t>
      </w:r>
      <w:r w:rsidRPr="00C17EB2">
        <w:rPr>
          <w:rFonts w:ascii="Arial" w:eastAsia="TimesNewRomanPSMT" w:hAnsi="Arial" w:cs="Arial"/>
          <w:lang w:eastAsia="hu-HU"/>
        </w:rPr>
        <w:t xml:space="preserve">az eb veszettség elleni védőoltásai során használt oltóanyagot, annak gyártási számát, valamint az oltást végző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j) </w:t>
      </w:r>
      <w:r w:rsidRPr="00C17EB2">
        <w:rPr>
          <w:rFonts w:ascii="Arial" w:eastAsia="TimesNewRomanPSMT" w:hAnsi="Arial" w:cs="Arial"/>
          <w:lang w:eastAsia="hu-HU"/>
        </w:rPr>
        <w:t>a veszettség szempontjából aggályos eb megfigyelési státuszának tényét, időpontját,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k) </w:t>
      </w:r>
      <w:proofErr w:type="spellStart"/>
      <w:r w:rsidRPr="00C17EB2">
        <w:rPr>
          <w:rFonts w:ascii="Arial" w:eastAsia="TimesNewRomanPSMT" w:hAnsi="Arial" w:cs="Arial"/>
          <w:lang w:eastAsia="hu-HU"/>
        </w:rPr>
        <w:t>kisállatútlevéllel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rendelkező eb esetén az útlevél számát, kiállításának időpontját, a kiállító </w:t>
      </w:r>
      <w:proofErr w:type="spellStart"/>
      <w:r w:rsidRPr="00C17EB2">
        <w:rPr>
          <w:rFonts w:ascii="Arial" w:eastAsia="TimesNewRomanPSMT" w:hAnsi="Arial" w:cs="Arial"/>
          <w:lang w:eastAsia="hu-HU"/>
        </w:rPr>
        <w:t>magánállatorvos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nevét, kamarai bélyegzője számát,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i/>
          <w:iCs/>
          <w:lang w:eastAsia="hu-HU"/>
        </w:rPr>
        <w:t xml:space="preserve">l) </w:t>
      </w:r>
      <w:r w:rsidRPr="00C17EB2">
        <w:rPr>
          <w:rFonts w:ascii="Arial" w:eastAsia="TimesNewRomanPSMT" w:hAnsi="Arial" w:cs="Arial"/>
          <w:lang w:eastAsia="hu-HU"/>
        </w:rPr>
        <w:t xml:space="preserve">az eb veszélyessé minősítésének </w:t>
      </w:r>
      <w:proofErr w:type="spellStart"/>
      <w:r w:rsidRPr="00C17EB2">
        <w:rPr>
          <w:rFonts w:ascii="Arial" w:eastAsia="TimesNewRomanPSMT" w:hAnsi="Arial" w:cs="Arial"/>
          <w:lang w:eastAsia="hu-HU"/>
        </w:rPr>
        <w:t>tényére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és időpontjára vonatkozó adatot,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m)elismert tenyésztő szervezet által törzskönyvezett eb esetén a származási igazolás másolatát.”</w:t>
      </w:r>
    </w:p>
    <w:p w:rsidR="009B3930" w:rsidRPr="00C17EB2" w:rsidRDefault="009B3930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9B3930" w:rsidRPr="00C17EB2" w:rsidRDefault="009B3930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Hévízen a törvényben előírt </w:t>
      </w:r>
      <w:proofErr w:type="spellStart"/>
      <w:r w:rsidRPr="00C17EB2">
        <w:rPr>
          <w:rFonts w:ascii="Arial" w:eastAsia="TimesNewRomanPSMT" w:hAnsi="Arial" w:cs="Arial"/>
          <w:lang w:eastAsia="hu-HU"/>
        </w:rPr>
        <w:t>ebösszeírásra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</w:t>
      </w:r>
      <w:r w:rsidR="00F37C54" w:rsidRPr="00C17EB2">
        <w:rPr>
          <w:rFonts w:ascii="Arial" w:eastAsia="TimesNewRomanPSMT" w:hAnsi="Arial" w:cs="Arial"/>
          <w:lang w:eastAsia="hu-HU"/>
        </w:rPr>
        <w:t>eddig</w:t>
      </w:r>
      <w:r w:rsidRPr="00C17EB2">
        <w:rPr>
          <w:rFonts w:ascii="Arial" w:eastAsia="TimesNewRomanPSMT" w:hAnsi="Arial" w:cs="Arial"/>
          <w:lang w:eastAsia="hu-HU"/>
        </w:rPr>
        <w:t xml:space="preserve"> nem került sor, így az a törvényben megszabott feltételek szerint 2015-ben aktuális</w:t>
      </w:r>
      <w:r w:rsidR="00F37C54" w:rsidRPr="00C17EB2">
        <w:rPr>
          <w:rFonts w:ascii="Arial" w:eastAsia="TimesNewRomanPSMT" w:hAnsi="Arial" w:cs="Arial"/>
          <w:lang w:eastAsia="hu-HU"/>
        </w:rPr>
        <w:t xml:space="preserve"> feladatként jelentkezik.</w:t>
      </w:r>
    </w:p>
    <w:p w:rsidR="00530017" w:rsidRPr="00C17EB2" w:rsidRDefault="009B3930" w:rsidP="005300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 xml:space="preserve">Az ebek összeírását viszonylag hosszú kéthónapos időszak alatt kívánjuk elvégezni </w:t>
      </w:r>
      <w:r w:rsidR="00530017" w:rsidRPr="00C17EB2">
        <w:rPr>
          <w:rFonts w:ascii="Arial" w:eastAsia="TimesNewRomanPSMT" w:hAnsi="Arial" w:cs="Arial"/>
          <w:lang w:eastAsia="hu-HU"/>
        </w:rPr>
        <w:t>annak érdekében, hogy kellő idő álljon a lakosság rendelkezésére a szükséges adatok kitöltésére és a kitöltött nyomtatványok az önkormányzathoz történő visszajuttatására.</w:t>
      </w:r>
    </w:p>
    <w:p w:rsidR="00530017" w:rsidRPr="00C17EB2" w:rsidRDefault="00530017" w:rsidP="0053001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Az összeírásra</w:t>
      </w:r>
      <w:r w:rsidR="009B3930" w:rsidRPr="00C17EB2">
        <w:rPr>
          <w:rFonts w:ascii="Arial" w:eastAsia="TimesNewRomanPSMT" w:hAnsi="Arial" w:cs="Arial"/>
          <w:lang w:eastAsia="hu-HU"/>
        </w:rPr>
        <w:t xml:space="preserve"> 2015 április 1</w:t>
      </w:r>
      <w:r w:rsidR="00E67824" w:rsidRPr="00C17EB2">
        <w:rPr>
          <w:rFonts w:ascii="Arial" w:eastAsia="TimesNewRomanPSMT" w:hAnsi="Arial" w:cs="Arial"/>
          <w:lang w:eastAsia="hu-HU"/>
        </w:rPr>
        <w:t>.</w:t>
      </w:r>
      <w:r w:rsidR="009B3930" w:rsidRPr="00C17EB2">
        <w:rPr>
          <w:rFonts w:ascii="Arial" w:eastAsia="TimesNewRomanPSMT" w:hAnsi="Arial" w:cs="Arial"/>
          <w:lang w:eastAsia="hu-HU"/>
        </w:rPr>
        <w:t>-május 31</w:t>
      </w:r>
      <w:r w:rsidR="00E67824" w:rsidRPr="00C17EB2">
        <w:rPr>
          <w:rFonts w:ascii="Arial" w:eastAsia="TimesNewRomanPSMT" w:hAnsi="Arial" w:cs="Arial"/>
          <w:lang w:eastAsia="hu-HU"/>
        </w:rPr>
        <w:t>.</w:t>
      </w:r>
      <w:r w:rsidR="009B3930" w:rsidRPr="00C17EB2">
        <w:rPr>
          <w:rFonts w:ascii="Arial" w:eastAsia="TimesNewRomanPSMT" w:hAnsi="Arial" w:cs="Arial"/>
          <w:lang w:eastAsia="hu-HU"/>
        </w:rPr>
        <w:t xml:space="preserve"> i</w:t>
      </w:r>
      <w:r w:rsidR="00E67824" w:rsidRPr="00C17EB2">
        <w:rPr>
          <w:rFonts w:ascii="Arial" w:eastAsia="TimesNewRomanPSMT" w:hAnsi="Arial" w:cs="Arial"/>
          <w:lang w:eastAsia="hu-HU"/>
        </w:rPr>
        <w:t>dőszakban kerülne sor.</w:t>
      </w:r>
      <w:r w:rsidRPr="00C17EB2">
        <w:rPr>
          <w:rFonts w:ascii="Arial" w:eastAsia="TimesNewRomanPSMT" w:hAnsi="Arial" w:cs="Arial"/>
          <w:lang w:eastAsia="hu-HU"/>
        </w:rPr>
        <w:t xml:space="preserve"> 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</w:t>
      </w:r>
      <w:r w:rsidR="00E67824" w:rsidRPr="00C17EB2">
        <w:rPr>
          <w:rFonts w:ascii="Arial" w:eastAsia="TimesNewRomanPSMT" w:hAnsi="Arial" w:cs="Arial"/>
          <w:lang w:eastAsia="hu-HU"/>
        </w:rPr>
        <w:t xml:space="preserve">z </w:t>
      </w:r>
      <w:proofErr w:type="spellStart"/>
      <w:r w:rsidR="00E67824" w:rsidRPr="00C17EB2">
        <w:rPr>
          <w:rFonts w:ascii="Arial" w:eastAsia="TimesNewRomanPSMT" w:hAnsi="Arial" w:cs="Arial"/>
          <w:lang w:eastAsia="hu-HU"/>
        </w:rPr>
        <w:t>ebtartók</w:t>
      </w:r>
      <w:proofErr w:type="spellEnd"/>
      <w:r w:rsidRPr="00C17EB2">
        <w:rPr>
          <w:rFonts w:ascii="Arial" w:eastAsia="TimesNewRomanPSMT" w:hAnsi="Arial" w:cs="Arial"/>
          <w:lang w:eastAsia="hu-HU"/>
        </w:rPr>
        <w:t xml:space="preserve"> a Hivatal </w:t>
      </w:r>
      <w:r w:rsidR="00E67824" w:rsidRPr="00C17EB2">
        <w:rPr>
          <w:rFonts w:ascii="Arial" w:eastAsia="TimesNewRomanPSMT" w:hAnsi="Arial" w:cs="Arial"/>
          <w:lang w:eastAsia="hu-HU"/>
        </w:rPr>
        <w:t>felhívása alapján a közzétett formanyomtatványok kitöltésével és leadásával fognak eleget tenni az összeírási kötelezettségnek.</w:t>
      </w:r>
    </w:p>
    <w:p w:rsidR="00E67824" w:rsidRPr="00C17EB2" w:rsidRDefault="00E67824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Az ehhez szükséges formanyomtatványt elkészí</w:t>
      </w:r>
      <w:r w:rsidR="00530017" w:rsidRPr="00C17EB2">
        <w:rPr>
          <w:rFonts w:ascii="Arial" w:eastAsia="TimesNewRomanPSMT" w:hAnsi="Arial" w:cs="Arial"/>
          <w:lang w:eastAsia="hu-HU"/>
        </w:rPr>
        <w:t>tettük, melyet mellékelünk.</w:t>
      </w: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 nyomtatványt es a kitöltési útmutatót továbbá az önkormányzat honlapján is közzé kell tenn</w:t>
      </w:r>
      <w:r w:rsidR="00F37C54" w:rsidRPr="00C17EB2">
        <w:rPr>
          <w:rFonts w:ascii="Arial" w:eastAsia="TimesNewRomanPSMT" w:hAnsi="Arial" w:cs="Arial"/>
          <w:lang w:eastAsia="hu-HU"/>
        </w:rPr>
        <w:t>ünk</w:t>
      </w:r>
      <w:r w:rsidRPr="00C17EB2">
        <w:rPr>
          <w:rFonts w:ascii="Arial" w:eastAsia="TimesNewRomanPSMT" w:hAnsi="Arial" w:cs="Arial"/>
          <w:lang w:eastAsia="hu-HU"/>
        </w:rPr>
        <w:t xml:space="preserve"> letölthető es kinyomtatható formában.</w:t>
      </w:r>
    </w:p>
    <w:p w:rsidR="00C62E65" w:rsidRPr="00C17EB2" w:rsidRDefault="00C62E65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212598" w:rsidRPr="00C17EB2" w:rsidRDefault="00C62E65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Az</w:t>
      </w:r>
      <w:r w:rsidR="00212598" w:rsidRPr="00C17EB2">
        <w:rPr>
          <w:rFonts w:ascii="Arial" w:eastAsia="TimesNewRomanPSMT" w:hAnsi="Arial" w:cs="Arial"/>
          <w:lang w:eastAsia="hu-HU"/>
        </w:rPr>
        <w:t xml:space="preserve"> </w:t>
      </w:r>
      <w:r w:rsidRPr="00C17EB2">
        <w:rPr>
          <w:rFonts w:ascii="Arial" w:eastAsia="TimesNewRomanPSMT" w:hAnsi="Arial" w:cs="Arial"/>
          <w:lang w:eastAsia="hu-HU"/>
        </w:rPr>
        <w:t xml:space="preserve">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Ávtv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. 42/B. § (5) bekezdése szerint az eb tulajdonosa és tartója az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ebösszeíráskor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 a szükséges adatokat köteles az önkormányzat rendelkezésére bocsátani, ezért szükséges annak ellenőrzése is, hogy az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ebtartók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 kötelezettségüknek eleget tettek-e. Ezen ellenőrzés részben a helyi és az élelmiszerlánc-biztonsági felügyeleti szerv adatbázisának összevetésével, részben lakossági bejelentésekkel összefüggésben történhet. Így aki az összeírásra vonatkozó kötelezettségének nem tesz eleget, azzal szemben az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Ávtv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. 43. § (1) bekezdése alapján állatvédelmi birság kiszabása kezdeményezhető az állatvédelmi </w:t>
      </w:r>
      <w:r w:rsidR="00212598" w:rsidRPr="00C17EB2">
        <w:rPr>
          <w:rFonts w:ascii="Arial" w:eastAsia="TimesNewRomanPSMT" w:hAnsi="Arial" w:cs="Arial"/>
          <w:lang w:eastAsia="hu-HU"/>
        </w:rPr>
        <w:lastRenderedPageBreak/>
        <w:t>hatóságnál. A birság mértékét a 244/1998. (XII.</w:t>
      </w:r>
      <w:r w:rsidRPr="00C17EB2">
        <w:rPr>
          <w:rFonts w:ascii="Arial" w:eastAsia="TimesNewRomanPSMT" w:hAnsi="Arial" w:cs="Arial"/>
          <w:lang w:eastAsia="hu-HU"/>
        </w:rPr>
        <w:t xml:space="preserve"> </w:t>
      </w:r>
      <w:r w:rsidR="00212598" w:rsidRPr="00C17EB2">
        <w:rPr>
          <w:rFonts w:ascii="Arial" w:eastAsia="TimesNewRomanPSMT" w:hAnsi="Arial" w:cs="Arial"/>
          <w:lang w:eastAsia="hu-HU"/>
        </w:rPr>
        <w:t>31.) Korm. rendelet határozza meg</w:t>
      </w:r>
      <w:r w:rsidRPr="00C17EB2">
        <w:rPr>
          <w:rFonts w:ascii="Arial" w:eastAsia="TimesNewRomanPSMT" w:hAnsi="Arial" w:cs="Arial"/>
          <w:lang w:eastAsia="hu-HU"/>
        </w:rPr>
        <w:t>,</w:t>
      </w:r>
      <w:r w:rsidR="00212598" w:rsidRPr="00C17EB2">
        <w:rPr>
          <w:rFonts w:ascii="Arial" w:eastAsia="TimesNewRomanPSMT" w:hAnsi="Arial" w:cs="Arial"/>
          <w:lang w:eastAsia="hu-HU"/>
        </w:rPr>
        <w:t xml:space="preserve"> </w:t>
      </w:r>
      <w:r w:rsidRPr="00C17EB2">
        <w:rPr>
          <w:rFonts w:ascii="Arial" w:eastAsia="TimesNewRomanPSMT" w:hAnsi="Arial" w:cs="Arial"/>
          <w:lang w:eastAsia="hu-HU"/>
        </w:rPr>
        <w:t>t</w:t>
      </w:r>
      <w:r w:rsidR="00212598" w:rsidRPr="00C17EB2">
        <w:rPr>
          <w:rFonts w:ascii="Arial" w:eastAsia="TimesNewRomanPSMT" w:hAnsi="Arial" w:cs="Arial"/>
          <w:lang w:eastAsia="hu-HU"/>
        </w:rPr>
        <w:t xml:space="preserve">ermészetes személy </w:t>
      </w:r>
      <w:proofErr w:type="spellStart"/>
      <w:r w:rsidR="00212598" w:rsidRPr="00C17EB2">
        <w:rPr>
          <w:rFonts w:ascii="Arial" w:eastAsia="TimesNewRomanPSMT" w:hAnsi="Arial" w:cs="Arial"/>
          <w:lang w:eastAsia="hu-HU"/>
        </w:rPr>
        <w:t>ebtartó</w:t>
      </w:r>
      <w:proofErr w:type="spellEnd"/>
      <w:r w:rsidR="00212598" w:rsidRPr="00C17EB2">
        <w:rPr>
          <w:rFonts w:ascii="Arial" w:eastAsia="TimesNewRomanPSMT" w:hAnsi="Arial" w:cs="Arial"/>
          <w:lang w:eastAsia="hu-HU"/>
        </w:rPr>
        <w:t xml:space="preserve"> esetén a birság mértéke 30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60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illetve 90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 xml:space="preserve"> Ft, jogi személy esetén 30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60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90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>, 120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 xml:space="preserve"> vagy 150</w:t>
      </w:r>
      <w:r w:rsidRPr="00C17EB2">
        <w:rPr>
          <w:rFonts w:ascii="Arial" w:eastAsia="TimesNewRomanPSMT" w:hAnsi="Arial" w:cs="Arial"/>
          <w:lang w:eastAsia="hu-HU"/>
        </w:rPr>
        <w:t>.000</w:t>
      </w:r>
      <w:r w:rsidR="00225C1F" w:rsidRPr="00C17EB2">
        <w:rPr>
          <w:rFonts w:ascii="Arial" w:eastAsia="TimesNewRomanPSMT" w:hAnsi="Arial" w:cs="Arial"/>
          <w:lang w:eastAsia="hu-HU"/>
        </w:rPr>
        <w:t>.-</w:t>
      </w:r>
      <w:r w:rsidR="00212598" w:rsidRPr="00C17EB2">
        <w:rPr>
          <w:rFonts w:ascii="Arial" w:eastAsia="TimesNewRomanPSMT" w:hAnsi="Arial" w:cs="Arial"/>
          <w:lang w:eastAsia="hu-HU"/>
        </w:rPr>
        <w:t xml:space="preserve"> Ft lehet.</w:t>
      </w: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12598" w:rsidRPr="00C17EB2" w:rsidRDefault="00364353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 törvény lehetőséget biztosít </w:t>
      </w:r>
      <w:proofErr w:type="spellStart"/>
      <w:r w:rsidRPr="00C17EB2">
        <w:rPr>
          <w:rFonts w:ascii="Arial" w:hAnsi="Arial" w:cs="Arial"/>
        </w:rPr>
        <w:t>ebrendészeti</w:t>
      </w:r>
      <w:proofErr w:type="spellEnd"/>
      <w:r w:rsidRPr="00C17EB2">
        <w:rPr>
          <w:rFonts w:ascii="Arial" w:hAnsi="Arial" w:cs="Arial"/>
        </w:rPr>
        <w:t xml:space="preserve"> hozzájárulás kivetésére is, de arra Hévíz város esetében javaslatot nem teszünk, bevezetni nem kívánjuk.</w:t>
      </w:r>
      <w:r w:rsidR="00212598" w:rsidRPr="00C17EB2">
        <w:rPr>
          <w:rFonts w:ascii="Arial" w:hAnsi="Arial" w:cs="Arial"/>
        </w:rPr>
        <w:t xml:space="preserve"> </w:t>
      </w: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64353" w:rsidRPr="00C17EB2" w:rsidRDefault="002E43E4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 törvényben meghatározott kötelező tartalmú adatszolgáltatás benyújtása önkéntes, eddig 93-an éltek adatszolgáltatással. A területen működő állatorvosok becslése szerint a településen 800-1000 ebet tartanak, tehát </w:t>
      </w:r>
      <w:r w:rsidR="00225C1F" w:rsidRPr="00C17EB2">
        <w:rPr>
          <w:rFonts w:ascii="Arial" w:hAnsi="Arial" w:cs="Arial"/>
        </w:rPr>
        <w:t xml:space="preserve">az </w:t>
      </w:r>
      <w:proofErr w:type="spellStart"/>
      <w:r w:rsidR="00225C1F" w:rsidRPr="00C17EB2">
        <w:rPr>
          <w:rFonts w:ascii="Arial" w:hAnsi="Arial" w:cs="Arial"/>
        </w:rPr>
        <w:t>ebtartók</w:t>
      </w:r>
      <w:proofErr w:type="spellEnd"/>
      <w:r w:rsidR="00F166FA" w:rsidRPr="00C17EB2">
        <w:rPr>
          <w:rFonts w:ascii="Arial" w:hAnsi="Arial" w:cs="Arial"/>
        </w:rPr>
        <w:t xml:space="preserve"> az adatszolgáltatást várhatóan a kihirdetendő április-május hónapban fogja megtenni.</w:t>
      </w: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25C1F" w:rsidRPr="00C17EB2" w:rsidRDefault="00225C1F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Az összeírással </w:t>
      </w:r>
      <w:proofErr w:type="spellStart"/>
      <w:r w:rsidRPr="00C17EB2">
        <w:rPr>
          <w:rFonts w:ascii="Arial" w:hAnsi="Arial" w:cs="Arial"/>
        </w:rPr>
        <w:t>egyidőben</w:t>
      </w:r>
      <w:proofErr w:type="spellEnd"/>
      <w:r w:rsidRPr="00C17EB2">
        <w:rPr>
          <w:rFonts w:ascii="Arial" w:hAnsi="Arial" w:cs="Arial"/>
        </w:rPr>
        <w:t xml:space="preserve"> nyilvántartást is fel kell fektetni</w:t>
      </w:r>
      <w:r w:rsidR="00F37C54" w:rsidRPr="00C17EB2">
        <w:rPr>
          <w:rFonts w:ascii="Arial" w:hAnsi="Arial" w:cs="Arial"/>
        </w:rPr>
        <w:t>.</w:t>
      </w:r>
    </w:p>
    <w:p w:rsidR="00F166FA" w:rsidRPr="00C17EB2" w:rsidRDefault="00F166FA" w:rsidP="003643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 xml:space="preserve">Az </w:t>
      </w:r>
      <w:proofErr w:type="spellStart"/>
      <w:r w:rsidRPr="00C17EB2">
        <w:rPr>
          <w:rFonts w:ascii="Arial" w:hAnsi="Arial" w:cs="Arial"/>
        </w:rPr>
        <w:t>ebnyilvántartásra</w:t>
      </w:r>
      <w:proofErr w:type="spellEnd"/>
      <w:r w:rsidRPr="00C17EB2">
        <w:rPr>
          <w:rFonts w:ascii="Arial" w:hAnsi="Arial" w:cs="Arial"/>
        </w:rPr>
        <w:t xml:space="preserve"> léteznek különböző szoftverek, de azok inkább ott ajánlottak, ahol az ezres nagyságrendet meghaladó eb található a településen.</w:t>
      </w:r>
    </w:p>
    <w:p w:rsidR="00E722D7" w:rsidRPr="00C17EB2" w:rsidRDefault="00F166FA" w:rsidP="00E722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7EB2">
        <w:rPr>
          <w:rFonts w:ascii="Arial" w:hAnsi="Arial" w:cs="Arial"/>
        </w:rPr>
        <w:t>Az első összeírás során az adatokat úgy kívánjuk nyilvántartani, hogy az irodai programcsomag részét képező táblázatkezelő</w:t>
      </w:r>
      <w:r w:rsidR="00661A31" w:rsidRPr="00C17EB2">
        <w:rPr>
          <w:rFonts w:ascii="Arial" w:hAnsi="Arial" w:cs="Arial"/>
        </w:rPr>
        <w:t xml:space="preserve"> szoftverrel</w:t>
      </w:r>
      <w:r w:rsidRPr="00C17EB2">
        <w:rPr>
          <w:rFonts w:ascii="Arial" w:hAnsi="Arial" w:cs="Arial"/>
        </w:rPr>
        <w:t xml:space="preserve"> hozunk létre adatbázist oly módon, hogy </w:t>
      </w:r>
      <w:r w:rsidR="00E722D7" w:rsidRPr="00C17EB2">
        <w:rPr>
          <w:rFonts w:ascii="Arial" w:hAnsi="Arial" w:cs="Arial"/>
        </w:rPr>
        <w:t xml:space="preserve">az állat tulajdonosa, tartója és más személyek jogainak, személyes biztonságának és tulajdonának védelme, valamint </w:t>
      </w:r>
      <w:proofErr w:type="spellStart"/>
      <w:r w:rsidR="00E722D7" w:rsidRPr="00C17EB2">
        <w:rPr>
          <w:rFonts w:ascii="Arial" w:hAnsi="Arial" w:cs="Arial"/>
        </w:rPr>
        <w:t>ebrendészeti</w:t>
      </w:r>
      <w:proofErr w:type="spellEnd"/>
      <w:r w:rsidR="00E722D7" w:rsidRPr="00C17EB2">
        <w:rPr>
          <w:rFonts w:ascii="Arial" w:hAnsi="Arial" w:cs="Arial"/>
        </w:rPr>
        <w:t xml:space="preserve"> és állatvédelmi feladatainak hatékony ellátása biztosított legyen.</w:t>
      </w:r>
    </w:p>
    <w:p w:rsidR="00E722D7" w:rsidRPr="00C17EB2" w:rsidRDefault="00E722D7" w:rsidP="00E722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b/>
          <w:lang w:eastAsia="hu-HU"/>
        </w:rPr>
      </w:pPr>
      <w:r w:rsidRPr="00C17EB2">
        <w:rPr>
          <w:rFonts w:ascii="Arial" w:eastAsia="TimesNewRomanPSMT" w:hAnsi="Arial" w:cs="Arial"/>
          <w:b/>
          <w:lang w:eastAsia="hu-HU"/>
        </w:rPr>
        <w:t xml:space="preserve">Tisztelt </w:t>
      </w:r>
      <w:r w:rsidR="00E722D7" w:rsidRPr="00C17EB2">
        <w:rPr>
          <w:rFonts w:ascii="Arial" w:eastAsia="TimesNewRomanPSMT" w:hAnsi="Arial" w:cs="Arial"/>
          <w:b/>
          <w:lang w:eastAsia="hu-HU"/>
        </w:rPr>
        <w:t>Képviselő-testület</w:t>
      </w:r>
      <w:r w:rsidRPr="00C17EB2">
        <w:rPr>
          <w:rFonts w:ascii="Arial" w:eastAsia="TimesNewRomanPSMT" w:hAnsi="Arial" w:cs="Arial"/>
          <w:b/>
          <w:lang w:eastAsia="hu-HU"/>
        </w:rPr>
        <w:t>!</w:t>
      </w:r>
    </w:p>
    <w:p w:rsidR="00E722D7" w:rsidRPr="00C17EB2" w:rsidRDefault="00E722D7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</w:p>
    <w:p w:rsidR="00212598" w:rsidRPr="00C17EB2" w:rsidRDefault="00212598" w:rsidP="002125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lang w:eastAsia="hu-HU"/>
        </w:rPr>
      </w:pPr>
      <w:r w:rsidRPr="00C17EB2">
        <w:rPr>
          <w:rFonts w:ascii="Arial" w:eastAsia="TimesNewRomanPSMT" w:hAnsi="Arial" w:cs="Arial"/>
          <w:lang w:eastAsia="hu-HU"/>
        </w:rPr>
        <w:t>Kérem, hogy az előterjesztést megtárgyalni, és a csatolt határozat-tervezetet elfogadni szíveskedjen!</w:t>
      </w:r>
    </w:p>
    <w:p w:rsidR="00212598" w:rsidRPr="00C17EB2" w:rsidRDefault="00212598" w:rsidP="00212598">
      <w:pPr>
        <w:spacing w:after="0" w:line="240" w:lineRule="auto"/>
        <w:jc w:val="both"/>
        <w:rPr>
          <w:rFonts w:ascii="Arial" w:hAnsi="Arial" w:cs="Arial"/>
          <w:b/>
        </w:rPr>
      </w:pPr>
    </w:p>
    <w:p w:rsidR="00212598" w:rsidRPr="00C17EB2" w:rsidRDefault="00212598" w:rsidP="00212598">
      <w:pPr>
        <w:spacing w:after="0" w:line="240" w:lineRule="auto"/>
        <w:jc w:val="center"/>
        <w:rPr>
          <w:rFonts w:ascii="Arial" w:hAnsi="Arial" w:cs="Arial"/>
          <w:b/>
        </w:rPr>
      </w:pPr>
    </w:p>
    <w:p w:rsidR="00212598" w:rsidRPr="00C17EB2" w:rsidRDefault="00212598" w:rsidP="00212598">
      <w:pPr>
        <w:spacing w:after="0" w:line="240" w:lineRule="auto"/>
        <w:jc w:val="center"/>
        <w:rPr>
          <w:rFonts w:ascii="Arial" w:hAnsi="Arial" w:cs="Arial"/>
          <w:b/>
        </w:rPr>
      </w:pPr>
    </w:p>
    <w:p w:rsidR="00212598" w:rsidRPr="00C17EB2" w:rsidRDefault="00E722D7" w:rsidP="00212598">
      <w:pPr>
        <w:spacing w:after="0" w:line="240" w:lineRule="auto"/>
        <w:rPr>
          <w:rFonts w:ascii="Arial" w:hAnsi="Arial" w:cs="Arial"/>
        </w:rPr>
      </w:pPr>
      <w:r w:rsidRPr="00C17EB2">
        <w:rPr>
          <w:rFonts w:ascii="Arial" w:hAnsi="Arial" w:cs="Arial"/>
        </w:rPr>
        <w:t>Hévíz, 2015. március 10.</w:t>
      </w:r>
    </w:p>
    <w:p w:rsidR="00212598" w:rsidRDefault="00212598" w:rsidP="002125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D7" w:rsidRDefault="00E722D7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63219C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</w:t>
      </w:r>
      <w:r w:rsidR="00212598" w:rsidRPr="001E537C">
        <w:rPr>
          <w:rFonts w:ascii="Arial" w:hAnsi="Arial" w:cs="Arial"/>
          <w:b/>
          <w:sz w:val="24"/>
          <w:szCs w:val="24"/>
        </w:rPr>
        <w:t>.</w:t>
      </w: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86522" w:rsidRDefault="00986522" w:rsidP="0098652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6522" w:rsidRPr="00E558C9" w:rsidRDefault="00986522" w:rsidP="009865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58C9">
        <w:rPr>
          <w:rFonts w:ascii="Arial" w:hAnsi="Arial" w:cs="Arial"/>
          <w:b/>
          <w:sz w:val="24"/>
          <w:szCs w:val="24"/>
        </w:rPr>
        <w:t xml:space="preserve">Normatív határozat címe: </w:t>
      </w:r>
      <w:r w:rsidRPr="00E558C9">
        <w:rPr>
          <w:rFonts w:ascii="Arial" w:hAnsi="Arial" w:cs="Arial"/>
          <w:sz w:val="24"/>
          <w:szCs w:val="24"/>
        </w:rPr>
        <w:t xml:space="preserve">A 2015. évi </w:t>
      </w:r>
      <w:proofErr w:type="spellStart"/>
      <w:r w:rsidRPr="00E558C9">
        <w:rPr>
          <w:rFonts w:ascii="Arial" w:hAnsi="Arial" w:cs="Arial"/>
          <w:sz w:val="24"/>
          <w:szCs w:val="24"/>
        </w:rPr>
        <w:t>ebösszeírás</w:t>
      </w:r>
      <w:proofErr w:type="spellEnd"/>
      <w:r w:rsidRPr="00E558C9">
        <w:rPr>
          <w:rFonts w:ascii="Arial" w:hAnsi="Arial" w:cs="Arial"/>
          <w:sz w:val="24"/>
          <w:szCs w:val="24"/>
        </w:rPr>
        <w:t xml:space="preserve"> időtartama</w:t>
      </w:r>
    </w:p>
    <w:p w:rsidR="00212598" w:rsidRDefault="00212598" w:rsidP="002125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2598" w:rsidRPr="00E558C9" w:rsidRDefault="00212598" w:rsidP="00212598">
      <w:pPr>
        <w:spacing w:after="0" w:line="240" w:lineRule="auto"/>
        <w:jc w:val="both"/>
        <w:rPr>
          <w:rFonts w:ascii="Arial" w:hAnsi="Arial" w:cs="Arial"/>
        </w:rPr>
      </w:pPr>
      <w:r w:rsidRPr="00E558C9">
        <w:rPr>
          <w:rFonts w:ascii="Arial" w:hAnsi="Arial" w:cs="Arial"/>
        </w:rPr>
        <w:t xml:space="preserve">1. </w:t>
      </w:r>
      <w:r w:rsidR="00D311C2" w:rsidRPr="00E558C9">
        <w:rPr>
          <w:rFonts w:ascii="Arial" w:hAnsi="Arial" w:cs="Arial"/>
        </w:rPr>
        <w:t>Hévíz Város Önkormányzat Képviselő-testülete</w:t>
      </w:r>
      <w:r w:rsidRPr="00E558C9">
        <w:rPr>
          <w:rFonts w:ascii="Arial" w:hAnsi="Arial" w:cs="Arial"/>
        </w:rPr>
        <w:t xml:space="preserve"> az állatok védelméről és kíméletéről szóló 1998. évi XXVIII. törvény (továbbiakban </w:t>
      </w:r>
      <w:proofErr w:type="spellStart"/>
      <w:r w:rsidRPr="00E558C9">
        <w:rPr>
          <w:rFonts w:ascii="Arial" w:hAnsi="Arial" w:cs="Arial"/>
        </w:rPr>
        <w:t>Ávtv</w:t>
      </w:r>
      <w:proofErr w:type="spellEnd"/>
      <w:r w:rsidRPr="00E558C9">
        <w:rPr>
          <w:rFonts w:ascii="Arial" w:hAnsi="Arial" w:cs="Arial"/>
        </w:rPr>
        <w:t>.) 42/B. §</w:t>
      </w:r>
      <w:proofErr w:type="spellStart"/>
      <w:r w:rsidRPr="00E558C9">
        <w:rPr>
          <w:rFonts w:ascii="Arial" w:hAnsi="Arial" w:cs="Arial"/>
        </w:rPr>
        <w:t>-a</w:t>
      </w:r>
      <w:proofErr w:type="spellEnd"/>
      <w:r w:rsidRPr="00E558C9">
        <w:rPr>
          <w:rFonts w:ascii="Arial" w:hAnsi="Arial" w:cs="Arial"/>
        </w:rPr>
        <w:t xml:space="preserve"> </w:t>
      </w:r>
      <w:r w:rsidR="00D311C2" w:rsidRPr="00E558C9">
        <w:rPr>
          <w:rFonts w:ascii="Arial" w:hAnsi="Arial" w:cs="Arial"/>
        </w:rPr>
        <w:t xml:space="preserve">alapján </w:t>
      </w:r>
      <w:r w:rsidRPr="00E558C9">
        <w:rPr>
          <w:rFonts w:ascii="Arial" w:hAnsi="Arial" w:cs="Arial"/>
        </w:rPr>
        <w:t xml:space="preserve">Hévíz város </w:t>
      </w:r>
      <w:r w:rsidR="003E3ED0" w:rsidRPr="00E558C9">
        <w:rPr>
          <w:rFonts w:ascii="Arial" w:hAnsi="Arial" w:cs="Arial"/>
        </w:rPr>
        <w:t xml:space="preserve">közigazgatási </w:t>
      </w:r>
      <w:r w:rsidRPr="00E558C9">
        <w:rPr>
          <w:rFonts w:ascii="Arial" w:hAnsi="Arial" w:cs="Arial"/>
        </w:rPr>
        <w:t xml:space="preserve">területén </w:t>
      </w:r>
      <w:r w:rsidR="00D311C2" w:rsidRPr="00E558C9">
        <w:rPr>
          <w:rFonts w:ascii="Arial" w:hAnsi="Arial" w:cs="Arial"/>
        </w:rPr>
        <w:t>tartott ebek összeírásának idő</w:t>
      </w:r>
      <w:r w:rsidR="00986522" w:rsidRPr="00E558C9">
        <w:rPr>
          <w:rFonts w:ascii="Arial" w:hAnsi="Arial" w:cs="Arial"/>
        </w:rPr>
        <w:t>tartamá</w:t>
      </w:r>
      <w:r w:rsidR="00D311C2" w:rsidRPr="00E558C9">
        <w:rPr>
          <w:rFonts w:ascii="Arial" w:hAnsi="Arial" w:cs="Arial"/>
        </w:rPr>
        <w:t>t</w:t>
      </w:r>
      <w:r w:rsidRPr="00E558C9">
        <w:rPr>
          <w:rFonts w:ascii="Arial" w:hAnsi="Arial" w:cs="Arial"/>
        </w:rPr>
        <w:t xml:space="preserve"> </w:t>
      </w:r>
      <w:r w:rsidR="00D311C2" w:rsidRPr="00E558C9">
        <w:rPr>
          <w:rFonts w:ascii="Arial" w:hAnsi="Arial" w:cs="Arial"/>
        </w:rPr>
        <w:t xml:space="preserve">2015. </w:t>
      </w:r>
      <w:r w:rsidRPr="00E558C9">
        <w:rPr>
          <w:rFonts w:ascii="Arial" w:hAnsi="Arial" w:cs="Arial"/>
        </w:rPr>
        <w:t xml:space="preserve">április 1.-től </w:t>
      </w:r>
      <w:r w:rsidR="00D311C2" w:rsidRPr="00E558C9">
        <w:rPr>
          <w:rFonts w:ascii="Arial" w:hAnsi="Arial" w:cs="Arial"/>
        </w:rPr>
        <w:t xml:space="preserve">2015. </w:t>
      </w:r>
      <w:r w:rsidR="003E3ED0" w:rsidRPr="00E558C9">
        <w:rPr>
          <w:rFonts w:ascii="Arial" w:hAnsi="Arial" w:cs="Arial"/>
        </w:rPr>
        <w:t>május 3</w:t>
      </w:r>
      <w:r w:rsidR="007A6160" w:rsidRPr="00E558C9">
        <w:rPr>
          <w:rFonts w:ascii="Arial" w:hAnsi="Arial" w:cs="Arial"/>
        </w:rPr>
        <w:t>1</w:t>
      </w:r>
      <w:r w:rsidR="003E3ED0" w:rsidRPr="00E558C9">
        <w:rPr>
          <w:rFonts w:ascii="Arial" w:hAnsi="Arial" w:cs="Arial"/>
        </w:rPr>
        <w:t>.-ig terjedő időszakban</w:t>
      </w:r>
      <w:r w:rsidR="00D311C2" w:rsidRPr="00E558C9">
        <w:rPr>
          <w:rFonts w:ascii="Arial" w:hAnsi="Arial" w:cs="Arial"/>
        </w:rPr>
        <w:t xml:space="preserve"> állapítja meg.</w:t>
      </w:r>
      <w:r w:rsidR="00C0706C" w:rsidRPr="00E558C9">
        <w:rPr>
          <w:rFonts w:ascii="Arial" w:hAnsi="Arial" w:cs="Arial"/>
          <w:strike/>
        </w:rPr>
        <w:t xml:space="preserve"> </w:t>
      </w:r>
    </w:p>
    <w:p w:rsidR="00212598" w:rsidRPr="00E558C9" w:rsidRDefault="00212598" w:rsidP="00212598">
      <w:pPr>
        <w:spacing w:after="0" w:line="240" w:lineRule="auto"/>
        <w:jc w:val="both"/>
        <w:rPr>
          <w:rFonts w:ascii="Arial" w:hAnsi="Arial" w:cs="Arial"/>
        </w:rPr>
      </w:pPr>
    </w:p>
    <w:p w:rsidR="00E558C9" w:rsidRPr="00E558C9" w:rsidRDefault="00212598" w:rsidP="00212598">
      <w:pPr>
        <w:spacing w:after="0" w:line="240" w:lineRule="auto"/>
        <w:jc w:val="both"/>
        <w:rPr>
          <w:rFonts w:ascii="Arial" w:hAnsi="Arial" w:cs="Arial"/>
          <w:strike/>
        </w:rPr>
      </w:pPr>
      <w:r w:rsidRPr="00E558C9">
        <w:rPr>
          <w:rFonts w:ascii="Arial" w:hAnsi="Arial" w:cs="Arial"/>
        </w:rPr>
        <w:t xml:space="preserve">3. </w:t>
      </w:r>
      <w:r w:rsidR="009E6940" w:rsidRPr="00E558C9">
        <w:rPr>
          <w:rFonts w:ascii="Arial" w:hAnsi="Arial" w:cs="Arial"/>
        </w:rPr>
        <w:t xml:space="preserve">Az </w:t>
      </w:r>
      <w:proofErr w:type="spellStart"/>
      <w:r w:rsidR="009E6940" w:rsidRPr="00E558C9">
        <w:rPr>
          <w:rFonts w:ascii="Arial" w:hAnsi="Arial" w:cs="Arial"/>
        </w:rPr>
        <w:t>ebösszeírásról</w:t>
      </w:r>
      <w:proofErr w:type="spellEnd"/>
      <w:r w:rsidR="009E6940" w:rsidRPr="00E558C9">
        <w:rPr>
          <w:rFonts w:ascii="Arial" w:hAnsi="Arial" w:cs="Arial"/>
        </w:rPr>
        <w:t xml:space="preserve"> elektronikus nyilvántartást </w:t>
      </w:r>
      <w:r w:rsidR="00D311C2" w:rsidRPr="00E558C9">
        <w:rPr>
          <w:rFonts w:ascii="Arial" w:hAnsi="Arial" w:cs="Arial"/>
        </w:rPr>
        <w:t xml:space="preserve">a polgármesteri hivatal vezeti. </w:t>
      </w:r>
    </w:p>
    <w:p w:rsidR="00E558C9" w:rsidRPr="00E558C9" w:rsidRDefault="00E558C9" w:rsidP="00212598">
      <w:pPr>
        <w:spacing w:after="0" w:line="240" w:lineRule="auto"/>
        <w:jc w:val="both"/>
        <w:rPr>
          <w:rFonts w:ascii="Arial" w:hAnsi="Arial" w:cs="Arial"/>
          <w:strike/>
        </w:rPr>
      </w:pPr>
    </w:p>
    <w:p w:rsidR="00E558C9" w:rsidRPr="00E558C9" w:rsidRDefault="00E558C9" w:rsidP="00212598">
      <w:pPr>
        <w:spacing w:after="0" w:line="240" w:lineRule="auto"/>
        <w:jc w:val="both"/>
        <w:rPr>
          <w:rFonts w:ascii="Arial" w:hAnsi="Arial" w:cs="Arial"/>
          <w:strike/>
        </w:rPr>
      </w:pPr>
    </w:p>
    <w:p w:rsidR="00212598" w:rsidRPr="00E558C9" w:rsidRDefault="00D311C2" w:rsidP="00212598">
      <w:pPr>
        <w:spacing w:after="0" w:line="240" w:lineRule="auto"/>
        <w:jc w:val="both"/>
        <w:rPr>
          <w:rFonts w:ascii="Arial" w:hAnsi="Arial" w:cs="Arial"/>
        </w:rPr>
      </w:pPr>
      <w:r w:rsidRPr="00E558C9">
        <w:rPr>
          <w:rFonts w:ascii="Arial" w:hAnsi="Arial" w:cs="Arial"/>
        </w:rPr>
        <w:t>Felelős: dr. Tüske Róbert jegyző</w:t>
      </w:r>
    </w:p>
    <w:p w:rsidR="007A6160" w:rsidRPr="00E558C9" w:rsidRDefault="00D311C2" w:rsidP="00212598">
      <w:pPr>
        <w:spacing w:after="0" w:line="240" w:lineRule="auto"/>
        <w:jc w:val="both"/>
        <w:rPr>
          <w:rFonts w:ascii="Arial" w:hAnsi="Arial" w:cs="Arial"/>
        </w:rPr>
      </w:pPr>
      <w:r w:rsidRPr="00E558C9">
        <w:rPr>
          <w:rFonts w:ascii="Arial" w:hAnsi="Arial" w:cs="Arial"/>
        </w:rPr>
        <w:t>Határidő: 2015. május</w:t>
      </w:r>
      <w:r w:rsidR="007A6160" w:rsidRPr="00E558C9">
        <w:rPr>
          <w:rFonts w:ascii="Arial" w:hAnsi="Arial" w:cs="Arial"/>
        </w:rPr>
        <w:t xml:space="preserve"> 31.</w:t>
      </w:r>
    </w:p>
    <w:p w:rsidR="00212598" w:rsidRDefault="00212598" w:rsidP="002125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2598" w:rsidRDefault="00212598" w:rsidP="0021259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63219C" w:rsidRDefault="0063219C" w:rsidP="00212598">
      <w:pPr>
        <w:pStyle w:val="NormlWeb"/>
        <w:rPr>
          <w:rStyle w:val="lfejChar"/>
          <w:rFonts w:ascii="Arial" w:hAnsi="Arial" w:cs="Arial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17EB2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állásfoglalások</w:t>
      </w:r>
    </w:p>
    <w:p w:rsidR="00B0321A" w:rsidRDefault="00B0321A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4"/>
        <w:gridCol w:w="1283"/>
        <w:gridCol w:w="1438"/>
        <w:gridCol w:w="1416"/>
        <w:gridCol w:w="2850"/>
        <w:gridCol w:w="10"/>
        <w:gridCol w:w="15"/>
      </w:tblGrid>
      <w:tr w:rsidR="00B0321A" w:rsidTr="00EA1BF4">
        <w:trPr>
          <w:trHeight w:val="974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B0321A" w:rsidRDefault="00B0321A" w:rsidP="00EA1BF4">
            <w:pPr>
              <w:pStyle w:val="Szvegtrzs31"/>
              <w:spacing w:after="0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B0321A" w:rsidRDefault="00B0321A" w:rsidP="00EA1B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2015. évi eb összeírás elrendelése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0321A" w:rsidRDefault="00B0321A" w:rsidP="00EA1BF4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321A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093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21A" w:rsidRDefault="00B0321A" w:rsidP="00EA1BF4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B0321A" w:rsidTr="00EA1BF4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  <w:trHeight w:val="1697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71/2015. (III.19.) PTVB határozat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1A" w:rsidRDefault="00B0321A" w:rsidP="00EA1BF4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28"/>
      </w:tblGrid>
      <w:tr w:rsidR="006B50A0" w:rsidTr="00005C89">
        <w:trPr>
          <w:trHeight w:val="836"/>
        </w:trPr>
        <w:tc>
          <w:tcPr>
            <w:tcW w:w="9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6B50A0" w:rsidRDefault="006B50A0" w:rsidP="00005C8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6B50A0" w:rsidRDefault="006B50A0" w:rsidP="00005C89">
            <w:pPr>
              <w:pStyle w:val="Szvegtrzs31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161E">
              <w:rPr>
                <w:rFonts w:ascii="Arial" w:hAnsi="Arial" w:cs="Arial"/>
                <w:sz w:val="22"/>
                <w:szCs w:val="22"/>
              </w:rPr>
              <w:t>2015</w:t>
            </w:r>
            <w:r>
              <w:rPr>
                <w:rFonts w:ascii="Arial" w:hAnsi="Arial" w:cs="Arial"/>
                <w:sz w:val="22"/>
                <w:szCs w:val="22"/>
              </w:rPr>
              <w:t>. évi eb összeírás elrendelése</w:t>
            </w:r>
          </w:p>
        </w:tc>
      </w:tr>
      <w:tr w:rsidR="006B50A0" w:rsidTr="00005C89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0A0" w:rsidRDefault="006B50A0" w:rsidP="00005C89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6B50A0" w:rsidTr="00005C89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31/2015. (III.19.)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 igen szavazat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0A0" w:rsidRDefault="006B50A0" w:rsidP="00005C89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9D7C30" w:rsidRDefault="009D7C30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</w:p>
    <w:p w:rsidR="00345CB2" w:rsidRPr="009D7C30" w:rsidRDefault="00345CB2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  <w:r w:rsidRPr="009D7C30">
        <w:rPr>
          <w:rStyle w:val="lfejChar"/>
          <w:rFonts w:ascii="Arial" w:hAnsi="Arial" w:cs="Arial"/>
          <w:b/>
          <w:sz w:val="24"/>
          <w:szCs w:val="24"/>
        </w:rPr>
        <w:t>4.</w:t>
      </w:r>
    </w:p>
    <w:p w:rsidR="00345CB2" w:rsidRPr="009D7C30" w:rsidRDefault="00345CB2" w:rsidP="00345CB2">
      <w:pPr>
        <w:pStyle w:val="NormlWeb"/>
        <w:jc w:val="center"/>
        <w:rPr>
          <w:rStyle w:val="lfejChar"/>
          <w:rFonts w:ascii="Arial" w:hAnsi="Arial" w:cs="Arial"/>
          <w:b/>
          <w:sz w:val="24"/>
          <w:szCs w:val="24"/>
        </w:rPr>
      </w:pPr>
      <w:r w:rsidRPr="009D7C30">
        <w:rPr>
          <w:rStyle w:val="lfejChar"/>
          <w:rFonts w:ascii="Arial" w:hAnsi="Arial" w:cs="Arial"/>
          <w:b/>
          <w:sz w:val="24"/>
          <w:szCs w:val="24"/>
        </w:rPr>
        <w:t>Melléklet</w:t>
      </w:r>
    </w:p>
    <w:p w:rsidR="00345CB2" w:rsidRDefault="00345CB2" w:rsidP="00345CB2">
      <w:pPr>
        <w:pStyle w:val="NormlWeb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7" o:title=""/>
          </v:shape>
          <o:OLEObject Type="Embed" ProgID="AcroExch.Document.11" ShapeID="_x0000_i1025" DrawAspect="Content" ObjectID="_1488357203" r:id="rId8"/>
        </w:object>
      </w: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19"/>
          <w:szCs w:val="19"/>
        </w:rPr>
      </w:pPr>
      <w:r w:rsidRPr="00146C7F">
        <w:rPr>
          <w:rFonts w:eastAsiaTheme="minorHAnsi" w:cs="Calibri"/>
          <w:b/>
          <w:bCs/>
          <w:color w:val="000000"/>
          <w:sz w:val="19"/>
          <w:szCs w:val="19"/>
          <w:u w:val="single"/>
        </w:rPr>
        <w:t xml:space="preserve">K I T Ö L T É S I Ú T M U T A T Ó </w:t>
      </w:r>
    </w:p>
    <w:p w:rsidR="00345CB2" w:rsidRPr="00146C7F" w:rsidRDefault="00345CB2" w:rsidP="00345CB2">
      <w:pPr>
        <w:autoSpaceDE w:val="0"/>
        <w:autoSpaceDN w:val="0"/>
        <w:adjustRightInd w:val="0"/>
        <w:spacing w:after="120" w:line="240" w:lineRule="auto"/>
        <w:jc w:val="center"/>
        <w:rPr>
          <w:rFonts w:eastAsiaTheme="minorHAnsi" w:cs="Calibri"/>
          <w:color w:val="000000"/>
          <w:sz w:val="19"/>
          <w:szCs w:val="19"/>
        </w:rPr>
      </w:pPr>
      <w:r w:rsidRPr="00146C7F">
        <w:rPr>
          <w:rFonts w:eastAsiaTheme="minorHAnsi" w:cs="Calibri"/>
          <w:b/>
          <w:bCs/>
          <w:color w:val="000000"/>
          <w:sz w:val="19"/>
          <w:szCs w:val="19"/>
        </w:rPr>
        <w:t xml:space="preserve">az „EB BEJELENTŐ”nyomtatványhoz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Az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I. pont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esetében az eb tulajdonosa lehet ugyanaz, mint az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ebtartó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, de el is térhet a két személy. Egyezés esetén is kitöltendő mindkét rovat.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II. pontnál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az eb fajtája a törzskönyv alapján, fajtajellege az eb külleme alapján azonosítható be, de meg nem határozható fajtajellegek hiányában „keverék” megjelölést kell beírni.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III. pontnál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transzponderes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 (mikrochip) jelölést végrehajtó állatorvos által kibocsátott okmányon feltüntetett mikrochip sorszámát kell beírni, ezen, illetve a pecsétlenyomaton szerepel a beültetést végző állatorvos neve és a kamarai bélyegzőjének száma is. Ugyanez vonatkozik az ivartalanításra és a kisállat‐útlevél kiállítására is.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IV. pont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az állatorvos által az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eboltási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 könyvben rögzített adatok alapján tölthető ki, amellyel már minden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ebtartónak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 xml:space="preserve"> rendelkeznie kell.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color w:val="000000"/>
          <w:sz w:val="20"/>
          <w:szCs w:val="20"/>
        </w:rPr>
        <w:t xml:space="preserve">Az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V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. Egyéb adatok 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pontjában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a veszettség szempontjából aggályos eb megfigyelési státuszát kell megjelölni, azaz, hogy az eb megfigyelés alatt áll‐e, vagy sem, illetve az eb veszélyessé lett‐e minősítve, vagy nem.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H</w:t>
      </w:r>
      <w:r w:rsidRPr="00146C7F">
        <w:rPr>
          <w:rFonts w:eastAsiaTheme="minorHAnsi" w:cs="Calibri"/>
          <w:b/>
          <w:bCs/>
          <w:color w:val="000000"/>
          <w:sz w:val="16"/>
          <w:szCs w:val="16"/>
        </w:rPr>
        <w:t>A ELVESZETT AZ OKMÁNY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: </w:t>
      </w:r>
      <w:r w:rsidRPr="00146C7F">
        <w:rPr>
          <w:rFonts w:eastAsiaTheme="minorHAnsi" w:cs="Calibri"/>
          <w:color w:val="000000"/>
          <w:sz w:val="20"/>
          <w:szCs w:val="20"/>
        </w:rPr>
        <w:t>az okmány száma helyett „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elveszett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” szöveg kerüljön beírásra, és nyilatkozzon, hogy melyik állatorvos (név és székhely) végezte a beavatkozást, vagy adta ki az okmányt. </w:t>
      </w:r>
    </w:p>
    <w:p w:rsidR="00345CB2" w:rsidRPr="00146C7F" w:rsidRDefault="00345CB2" w:rsidP="00345CB2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0"/>
          <w:szCs w:val="20"/>
        </w:rPr>
      </w:pP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H</w:t>
      </w:r>
      <w:r w:rsidRPr="00146C7F">
        <w:rPr>
          <w:rFonts w:eastAsiaTheme="minorHAnsi" w:cs="Calibri"/>
          <w:b/>
          <w:bCs/>
          <w:color w:val="000000"/>
          <w:sz w:val="16"/>
          <w:szCs w:val="16"/>
        </w:rPr>
        <w:t xml:space="preserve">A NINCS OKMÁNY </w:t>
      </w:r>
      <w:r w:rsidRPr="00146C7F">
        <w:rPr>
          <w:rFonts w:eastAsiaTheme="minorHAnsi" w:cs="Calibri"/>
          <w:color w:val="000000"/>
          <w:sz w:val="20"/>
          <w:szCs w:val="20"/>
        </w:rPr>
        <w:t xml:space="preserve">(nincs chip beültetve, nincs ivartalanítva az eb, nincs </w:t>
      </w:r>
      <w:proofErr w:type="spellStart"/>
      <w:r w:rsidRPr="00146C7F">
        <w:rPr>
          <w:rFonts w:eastAsiaTheme="minorHAnsi" w:cs="Calibri"/>
          <w:color w:val="000000"/>
          <w:sz w:val="20"/>
          <w:szCs w:val="20"/>
        </w:rPr>
        <w:t>kisállatútlevél</w:t>
      </w:r>
      <w:proofErr w:type="spellEnd"/>
      <w:r w:rsidRPr="00146C7F">
        <w:rPr>
          <w:rFonts w:eastAsiaTheme="minorHAnsi" w:cs="Calibri"/>
          <w:color w:val="000000"/>
          <w:sz w:val="20"/>
          <w:szCs w:val="20"/>
        </w:rPr>
        <w:t>, nem oltatta, az eb még nem érte el a 4 hónapos kort): a sorszám, vagy szám helyett „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>nincs</w:t>
      </w:r>
      <w:r w:rsidRPr="00146C7F">
        <w:rPr>
          <w:rFonts w:eastAsiaTheme="minorHAnsi" w:cs="Calibri"/>
          <w:color w:val="000000"/>
          <w:sz w:val="20"/>
          <w:szCs w:val="20"/>
        </w:rPr>
        <w:t>” szöveg kerüljön beírásra</w:t>
      </w:r>
      <w:r w:rsidRPr="00146C7F">
        <w:rPr>
          <w:rFonts w:eastAsiaTheme="minorHAnsi" w:cs="Calibri"/>
          <w:b/>
          <w:bCs/>
          <w:color w:val="000000"/>
          <w:sz w:val="20"/>
          <w:szCs w:val="20"/>
        </w:rPr>
        <w:t xml:space="preserve">. </w:t>
      </w:r>
    </w:p>
    <w:p w:rsidR="00345CB2" w:rsidRDefault="00345CB2" w:rsidP="00345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5CB2" w:rsidRDefault="00345C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C30" w:rsidRDefault="009D7C3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C17EB2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9E6940" w:rsidRPr="001E537C">
        <w:rPr>
          <w:rFonts w:ascii="Arial" w:hAnsi="Arial" w:cs="Arial"/>
          <w:b/>
          <w:sz w:val="24"/>
          <w:szCs w:val="24"/>
        </w:rPr>
        <w:t>.</w:t>
      </w: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9E6940" w:rsidRPr="00F02127" w:rsidTr="006032BB">
        <w:trPr>
          <w:jc w:val="center"/>
        </w:trPr>
        <w:tc>
          <w:tcPr>
            <w:tcW w:w="9638" w:type="dxa"/>
            <w:gridSpan w:val="4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Király Zoltán</w:t>
            </w: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Az előterjesztés</w:t>
            </w: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Babics Tamás</w:t>
            </w: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Márkus Mirtill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Aljegyző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9E6940" w:rsidRPr="00F02127" w:rsidTr="006032BB">
        <w:trPr>
          <w:jc w:val="center"/>
        </w:trPr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E6940" w:rsidRPr="00F02127" w:rsidRDefault="009E6940" w:rsidP="006032BB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9E6940" w:rsidRDefault="009E6940" w:rsidP="009E694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9E6940" w:rsidRPr="00956A7D" w:rsidRDefault="009E6940" w:rsidP="009E69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940" w:rsidRDefault="009E6940" w:rsidP="009E6940"/>
    <w:p w:rsidR="009E6940" w:rsidRDefault="009E6940" w:rsidP="009E6940"/>
    <w:p w:rsidR="009E6940" w:rsidRDefault="009E6940" w:rsidP="009E6940"/>
    <w:p w:rsidR="009E6940" w:rsidRDefault="009E6940" w:rsidP="009E6940"/>
    <w:p w:rsidR="009E6940" w:rsidRDefault="009E6940" w:rsidP="00212598">
      <w:pPr>
        <w:pStyle w:val="NormlWeb"/>
        <w:rPr>
          <w:rStyle w:val="lfejChar"/>
          <w:rFonts w:ascii="Arial" w:hAnsi="Arial" w:cs="Arial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E64F6"/>
    <w:multiLevelType w:val="hybridMultilevel"/>
    <w:tmpl w:val="6266481E"/>
    <w:lvl w:ilvl="0" w:tplc="BF42C3C6">
      <w:start w:val="200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146C7F"/>
    <w:rsid w:val="00212598"/>
    <w:rsid w:val="00225C1F"/>
    <w:rsid w:val="002E43E4"/>
    <w:rsid w:val="00345CB2"/>
    <w:rsid w:val="00364353"/>
    <w:rsid w:val="003B5B60"/>
    <w:rsid w:val="003E3ED0"/>
    <w:rsid w:val="00530017"/>
    <w:rsid w:val="0063219C"/>
    <w:rsid w:val="00661A31"/>
    <w:rsid w:val="006761B6"/>
    <w:rsid w:val="006825E7"/>
    <w:rsid w:val="006B50A0"/>
    <w:rsid w:val="007A6160"/>
    <w:rsid w:val="007F5E9D"/>
    <w:rsid w:val="008E2138"/>
    <w:rsid w:val="008F38C4"/>
    <w:rsid w:val="00986522"/>
    <w:rsid w:val="009B3930"/>
    <w:rsid w:val="009D7C30"/>
    <w:rsid w:val="009E6940"/>
    <w:rsid w:val="00A403C9"/>
    <w:rsid w:val="00AA336B"/>
    <w:rsid w:val="00B0321A"/>
    <w:rsid w:val="00B503C3"/>
    <w:rsid w:val="00C0706C"/>
    <w:rsid w:val="00C17EB2"/>
    <w:rsid w:val="00C610AA"/>
    <w:rsid w:val="00C62E65"/>
    <w:rsid w:val="00C86B81"/>
    <w:rsid w:val="00D018C5"/>
    <w:rsid w:val="00D311C2"/>
    <w:rsid w:val="00E35C1F"/>
    <w:rsid w:val="00E53E5A"/>
    <w:rsid w:val="00E558C9"/>
    <w:rsid w:val="00E67824"/>
    <w:rsid w:val="00E722D7"/>
    <w:rsid w:val="00F166FA"/>
    <w:rsid w:val="00F37C54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paragraph" w:styleId="lfej">
    <w:name w:val="header"/>
    <w:basedOn w:val="Norml"/>
    <w:link w:val="lfejChar"/>
    <w:uiPriority w:val="99"/>
    <w:unhideWhenUsed/>
    <w:rsid w:val="0021259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rsid w:val="00212598"/>
    <w:rPr>
      <w:rFonts w:ascii="Calibri" w:eastAsia="Calibri" w:hAnsi="Calibri"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2125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7A6160"/>
    <w:rPr>
      <w:color w:val="0563C1" w:themeColor="hyperlink"/>
      <w:u w:val="single"/>
    </w:rPr>
  </w:style>
  <w:style w:type="paragraph" w:customStyle="1" w:styleId="Default">
    <w:name w:val="Default"/>
    <w:rsid w:val="00146C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Szvegtrzs">
    <w:name w:val="Body Text"/>
    <w:basedOn w:val="Default"/>
    <w:next w:val="Default"/>
    <w:link w:val="SzvegtrzsChar"/>
    <w:uiPriority w:val="99"/>
    <w:rsid w:val="00146C7F"/>
    <w:rPr>
      <w:rFonts w:cs="Arial"/>
      <w:color w:val="auto"/>
    </w:rPr>
  </w:style>
  <w:style w:type="character" w:customStyle="1" w:styleId="SzvegtrzsChar">
    <w:name w:val="Szövegtörzs Char"/>
    <w:basedOn w:val="Bekezdsalapbettpusa"/>
    <w:link w:val="Szvegtrzs"/>
    <w:uiPriority w:val="99"/>
    <w:rsid w:val="00146C7F"/>
    <w:rPr>
      <w:rFonts w:ascii="Calibri" w:hAnsi="Calibri"/>
    </w:rPr>
  </w:style>
  <w:style w:type="paragraph" w:customStyle="1" w:styleId="Szvegtrzs31">
    <w:name w:val="Szövegtörzs 31"/>
    <w:basedOn w:val="Norml"/>
    <w:rsid w:val="00B0321A"/>
    <w:pPr>
      <w:suppressAutoHyphens/>
      <w:spacing w:after="120" w:line="100" w:lineRule="atLeast"/>
    </w:pPr>
    <w:rPr>
      <w:rFonts w:ascii="Times New Roman" w:hAnsi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1102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dcterms:created xsi:type="dcterms:W3CDTF">2015-03-12T06:59:00Z</dcterms:created>
  <dcterms:modified xsi:type="dcterms:W3CDTF">2015-03-20T10:47:00Z</dcterms:modified>
</cp:coreProperties>
</file>