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61B6" w:rsidRDefault="004561B6" w:rsidP="00936C20">
      <w:pPr>
        <w:jc w:val="center"/>
        <w:rPr>
          <w:b/>
          <w:bCs/>
        </w:rPr>
      </w:pPr>
    </w:p>
    <w:p w:rsidR="000E4587" w:rsidRPr="006878FA" w:rsidRDefault="000E4587" w:rsidP="00936C20">
      <w:pPr>
        <w:jc w:val="center"/>
        <w:rPr>
          <w:b/>
          <w:bCs/>
        </w:rPr>
      </w:pPr>
      <w:r w:rsidRPr="006878FA">
        <w:rPr>
          <w:b/>
          <w:bCs/>
        </w:rPr>
        <w:t>AJÁNLATKÉRÉS – AJÁNLATTÉTELI FELHÍVÁS</w:t>
      </w:r>
    </w:p>
    <w:p w:rsidR="000E4587" w:rsidRPr="006878FA" w:rsidRDefault="000E4587" w:rsidP="000E4587">
      <w:pPr>
        <w:jc w:val="center"/>
        <w:rPr>
          <w:bCs/>
        </w:rPr>
      </w:pPr>
    </w:p>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69"/>
        <w:gridCol w:w="5955"/>
      </w:tblGrid>
      <w:tr w:rsidR="000E4587" w:rsidRPr="006878FA" w:rsidTr="004C1301">
        <w:trPr>
          <w:trHeight w:val="584"/>
        </w:trPr>
        <w:tc>
          <w:tcPr>
            <w:tcW w:w="9924" w:type="dxa"/>
            <w:gridSpan w:val="2"/>
            <w:vAlign w:val="center"/>
          </w:tcPr>
          <w:p w:rsidR="000E4587" w:rsidRPr="006878FA" w:rsidRDefault="000E4587" w:rsidP="00463FFC">
            <w:pPr>
              <w:pStyle w:val="Szvegtrzs"/>
              <w:jc w:val="center"/>
              <w:rPr>
                <w:b/>
                <w:sz w:val="24"/>
                <w:szCs w:val="24"/>
              </w:rPr>
            </w:pPr>
            <w:r w:rsidRPr="006878FA">
              <w:rPr>
                <w:b/>
                <w:sz w:val="24"/>
                <w:szCs w:val="24"/>
              </w:rPr>
              <w:t>I. AJÁNLATKÉRŐ</w:t>
            </w:r>
          </w:p>
        </w:tc>
      </w:tr>
      <w:tr w:rsidR="000E4587" w:rsidRPr="006878FA" w:rsidTr="004C1301">
        <w:trPr>
          <w:trHeight w:val="510"/>
        </w:trPr>
        <w:tc>
          <w:tcPr>
            <w:tcW w:w="3969" w:type="dxa"/>
            <w:vAlign w:val="center"/>
          </w:tcPr>
          <w:p w:rsidR="000E4587" w:rsidRPr="006878FA" w:rsidRDefault="000E4587" w:rsidP="000E4587">
            <w:pPr>
              <w:pStyle w:val="Szvegtrzs"/>
              <w:numPr>
                <w:ilvl w:val="0"/>
                <w:numId w:val="4"/>
              </w:numPr>
              <w:overflowPunct w:val="0"/>
              <w:autoSpaceDE w:val="0"/>
              <w:autoSpaceDN w:val="0"/>
              <w:adjustRightInd w:val="0"/>
              <w:ind w:left="492"/>
              <w:jc w:val="left"/>
              <w:textAlignment w:val="baseline"/>
              <w:rPr>
                <w:sz w:val="24"/>
                <w:szCs w:val="24"/>
              </w:rPr>
            </w:pPr>
            <w:r w:rsidRPr="006878FA">
              <w:rPr>
                <w:sz w:val="24"/>
                <w:szCs w:val="24"/>
              </w:rPr>
              <w:t>Az ajánlatkérő hivatalos neve:</w:t>
            </w:r>
          </w:p>
        </w:tc>
        <w:tc>
          <w:tcPr>
            <w:tcW w:w="5955" w:type="dxa"/>
            <w:vAlign w:val="center"/>
          </w:tcPr>
          <w:p w:rsidR="00316F57" w:rsidRPr="006878FA" w:rsidRDefault="00316F57" w:rsidP="000E4587">
            <w:pPr>
              <w:jc w:val="both"/>
              <w:rPr>
                <w:b/>
                <w:bCs/>
              </w:rPr>
            </w:pPr>
            <w:r w:rsidRPr="006878FA">
              <w:rPr>
                <w:b/>
                <w:bCs/>
              </w:rPr>
              <w:t xml:space="preserve">Hévíz Város Önkormányzat </w:t>
            </w:r>
          </w:p>
          <w:p w:rsidR="000E4587" w:rsidRPr="006878FA" w:rsidRDefault="00316F57" w:rsidP="000E4587">
            <w:pPr>
              <w:jc w:val="both"/>
              <w:rPr>
                <w:b/>
                <w:bCs/>
              </w:rPr>
            </w:pPr>
            <w:r w:rsidRPr="006878FA">
              <w:rPr>
                <w:b/>
                <w:bCs/>
              </w:rPr>
              <w:t>Gazdasági Műszaki Ellátó Szervezet</w:t>
            </w:r>
          </w:p>
        </w:tc>
      </w:tr>
      <w:tr w:rsidR="000E4587" w:rsidRPr="006878FA" w:rsidTr="004C1301">
        <w:trPr>
          <w:trHeight w:val="646"/>
        </w:trPr>
        <w:tc>
          <w:tcPr>
            <w:tcW w:w="3969" w:type="dxa"/>
            <w:vAlign w:val="center"/>
          </w:tcPr>
          <w:p w:rsidR="000E4587" w:rsidRPr="006878FA" w:rsidRDefault="000E4587" w:rsidP="000E4587">
            <w:pPr>
              <w:pStyle w:val="Szvegtrzs"/>
              <w:numPr>
                <w:ilvl w:val="0"/>
                <w:numId w:val="4"/>
              </w:numPr>
              <w:overflowPunct w:val="0"/>
              <w:autoSpaceDE w:val="0"/>
              <w:autoSpaceDN w:val="0"/>
              <w:adjustRightInd w:val="0"/>
              <w:ind w:left="492"/>
              <w:jc w:val="left"/>
              <w:textAlignment w:val="baseline"/>
              <w:rPr>
                <w:sz w:val="24"/>
                <w:szCs w:val="24"/>
              </w:rPr>
            </w:pPr>
            <w:r w:rsidRPr="006878FA">
              <w:rPr>
                <w:sz w:val="24"/>
                <w:szCs w:val="24"/>
              </w:rPr>
              <w:t>Az ajánlatkérő címe és elérhetőségei:</w:t>
            </w:r>
          </w:p>
        </w:tc>
        <w:tc>
          <w:tcPr>
            <w:tcW w:w="5955" w:type="dxa"/>
            <w:vAlign w:val="center"/>
          </w:tcPr>
          <w:p w:rsidR="00316F57" w:rsidRPr="006878FA" w:rsidRDefault="00316F57" w:rsidP="00316F57">
            <w:pPr>
              <w:ind w:right="56"/>
              <w:jc w:val="both"/>
              <w:rPr>
                <w:rFonts w:eastAsiaTheme="minorHAnsi"/>
                <w:bCs/>
              </w:rPr>
            </w:pPr>
            <w:r w:rsidRPr="006878FA">
              <w:rPr>
                <w:bCs/>
              </w:rPr>
              <w:t>8380 Hévíz</w:t>
            </w:r>
            <w:r w:rsidR="00E80BDA" w:rsidRPr="006878FA">
              <w:rPr>
                <w:bCs/>
              </w:rPr>
              <w:t>,</w:t>
            </w:r>
            <w:r w:rsidRPr="006878FA">
              <w:rPr>
                <w:bCs/>
              </w:rPr>
              <w:t xml:space="preserve"> Kossuth L. u. 4/</w:t>
            </w:r>
            <w:proofErr w:type="gramStart"/>
            <w:r w:rsidRPr="006878FA">
              <w:rPr>
                <w:bCs/>
              </w:rPr>
              <w:t>a.</w:t>
            </w:r>
            <w:proofErr w:type="gramEnd"/>
          </w:p>
          <w:p w:rsidR="00316F57" w:rsidRPr="006878FA" w:rsidRDefault="00316F57" w:rsidP="00316F57">
            <w:pPr>
              <w:jc w:val="both"/>
              <w:rPr>
                <w:bCs/>
              </w:rPr>
            </w:pPr>
            <w:r w:rsidRPr="006878FA">
              <w:rPr>
                <w:bCs/>
              </w:rPr>
              <w:t>Tel</w:t>
            </w:r>
            <w:proofErr w:type="gramStart"/>
            <w:r w:rsidRPr="006878FA">
              <w:rPr>
                <w:bCs/>
              </w:rPr>
              <w:t xml:space="preserve">:  </w:t>
            </w:r>
            <w:r w:rsidRPr="006878FA">
              <w:t>06-</w:t>
            </w:r>
            <w:r w:rsidRPr="006878FA">
              <w:rPr>
                <w:bCs/>
              </w:rPr>
              <w:t>83</w:t>
            </w:r>
            <w:proofErr w:type="gramEnd"/>
            <w:r w:rsidRPr="006878FA">
              <w:rPr>
                <w:bCs/>
              </w:rPr>
              <w:t xml:space="preserve">/343-400 </w:t>
            </w:r>
          </w:p>
          <w:p w:rsidR="00316F57" w:rsidRPr="006878FA" w:rsidRDefault="00316F57" w:rsidP="00316F57">
            <w:pPr>
              <w:jc w:val="both"/>
              <w:rPr>
                <w:bCs/>
              </w:rPr>
            </w:pPr>
            <w:r w:rsidRPr="006878FA">
              <w:rPr>
                <w:bCs/>
              </w:rPr>
              <w:t xml:space="preserve">Fax: </w:t>
            </w:r>
            <w:r w:rsidRPr="006878FA">
              <w:t>06-</w:t>
            </w:r>
            <w:r w:rsidRPr="006878FA">
              <w:rPr>
                <w:bCs/>
              </w:rPr>
              <w:t xml:space="preserve">83/340-602   </w:t>
            </w:r>
          </w:p>
          <w:p w:rsidR="000E4587" w:rsidRPr="006878FA" w:rsidRDefault="00316F57" w:rsidP="000E4587">
            <w:pPr>
              <w:jc w:val="both"/>
              <w:rPr>
                <w:bCs/>
              </w:rPr>
            </w:pPr>
            <w:r w:rsidRPr="006878FA">
              <w:rPr>
                <w:bCs/>
              </w:rPr>
              <w:t xml:space="preserve">e-mail: </w:t>
            </w:r>
            <w:hyperlink r:id="rId7" w:history="1">
              <w:r w:rsidRPr="006878FA">
                <w:rPr>
                  <w:rStyle w:val="Hiperhivatkozs"/>
                </w:rPr>
                <w:t>hevizgamesz@hevizgamesz.hu</w:t>
              </w:r>
            </w:hyperlink>
            <w:r w:rsidR="000E4587" w:rsidRPr="006878FA">
              <w:t xml:space="preserve"> </w:t>
            </w:r>
          </w:p>
        </w:tc>
      </w:tr>
      <w:tr w:rsidR="000E4587" w:rsidRPr="006878FA" w:rsidTr="004C1301">
        <w:trPr>
          <w:trHeight w:val="646"/>
        </w:trPr>
        <w:tc>
          <w:tcPr>
            <w:tcW w:w="3969" w:type="dxa"/>
            <w:vAlign w:val="center"/>
          </w:tcPr>
          <w:p w:rsidR="000E4587" w:rsidRPr="006878FA" w:rsidRDefault="000E4587" w:rsidP="000E4587">
            <w:pPr>
              <w:pStyle w:val="Szvegtrzs"/>
              <w:numPr>
                <w:ilvl w:val="0"/>
                <w:numId w:val="4"/>
              </w:numPr>
              <w:overflowPunct w:val="0"/>
              <w:autoSpaceDE w:val="0"/>
              <w:autoSpaceDN w:val="0"/>
              <w:adjustRightInd w:val="0"/>
              <w:ind w:left="492"/>
              <w:jc w:val="left"/>
              <w:textAlignment w:val="baseline"/>
              <w:rPr>
                <w:sz w:val="24"/>
                <w:szCs w:val="24"/>
              </w:rPr>
            </w:pPr>
            <w:r w:rsidRPr="006878FA">
              <w:rPr>
                <w:sz w:val="24"/>
                <w:szCs w:val="24"/>
              </w:rPr>
              <w:t xml:space="preserve">Az ajánlatkérő nevében eljáró </w:t>
            </w:r>
            <w:proofErr w:type="gramStart"/>
            <w:r w:rsidRPr="006878FA">
              <w:rPr>
                <w:sz w:val="24"/>
                <w:szCs w:val="24"/>
              </w:rPr>
              <w:t>kapcsolattartó</w:t>
            </w:r>
            <w:r w:rsidR="00B76D1B" w:rsidRPr="006878FA">
              <w:rPr>
                <w:sz w:val="24"/>
                <w:szCs w:val="24"/>
              </w:rPr>
              <w:t>(</w:t>
            </w:r>
            <w:proofErr w:type="gramEnd"/>
            <w:r w:rsidR="00B76D1B" w:rsidRPr="006878FA">
              <w:rPr>
                <w:sz w:val="24"/>
                <w:szCs w:val="24"/>
              </w:rPr>
              <w:t>k)</w:t>
            </w:r>
            <w:r w:rsidRPr="006878FA">
              <w:rPr>
                <w:sz w:val="24"/>
                <w:szCs w:val="24"/>
              </w:rPr>
              <w:t xml:space="preserve"> neve</w:t>
            </w:r>
            <w:r w:rsidR="00B76D1B" w:rsidRPr="006878FA">
              <w:rPr>
                <w:sz w:val="24"/>
                <w:szCs w:val="24"/>
              </w:rPr>
              <w:t>(i)</w:t>
            </w:r>
            <w:r w:rsidRPr="006878FA">
              <w:rPr>
                <w:sz w:val="24"/>
                <w:szCs w:val="24"/>
              </w:rPr>
              <w:t>, elérhetősége</w:t>
            </w:r>
            <w:r w:rsidR="00B76D1B" w:rsidRPr="006878FA">
              <w:rPr>
                <w:sz w:val="24"/>
                <w:szCs w:val="24"/>
              </w:rPr>
              <w:t>(i)</w:t>
            </w:r>
            <w:r w:rsidRPr="006878FA">
              <w:rPr>
                <w:sz w:val="24"/>
                <w:szCs w:val="24"/>
              </w:rPr>
              <w:t>:</w:t>
            </w:r>
          </w:p>
        </w:tc>
        <w:tc>
          <w:tcPr>
            <w:tcW w:w="5955" w:type="dxa"/>
            <w:vAlign w:val="center"/>
          </w:tcPr>
          <w:p w:rsidR="000E4587" w:rsidRPr="006878FA" w:rsidRDefault="00B76D1B" w:rsidP="000E4587">
            <w:pPr>
              <w:jc w:val="both"/>
              <w:rPr>
                <w:b/>
              </w:rPr>
            </w:pPr>
            <w:r w:rsidRPr="006878FA">
              <w:rPr>
                <w:b/>
                <w:bCs/>
              </w:rPr>
              <w:t>Gönye József - igazgató</w:t>
            </w:r>
          </w:p>
          <w:p w:rsidR="000E4587" w:rsidRPr="006878FA" w:rsidRDefault="000E4587" w:rsidP="000E4587">
            <w:pPr>
              <w:jc w:val="both"/>
            </w:pPr>
            <w:r w:rsidRPr="006878FA">
              <w:t xml:space="preserve">telefon: </w:t>
            </w:r>
            <w:r w:rsidR="00B76D1B" w:rsidRPr="006878FA">
              <w:t>06-30/683-2777</w:t>
            </w:r>
          </w:p>
          <w:p w:rsidR="00B76D1B" w:rsidRPr="006878FA" w:rsidRDefault="000E4587" w:rsidP="000E4587">
            <w:pPr>
              <w:jc w:val="both"/>
            </w:pPr>
            <w:r w:rsidRPr="006878FA">
              <w:t xml:space="preserve">e-mail: </w:t>
            </w:r>
            <w:hyperlink r:id="rId8" w:history="1">
              <w:r w:rsidR="00B76D1B" w:rsidRPr="006878FA">
                <w:rPr>
                  <w:rStyle w:val="Hiperhivatkozs"/>
                </w:rPr>
                <w:t>gonye.jozsef@hevizgamesz.hu</w:t>
              </w:r>
            </w:hyperlink>
            <w:r w:rsidR="00B76D1B" w:rsidRPr="006878FA">
              <w:t xml:space="preserve"> </w:t>
            </w:r>
          </w:p>
          <w:p w:rsidR="00B76D1B" w:rsidRPr="006878FA" w:rsidRDefault="005272F4" w:rsidP="000E4587">
            <w:pPr>
              <w:jc w:val="both"/>
              <w:rPr>
                <w:b/>
              </w:rPr>
            </w:pPr>
            <w:r>
              <w:rPr>
                <w:b/>
              </w:rPr>
              <w:t>Musa Emese</w:t>
            </w:r>
            <w:r w:rsidR="00B76D1B" w:rsidRPr="006878FA">
              <w:rPr>
                <w:b/>
              </w:rPr>
              <w:t xml:space="preserve"> – </w:t>
            </w:r>
            <w:r>
              <w:rPr>
                <w:b/>
              </w:rPr>
              <w:t>élelmezésvezető</w:t>
            </w:r>
          </w:p>
          <w:p w:rsidR="00B76D1B" w:rsidRPr="006878FA" w:rsidRDefault="005272F4" w:rsidP="000E4587">
            <w:pPr>
              <w:jc w:val="both"/>
            </w:pPr>
            <w:r>
              <w:t>telefon: 06-83/343-400</w:t>
            </w:r>
          </w:p>
          <w:p w:rsidR="00B76D1B" w:rsidRPr="006878FA" w:rsidRDefault="00B76D1B" w:rsidP="005272F4">
            <w:pPr>
              <w:jc w:val="both"/>
            </w:pPr>
            <w:r w:rsidRPr="006878FA">
              <w:t xml:space="preserve">e-mail: </w:t>
            </w:r>
            <w:hyperlink r:id="rId9" w:history="1">
              <w:r w:rsidR="005272F4" w:rsidRPr="0099485D">
                <w:rPr>
                  <w:rStyle w:val="Hiperhivatkozs"/>
                </w:rPr>
                <w:t>musa.emese@hevizgamesz.hu</w:t>
              </w:r>
            </w:hyperlink>
            <w:r w:rsidRPr="006878FA">
              <w:t xml:space="preserve"> </w:t>
            </w:r>
          </w:p>
        </w:tc>
      </w:tr>
      <w:tr w:rsidR="000E4587" w:rsidRPr="006878FA" w:rsidTr="004C1301">
        <w:trPr>
          <w:trHeight w:val="584"/>
        </w:trPr>
        <w:tc>
          <w:tcPr>
            <w:tcW w:w="9924" w:type="dxa"/>
            <w:gridSpan w:val="2"/>
            <w:vAlign w:val="center"/>
          </w:tcPr>
          <w:p w:rsidR="000E4587" w:rsidRPr="006878FA" w:rsidRDefault="000E4587" w:rsidP="00463FFC">
            <w:pPr>
              <w:pStyle w:val="Szvegtrzs"/>
              <w:jc w:val="center"/>
              <w:rPr>
                <w:b/>
                <w:sz w:val="24"/>
                <w:szCs w:val="24"/>
              </w:rPr>
            </w:pPr>
            <w:r w:rsidRPr="006878FA">
              <w:rPr>
                <w:b/>
                <w:sz w:val="24"/>
                <w:szCs w:val="24"/>
              </w:rPr>
              <w:t>II. BESZERZÉS</w:t>
            </w:r>
          </w:p>
        </w:tc>
      </w:tr>
      <w:tr w:rsidR="000E4587" w:rsidRPr="006878FA" w:rsidTr="004C1301">
        <w:trPr>
          <w:trHeight w:val="510"/>
        </w:trPr>
        <w:tc>
          <w:tcPr>
            <w:tcW w:w="3969" w:type="dxa"/>
            <w:vAlign w:val="center"/>
          </w:tcPr>
          <w:p w:rsidR="000E4587" w:rsidRPr="006878FA" w:rsidRDefault="000E4587" w:rsidP="000E4587">
            <w:pPr>
              <w:pStyle w:val="Szvegtrzs"/>
              <w:numPr>
                <w:ilvl w:val="0"/>
                <w:numId w:val="5"/>
              </w:numPr>
              <w:overflowPunct w:val="0"/>
              <w:autoSpaceDE w:val="0"/>
              <w:autoSpaceDN w:val="0"/>
              <w:adjustRightInd w:val="0"/>
              <w:ind w:left="492"/>
              <w:jc w:val="left"/>
              <w:textAlignment w:val="baseline"/>
              <w:rPr>
                <w:sz w:val="24"/>
                <w:szCs w:val="24"/>
              </w:rPr>
            </w:pPr>
            <w:r w:rsidRPr="006878FA">
              <w:rPr>
                <w:sz w:val="24"/>
                <w:szCs w:val="24"/>
              </w:rPr>
              <w:t>Beszerzés tárgya:</w:t>
            </w:r>
          </w:p>
        </w:tc>
        <w:tc>
          <w:tcPr>
            <w:tcW w:w="5955" w:type="dxa"/>
            <w:vAlign w:val="center"/>
          </w:tcPr>
          <w:p w:rsidR="000E4587" w:rsidRPr="006878FA" w:rsidRDefault="005F685E" w:rsidP="00CA2DE5">
            <w:pPr>
              <w:jc w:val="both"/>
              <w:rPr>
                <w:b/>
              </w:rPr>
            </w:pPr>
            <w:r w:rsidRPr="006878FA">
              <w:rPr>
                <w:b/>
              </w:rPr>
              <w:t>„</w:t>
            </w:r>
            <w:r w:rsidR="005272F4" w:rsidRPr="005272F4">
              <w:rPr>
                <w:b/>
              </w:rPr>
              <w:t>Hévíz Város Önkormányzat Gazdasági</w:t>
            </w:r>
            <w:r w:rsidR="005272F4">
              <w:rPr>
                <w:b/>
              </w:rPr>
              <w:t>,</w:t>
            </w:r>
            <w:r w:rsidR="005272F4" w:rsidRPr="005272F4">
              <w:rPr>
                <w:b/>
              </w:rPr>
              <w:t xml:space="preserve"> Műszak</w:t>
            </w:r>
            <w:r w:rsidR="00CA2DE5">
              <w:rPr>
                <w:b/>
              </w:rPr>
              <w:t xml:space="preserve">i Ellátó Szervezet részére, 2026. </w:t>
            </w:r>
            <w:r w:rsidR="005272F4" w:rsidRPr="005272F4">
              <w:rPr>
                <w:b/>
              </w:rPr>
              <w:t>évi közétkeztetéshez szükséges nyersanyagok és élelmiszerek beszerzése</w:t>
            </w:r>
            <w:r w:rsidR="005272F4">
              <w:rPr>
                <w:b/>
              </w:rPr>
              <w:t>”</w:t>
            </w:r>
          </w:p>
        </w:tc>
      </w:tr>
      <w:tr w:rsidR="000E4587" w:rsidRPr="006878FA" w:rsidTr="004C1301">
        <w:trPr>
          <w:trHeight w:val="646"/>
        </w:trPr>
        <w:tc>
          <w:tcPr>
            <w:tcW w:w="3969" w:type="dxa"/>
            <w:vAlign w:val="center"/>
          </w:tcPr>
          <w:p w:rsidR="000E4587" w:rsidRPr="006878FA" w:rsidRDefault="000E4587" w:rsidP="000E4587">
            <w:pPr>
              <w:pStyle w:val="Szvegtrzs"/>
              <w:numPr>
                <w:ilvl w:val="0"/>
                <w:numId w:val="5"/>
              </w:numPr>
              <w:overflowPunct w:val="0"/>
              <w:autoSpaceDE w:val="0"/>
              <w:autoSpaceDN w:val="0"/>
              <w:adjustRightInd w:val="0"/>
              <w:ind w:left="492"/>
              <w:jc w:val="left"/>
              <w:textAlignment w:val="baseline"/>
              <w:rPr>
                <w:sz w:val="24"/>
                <w:szCs w:val="24"/>
              </w:rPr>
            </w:pPr>
            <w:r w:rsidRPr="006878FA">
              <w:rPr>
                <w:sz w:val="24"/>
                <w:szCs w:val="24"/>
              </w:rPr>
              <w:t>Beszerzés mennyisége:</w:t>
            </w:r>
          </w:p>
        </w:tc>
        <w:tc>
          <w:tcPr>
            <w:tcW w:w="5955" w:type="dxa"/>
            <w:vAlign w:val="center"/>
          </w:tcPr>
          <w:p w:rsidR="005D21F2" w:rsidRPr="006878FA" w:rsidRDefault="005D21F2" w:rsidP="005D21F2">
            <w:pPr>
              <w:jc w:val="both"/>
              <w:rPr>
                <w:iCs/>
              </w:rPr>
            </w:pPr>
            <w:r w:rsidRPr="006878FA">
              <w:rPr>
                <w:iCs/>
              </w:rPr>
              <w:t>Hévíz Város Önkormányzat Gazdasági Műszaki E</w:t>
            </w:r>
            <w:r w:rsidR="001806AB">
              <w:rPr>
                <w:iCs/>
              </w:rPr>
              <w:t>llátó Szer</w:t>
            </w:r>
            <w:r w:rsidR="00CA2DE5">
              <w:rPr>
                <w:iCs/>
              </w:rPr>
              <w:t>vezet részére 2026-ba</w:t>
            </w:r>
            <w:r w:rsidR="005272F4">
              <w:rPr>
                <w:iCs/>
              </w:rPr>
              <w:t>n</w:t>
            </w:r>
            <w:r w:rsidRPr="006878FA">
              <w:rPr>
                <w:iCs/>
              </w:rPr>
              <w:t>:</w:t>
            </w:r>
          </w:p>
          <w:p w:rsidR="005D21F2" w:rsidRPr="006878FA" w:rsidRDefault="005D21F2" w:rsidP="005D21F2">
            <w:pPr>
              <w:jc w:val="both"/>
              <w:rPr>
                <w:iCs/>
              </w:rPr>
            </w:pPr>
          </w:p>
          <w:p w:rsidR="005D21F2" w:rsidRDefault="005272F4" w:rsidP="005272F4">
            <w:pPr>
              <w:jc w:val="both"/>
              <w:rPr>
                <w:iCs/>
              </w:rPr>
            </w:pPr>
            <w:r>
              <w:rPr>
                <w:iCs/>
              </w:rPr>
              <w:t>„Hévíz Város Önkormányzat Gazdasági, Műszaki Ellátó Szervezet ré</w:t>
            </w:r>
            <w:r w:rsidR="00C365E5">
              <w:rPr>
                <w:iCs/>
              </w:rPr>
              <w:t>szére, 2026</w:t>
            </w:r>
            <w:r>
              <w:rPr>
                <w:iCs/>
              </w:rPr>
              <w:t>. évi közétkeztetéshez szükséges nyersanyagok és élelmiszerek beszerzése”</w:t>
            </w:r>
          </w:p>
          <w:p w:rsidR="005272F4" w:rsidRPr="005272F4" w:rsidRDefault="005272F4" w:rsidP="005272F4">
            <w:pPr>
              <w:jc w:val="both"/>
              <w:rPr>
                <w:iCs/>
              </w:rPr>
            </w:pPr>
          </w:p>
          <w:p w:rsidR="005272F4" w:rsidRPr="00F02383" w:rsidRDefault="005272F4" w:rsidP="005272F4">
            <w:pPr>
              <w:ind w:right="56"/>
              <w:jc w:val="both"/>
              <w:rPr>
                <w:rFonts w:eastAsia="Times New Roman"/>
                <w:bCs/>
              </w:rPr>
            </w:pPr>
            <w:r w:rsidRPr="005F20EF">
              <w:rPr>
                <w:rFonts w:eastAsia="Times New Roman"/>
                <w:bCs/>
              </w:rPr>
              <w:t>A</w:t>
            </w:r>
            <w:r>
              <w:rPr>
                <w:rFonts w:eastAsia="Times New Roman"/>
                <w:bCs/>
              </w:rPr>
              <w:t>z Ajánlattételi felhívás 4.1-4.8</w:t>
            </w:r>
            <w:r w:rsidRPr="005F20EF">
              <w:rPr>
                <w:rFonts w:eastAsia="Times New Roman"/>
                <w:bCs/>
              </w:rPr>
              <w:t xml:space="preserve">. számú mellékleteként csatolt „Termékcsoportok </w:t>
            </w:r>
            <w:proofErr w:type="spellStart"/>
            <w:r w:rsidRPr="005F20EF">
              <w:rPr>
                <w:rFonts w:eastAsia="Times New Roman"/>
                <w:bCs/>
              </w:rPr>
              <w:t>részenkénti</w:t>
            </w:r>
            <w:proofErr w:type="spellEnd"/>
            <w:r w:rsidRPr="005F20EF">
              <w:rPr>
                <w:rFonts w:eastAsia="Times New Roman"/>
                <w:bCs/>
              </w:rPr>
              <w:t xml:space="preserve"> egységár táblázatában” szereplő élelmiszerek beszerzése 20</w:t>
            </w:r>
            <w:r w:rsidR="00C365E5">
              <w:rPr>
                <w:rFonts w:eastAsia="Times New Roman"/>
                <w:bCs/>
              </w:rPr>
              <w:t>26</w:t>
            </w:r>
            <w:r w:rsidRPr="005F20EF">
              <w:rPr>
                <w:rFonts w:eastAsia="Times New Roman"/>
                <w:bCs/>
              </w:rPr>
              <w:t>.</w:t>
            </w:r>
            <w:r w:rsidR="00C365E5">
              <w:rPr>
                <w:rFonts w:eastAsia="Times New Roman"/>
                <w:bCs/>
              </w:rPr>
              <w:t xml:space="preserve"> január</w:t>
            </w:r>
            <w:r>
              <w:rPr>
                <w:rFonts w:eastAsia="Times New Roman"/>
                <w:bCs/>
              </w:rPr>
              <w:t xml:space="preserve"> 1</w:t>
            </w:r>
            <w:r w:rsidRPr="00F02383">
              <w:rPr>
                <w:rFonts w:eastAsia="Times New Roman"/>
                <w:bCs/>
              </w:rPr>
              <w:t>. és 202</w:t>
            </w:r>
            <w:r w:rsidR="00C365E5">
              <w:rPr>
                <w:rFonts w:eastAsia="Times New Roman"/>
                <w:bCs/>
              </w:rPr>
              <w:t>6</w:t>
            </w:r>
            <w:r w:rsidRPr="00F02383">
              <w:rPr>
                <w:rFonts w:eastAsia="Times New Roman"/>
                <w:bCs/>
              </w:rPr>
              <w:t>.</w:t>
            </w:r>
            <w:r>
              <w:rPr>
                <w:rFonts w:eastAsia="Times New Roman"/>
                <w:bCs/>
              </w:rPr>
              <w:t xml:space="preserve"> december 31</w:t>
            </w:r>
            <w:r w:rsidRPr="00F02383">
              <w:rPr>
                <w:rFonts w:eastAsia="Times New Roman"/>
                <w:bCs/>
              </w:rPr>
              <w:t>. közötti időszakra:</w:t>
            </w:r>
          </w:p>
          <w:p w:rsidR="005272F4" w:rsidRPr="00F02383" w:rsidRDefault="005272F4" w:rsidP="005272F4">
            <w:pPr>
              <w:ind w:right="56"/>
              <w:jc w:val="both"/>
              <w:rPr>
                <w:rFonts w:eastAsia="Times New Roman"/>
                <w:bCs/>
              </w:rPr>
            </w:pPr>
          </w:p>
          <w:p w:rsidR="005272F4" w:rsidRPr="005F20EF" w:rsidRDefault="005272F4" w:rsidP="005272F4">
            <w:pPr>
              <w:ind w:left="66"/>
              <w:rPr>
                <w:rFonts w:eastAsia="Times New Roman"/>
              </w:rPr>
            </w:pPr>
            <w:r w:rsidRPr="005F20EF">
              <w:rPr>
                <w:rFonts w:eastAsia="Times New Roman"/>
              </w:rPr>
              <w:t>1. rész: Tej és tejtermékek</w:t>
            </w:r>
          </w:p>
          <w:p w:rsidR="005272F4" w:rsidRPr="005F20EF" w:rsidRDefault="005272F4" w:rsidP="005272F4">
            <w:pPr>
              <w:ind w:left="66"/>
              <w:rPr>
                <w:rFonts w:eastAsia="Times New Roman"/>
              </w:rPr>
            </w:pPr>
            <w:r w:rsidRPr="005F20EF">
              <w:rPr>
                <w:rFonts w:eastAsia="Times New Roman"/>
              </w:rPr>
              <w:t>2. rész: Hús</w:t>
            </w:r>
          </w:p>
          <w:p w:rsidR="005272F4" w:rsidRPr="005F20EF" w:rsidRDefault="005272F4" w:rsidP="005272F4">
            <w:pPr>
              <w:ind w:left="66"/>
              <w:rPr>
                <w:rFonts w:eastAsia="Times New Roman"/>
              </w:rPr>
            </w:pPr>
            <w:r w:rsidRPr="005F20EF">
              <w:rPr>
                <w:rFonts w:eastAsia="Times New Roman"/>
              </w:rPr>
              <w:t>3. rész: Húskészítmények</w:t>
            </w:r>
          </w:p>
          <w:p w:rsidR="005272F4" w:rsidRPr="005F20EF" w:rsidRDefault="005272F4" w:rsidP="005272F4">
            <w:pPr>
              <w:ind w:left="66"/>
              <w:rPr>
                <w:rFonts w:eastAsia="Times New Roman"/>
              </w:rPr>
            </w:pPr>
            <w:r w:rsidRPr="005F20EF">
              <w:rPr>
                <w:rFonts w:eastAsia="Times New Roman"/>
              </w:rPr>
              <w:t xml:space="preserve">4. rész: </w:t>
            </w:r>
            <w:proofErr w:type="spellStart"/>
            <w:r w:rsidRPr="005F20EF">
              <w:rPr>
                <w:rFonts w:eastAsia="Times New Roman"/>
              </w:rPr>
              <w:t>Gluténmentes</w:t>
            </w:r>
            <w:proofErr w:type="spellEnd"/>
            <w:r w:rsidRPr="005F20EF">
              <w:rPr>
                <w:rFonts w:eastAsia="Times New Roman"/>
              </w:rPr>
              <w:t xml:space="preserve"> termékek</w:t>
            </w:r>
          </w:p>
          <w:p w:rsidR="005272F4" w:rsidRPr="005F20EF" w:rsidRDefault="005272F4" w:rsidP="005272F4">
            <w:pPr>
              <w:ind w:left="66"/>
              <w:rPr>
                <w:rFonts w:eastAsia="Times New Roman"/>
              </w:rPr>
            </w:pPr>
            <w:r w:rsidRPr="005F20EF">
              <w:rPr>
                <w:rFonts w:eastAsia="Times New Roman"/>
              </w:rPr>
              <w:t xml:space="preserve">5. rész: Száraz áru </w:t>
            </w:r>
          </w:p>
          <w:p w:rsidR="005272F4" w:rsidRPr="005F20EF" w:rsidRDefault="005272F4" w:rsidP="005272F4">
            <w:pPr>
              <w:ind w:left="66"/>
              <w:rPr>
                <w:rFonts w:eastAsia="Times New Roman"/>
              </w:rPr>
            </w:pPr>
            <w:r w:rsidRPr="005F20EF">
              <w:rPr>
                <w:rFonts w:eastAsia="Times New Roman"/>
              </w:rPr>
              <w:t xml:space="preserve">6. rész: Fagyasztott termékek </w:t>
            </w:r>
          </w:p>
          <w:p w:rsidR="005272F4" w:rsidRPr="005F20EF" w:rsidRDefault="005272F4" w:rsidP="005272F4">
            <w:pPr>
              <w:ind w:left="66"/>
              <w:rPr>
                <w:rFonts w:eastAsia="Times New Roman"/>
              </w:rPr>
            </w:pPr>
            <w:r w:rsidRPr="005F20EF">
              <w:rPr>
                <w:rFonts w:eastAsia="Times New Roman"/>
              </w:rPr>
              <w:t>7. rész: Kenyér és pékáru</w:t>
            </w:r>
          </w:p>
          <w:p w:rsidR="005272F4" w:rsidRPr="005F20EF" w:rsidRDefault="005272F4" w:rsidP="005272F4">
            <w:pPr>
              <w:ind w:left="66"/>
              <w:rPr>
                <w:rFonts w:eastAsia="Times New Roman"/>
              </w:rPr>
            </w:pPr>
            <w:r w:rsidRPr="005F20EF">
              <w:rPr>
                <w:rFonts w:eastAsia="Times New Roman"/>
              </w:rPr>
              <w:t>8. rész: Zöldség, gyümölcs</w:t>
            </w:r>
          </w:p>
          <w:p w:rsidR="005272F4" w:rsidRPr="005F20EF" w:rsidRDefault="005272F4" w:rsidP="005272F4">
            <w:pPr>
              <w:ind w:left="66"/>
              <w:rPr>
                <w:rFonts w:eastAsia="Times New Roman"/>
              </w:rPr>
            </w:pPr>
          </w:p>
          <w:p w:rsidR="005272F4" w:rsidRPr="005F20EF" w:rsidRDefault="005272F4" w:rsidP="005272F4">
            <w:pPr>
              <w:ind w:right="57"/>
              <w:jc w:val="both"/>
              <w:rPr>
                <w:rFonts w:eastAsia="Times New Roman"/>
                <w:bCs/>
              </w:rPr>
            </w:pPr>
            <w:r w:rsidRPr="005F20EF">
              <w:rPr>
                <w:rFonts w:eastAsia="Times New Roman"/>
                <w:bCs/>
              </w:rPr>
              <w:t xml:space="preserve">A megrendelt áruk forgalmazásának meg kell felelnie az élelmiszerláncról és hatósági felügyeletéről szóló 2008. évi XLVI. törvény 14. § (2) bekezdésében foglaltaknak, a leszállított termékek meg </w:t>
            </w:r>
            <w:proofErr w:type="gramStart"/>
            <w:r w:rsidRPr="005F20EF">
              <w:rPr>
                <w:rFonts w:eastAsia="Times New Roman"/>
                <w:bCs/>
              </w:rPr>
              <w:t>kell</w:t>
            </w:r>
            <w:proofErr w:type="gramEnd"/>
            <w:r w:rsidRPr="005F20EF">
              <w:rPr>
                <w:rFonts w:eastAsia="Times New Roman"/>
                <w:bCs/>
              </w:rPr>
              <w:t xml:space="preserve"> feleljenek a 152/2009. (XI. 12.) FVM rendelettel kiadott Magyar Élelmiszerkönyv vonatkozó előírásainak és az ún. Jó Higiéniai Gyakorlatoknak, az élelmiszer-szállító járműveknek és az </w:t>
            </w:r>
            <w:r w:rsidRPr="005F20EF">
              <w:rPr>
                <w:rFonts w:eastAsia="Times New Roman"/>
                <w:bCs/>
              </w:rPr>
              <w:lastRenderedPageBreak/>
              <w:t>azokban alkalmazott tároló edényeknek meg kell felelniük a 852/2004/EK-rendelet követelményeinek, míg az áru jelölésének az élelmiszerek jelöléséről szóló 19/2004. (II. 26.) FVM-</w:t>
            </w:r>
            <w:proofErr w:type="spellStart"/>
            <w:r w:rsidRPr="005F20EF">
              <w:rPr>
                <w:rFonts w:eastAsia="Times New Roman"/>
                <w:bCs/>
              </w:rPr>
              <w:t>ESzCsM</w:t>
            </w:r>
            <w:proofErr w:type="spellEnd"/>
            <w:r w:rsidRPr="005F20EF">
              <w:rPr>
                <w:rFonts w:eastAsia="Times New Roman"/>
                <w:bCs/>
              </w:rPr>
              <w:t>-GKM együttes rendelet szabályainak.</w:t>
            </w:r>
          </w:p>
          <w:p w:rsidR="005272F4" w:rsidRPr="005F20EF" w:rsidRDefault="005272F4" w:rsidP="005272F4">
            <w:pPr>
              <w:ind w:right="57"/>
              <w:jc w:val="both"/>
              <w:rPr>
                <w:rFonts w:eastAsia="Times New Roman"/>
                <w:bCs/>
              </w:rPr>
            </w:pPr>
            <w:r w:rsidRPr="005F20EF">
              <w:rPr>
                <w:rFonts w:eastAsia="Times New Roman"/>
                <w:bCs/>
              </w:rPr>
              <w:t>Az ajánlattevő az osztályba sorolható termékek esetében kizárólag I. osztályú minőségű árura vonatkozóan tehet árajánlatot, és szerződés teljesítése során is kizárólag I. osztályú minőségű árut szállíthat.</w:t>
            </w:r>
          </w:p>
          <w:p w:rsidR="005272F4" w:rsidRPr="005F20EF" w:rsidRDefault="005272F4" w:rsidP="005272F4">
            <w:pPr>
              <w:ind w:right="57"/>
              <w:jc w:val="both"/>
              <w:rPr>
                <w:rFonts w:eastAsia="Times New Roman"/>
                <w:bCs/>
              </w:rPr>
            </w:pPr>
            <w:r w:rsidRPr="005F20EF">
              <w:rPr>
                <w:rFonts w:eastAsia="Times New Roman"/>
                <w:bCs/>
              </w:rPr>
              <w:t>Termékenként és részenként a megadott mennyiségektől +30 %-</w:t>
            </w:r>
            <w:proofErr w:type="spellStart"/>
            <w:r w:rsidRPr="005F20EF">
              <w:rPr>
                <w:rFonts w:eastAsia="Times New Roman"/>
                <w:bCs/>
              </w:rPr>
              <w:t>kal</w:t>
            </w:r>
            <w:proofErr w:type="spellEnd"/>
            <w:r w:rsidRPr="005F20EF">
              <w:rPr>
                <w:rFonts w:eastAsia="Times New Roman"/>
                <w:bCs/>
              </w:rPr>
              <w:t xml:space="preserve"> való eltérés lehetséges, illetőleg a megadott mennyiség 30 %-a vételi opcióként kerül meghatározásra, melynek igénybe vétele a konyha alapanyag-felhasználásának függvénye.</w:t>
            </w:r>
          </w:p>
          <w:p w:rsidR="005272F4" w:rsidRPr="005F20EF" w:rsidRDefault="005272F4" w:rsidP="005272F4">
            <w:pPr>
              <w:ind w:right="57"/>
              <w:jc w:val="both"/>
              <w:rPr>
                <w:rFonts w:eastAsia="Times New Roman"/>
                <w:bCs/>
              </w:rPr>
            </w:pPr>
          </w:p>
          <w:p w:rsidR="004C7A75" w:rsidRPr="006878FA" w:rsidRDefault="004C7A75" w:rsidP="00AC7B3A">
            <w:pPr>
              <w:jc w:val="both"/>
              <w:rPr>
                <w:b/>
                <w:iCs/>
              </w:rPr>
            </w:pPr>
          </w:p>
        </w:tc>
      </w:tr>
      <w:tr w:rsidR="000E4587" w:rsidRPr="006878FA" w:rsidTr="004C1301">
        <w:trPr>
          <w:trHeight w:val="646"/>
        </w:trPr>
        <w:tc>
          <w:tcPr>
            <w:tcW w:w="3969" w:type="dxa"/>
            <w:vAlign w:val="center"/>
          </w:tcPr>
          <w:p w:rsidR="000E4587" w:rsidRPr="006878FA" w:rsidRDefault="000E4587" w:rsidP="000E4587">
            <w:pPr>
              <w:pStyle w:val="Szvegtrzs"/>
              <w:numPr>
                <w:ilvl w:val="0"/>
                <w:numId w:val="5"/>
              </w:numPr>
              <w:overflowPunct w:val="0"/>
              <w:autoSpaceDE w:val="0"/>
              <w:autoSpaceDN w:val="0"/>
              <w:adjustRightInd w:val="0"/>
              <w:ind w:left="492"/>
              <w:jc w:val="left"/>
              <w:textAlignment w:val="baseline"/>
              <w:rPr>
                <w:sz w:val="24"/>
                <w:szCs w:val="24"/>
              </w:rPr>
            </w:pPr>
            <w:r w:rsidRPr="006878FA">
              <w:rPr>
                <w:sz w:val="24"/>
                <w:szCs w:val="24"/>
              </w:rPr>
              <w:lastRenderedPageBreak/>
              <w:t>Teljesítésének a helye és módja:</w:t>
            </w:r>
          </w:p>
        </w:tc>
        <w:tc>
          <w:tcPr>
            <w:tcW w:w="5955" w:type="dxa"/>
            <w:vAlign w:val="center"/>
          </w:tcPr>
          <w:p w:rsidR="004C7A75" w:rsidRPr="006878FA" w:rsidRDefault="005272F4" w:rsidP="00184906">
            <w:pPr>
              <w:rPr>
                <w:iCs/>
              </w:rPr>
            </w:pPr>
            <w:r w:rsidRPr="005272F4">
              <w:rPr>
                <w:iCs/>
              </w:rPr>
              <w:t>8380 Hévíz, Kossuth L. u. 4/a</w:t>
            </w:r>
            <w:proofErr w:type="gramStart"/>
            <w:r w:rsidRPr="005272F4">
              <w:rPr>
                <w:iCs/>
              </w:rPr>
              <w:t>.,</w:t>
            </w:r>
            <w:proofErr w:type="gramEnd"/>
            <w:r w:rsidRPr="005272F4">
              <w:rPr>
                <w:iCs/>
              </w:rPr>
              <w:t xml:space="preserve"> címre szállítva.</w:t>
            </w:r>
          </w:p>
        </w:tc>
      </w:tr>
      <w:tr w:rsidR="000E4587" w:rsidRPr="006878FA" w:rsidTr="004C1301">
        <w:trPr>
          <w:trHeight w:val="646"/>
        </w:trPr>
        <w:tc>
          <w:tcPr>
            <w:tcW w:w="3969" w:type="dxa"/>
            <w:vAlign w:val="center"/>
          </w:tcPr>
          <w:p w:rsidR="000E4587" w:rsidRPr="006878FA" w:rsidRDefault="000E4587" w:rsidP="000E4587">
            <w:pPr>
              <w:pStyle w:val="Szvegtrzs"/>
              <w:numPr>
                <w:ilvl w:val="0"/>
                <w:numId w:val="5"/>
              </w:numPr>
              <w:overflowPunct w:val="0"/>
              <w:autoSpaceDE w:val="0"/>
              <w:autoSpaceDN w:val="0"/>
              <w:adjustRightInd w:val="0"/>
              <w:ind w:left="492"/>
              <w:jc w:val="left"/>
              <w:textAlignment w:val="baseline"/>
              <w:rPr>
                <w:sz w:val="24"/>
                <w:szCs w:val="24"/>
              </w:rPr>
            </w:pPr>
            <w:r w:rsidRPr="006878FA">
              <w:rPr>
                <w:sz w:val="24"/>
                <w:szCs w:val="24"/>
              </w:rPr>
              <w:t>Részekre történő ajánlattétel:</w:t>
            </w:r>
          </w:p>
        </w:tc>
        <w:tc>
          <w:tcPr>
            <w:tcW w:w="5955" w:type="dxa"/>
            <w:vAlign w:val="center"/>
          </w:tcPr>
          <w:p w:rsidR="005272F4" w:rsidRDefault="005272F4" w:rsidP="00463FFC">
            <w:pPr>
              <w:pStyle w:val="Szvegtrzs"/>
              <w:jc w:val="left"/>
              <w:rPr>
                <w:sz w:val="24"/>
                <w:szCs w:val="24"/>
              </w:rPr>
            </w:pPr>
            <w:r w:rsidRPr="005272F4">
              <w:rPr>
                <w:sz w:val="24"/>
                <w:szCs w:val="24"/>
              </w:rPr>
              <w:t xml:space="preserve">Minden részre külön kell ajánlatot tenni (1-8, azaz összesen 8 termékcsoportonként megjelölt részfeladatra). </w:t>
            </w:r>
          </w:p>
          <w:p w:rsidR="000E4587" w:rsidRPr="006878FA" w:rsidRDefault="005272F4" w:rsidP="00463FFC">
            <w:pPr>
              <w:pStyle w:val="Szvegtrzs"/>
              <w:jc w:val="left"/>
              <w:rPr>
                <w:sz w:val="24"/>
                <w:szCs w:val="24"/>
              </w:rPr>
            </w:pPr>
            <w:r w:rsidRPr="005272F4">
              <w:rPr>
                <w:sz w:val="24"/>
                <w:szCs w:val="24"/>
              </w:rPr>
              <w:t>Ajánlat adható 1 részre is.</w:t>
            </w:r>
          </w:p>
        </w:tc>
      </w:tr>
      <w:tr w:rsidR="000E4587" w:rsidRPr="006878FA" w:rsidTr="004C1301">
        <w:trPr>
          <w:trHeight w:val="646"/>
        </w:trPr>
        <w:tc>
          <w:tcPr>
            <w:tcW w:w="3969" w:type="dxa"/>
            <w:vAlign w:val="center"/>
          </w:tcPr>
          <w:p w:rsidR="000E4587" w:rsidRPr="006878FA" w:rsidRDefault="000E4587" w:rsidP="000E4587">
            <w:pPr>
              <w:pStyle w:val="Szvegtrzs"/>
              <w:numPr>
                <w:ilvl w:val="0"/>
                <w:numId w:val="5"/>
              </w:numPr>
              <w:overflowPunct w:val="0"/>
              <w:autoSpaceDE w:val="0"/>
              <w:autoSpaceDN w:val="0"/>
              <w:adjustRightInd w:val="0"/>
              <w:ind w:left="492"/>
              <w:jc w:val="left"/>
              <w:textAlignment w:val="baseline"/>
              <w:rPr>
                <w:sz w:val="24"/>
                <w:szCs w:val="24"/>
              </w:rPr>
            </w:pPr>
            <w:r w:rsidRPr="006878FA">
              <w:rPr>
                <w:sz w:val="24"/>
                <w:szCs w:val="24"/>
              </w:rPr>
              <w:t>Elfogadhatók-e változatok:</w:t>
            </w:r>
          </w:p>
        </w:tc>
        <w:tc>
          <w:tcPr>
            <w:tcW w:w="5955" w:type="dxa"/>
            <w:vAlign w:val="center"/>
          </w:tcPr>
          <w:p w:rsidR="000E4587" w:rsidRPr="006878FA" w:rsidRDefault="004C1301" w:rsidP="00463FFC">
            <w:pPr>
              <w:pStyle w:val="Szvegtrzs"/>
              <w:jc w:val="left"/>
              <w:rPr>
                <w:sz w:val="24"/>
                <w:szCs w:val="24"/>
              </w:rPr>
            </w:pPr>
            <w:r w:rsidRPr="006878FA">
              <w:rPr>
                <w:sz w:val="24"/>
                <w:szCs w:val="24"/>
              </w:rPr>
              <w:t>nem</w:t>
            </w:r>
          </w:p>
        </w:tc>
      </w:tr>
      <w:tr w:rsidR="000E4587" w:rsidRPr="006878FA" w:rsidTr="004C1301">
        <w:trPr>
          <w:trHeight w:val="646"/>
        </w:trPr>
        <w:tc>
          <w:tcPr>
            <w:tcW w:w="3969" w:type="dxa"/>
            <w:vAlign w:val="center"/>
          </w:tcPr>
          <w:p w:rsidR="000E4587" w:rsidRPr="006878FA" w:rsidRDefault="000E4587" w:rsidP="000E4587">
            <w:pPr>
              <w:pStyle w:val="Szvegtrzs"/>
              <w:numPr>
                <w:ilvl w:val="0"/>
                <w:numId w:val="5"/>
              </w:numPr>
              <w:overflowPunct w:val="0"/>
              <w:autoSpaceDE w:val="0"/>
              <w:autoSpaceDN w:val="0"/>
              <w:adjustRightInd w:val="0"/>
              <w:ind w:left="492"/>
              <w:jc w:val="left"/>
              <w:textAlignment w:val="baseline"/>
              <w:rPr>
                <w:sz w:val="24"/>
                <w:szCs w:val="24"/>
              </w:rPr>
            </w:pPr>
            <w:r w:rsidRPr="006878FA">
              <w:rPr>
                <w:sz w:val="24"/>
                <w:szCs w:val="24"/>
              </w:rPr>
              <w:t>A szerződés időtartama, a teljesítés határideje:</w:t>
            </w:r>
          </w:p>
        </w:tc>
        <w:tc>
          <w:tcPr>
            <w:tcW w:w="5955" w:type="dxa"/>
            <w:vAlign w:val="center"/>
          </w:tcPr>
          <w:p w:rsidR="007B6FD7" w:rsidRPr="006878FA" w:rsidRDefault="004F76E1" w:rsidP="005272F4">
            <w:pPr>
              <w:tabs>
                <w:tab w:val="left" w:pos="2772"/>
              </w:tabs>
              <w:ind w:right="-58"/>
              <w:jc w:val="both"/>
            </w:pPr>
            <w:r>
              <w:rPr>
                <w:b/>
                <w:iCs/>
              </w:rPr>
              <w:t>2026.01</w:t>
            </w:r>
            <w:r w:rsidR="00D876BC" w:rsidRPr="001A1EC0">
              <w:rPr>
                <w:b/>
                <w:iCs/>
              </w:rPr>
              <w:t>.</w:t>
            </w:r>
            <w:r w:rsidR="005272F4">
              <w:rPr>
                <w:b/>
                <w:iCs/>
              </w:rPr>
              <w:t>01</w:t>
            </w:r>
            <w:r w:rsidR="00D876BC" w:rsidRPr="001A1EC0">
              <w:rPr>
                <w:b/>
                <w:iCs/>
              </w:rPr>
              <w:t>.</w:t>
            </w:r>
            <w:r>
              <w:rPr>
                <w:b/>
                <w:iCs/>
              </w:rPr>
              <w:t xml:space="preserve"> - 2026</w:t>
            </w:r>
            <w:r w:rsidR="00A26F04" w:rsidRPr="001A1EC0">
              <w:rPr>
                <w:b/>
                <w:iCs/>
              </w:rPr>
              <w:t>.1</w:t>
            </w:r>
            <w:r w:rsidR="005272F4">
              <w:rPr>
                <w:b/>
                <w:iCs/>
              </w:rPr>
              <w:t>2.31</w:t>
            </w:r>
            <w:r w:rsidR="00A26F04" w:rsidRPr="001A1EC0">
              <w:rPr>
                <w:b/>
                <w:iCs/>
              </w:rPr>
              <w:t>.</w:t>
            </w:r>
          </w:p>
        </w:tc>
      </w:tr>
      <w:tr w:rsidR="000E4587" w:rsidRPr="006878FA" w:rsidTr="004C1301">
        <w:trPr>
          <w:trHeight w:val="584"/>
        </w:trPr>
        <w:tc>
          <w:tcPr>
            <w:tcW w:w="9924" w:type="dxa"/>
            <w:gridSpan w:val="2"/>
            <w:vAlign w:val="center"/>
          </w:tcPr>
          <w:p w:rsidR="000E4587" w:rsidRPr="006878FA" w:rsidRDefault="000E4587" w:rsidP="00463FFC">
            <w:pPr>
              <w:pStyle w:val="Szvegtrzs"/>
              <w:jc w:val="center"/>
              <w:rPr>
                <w:b/>
                <w:sz w:val="24"/>
                <w:szCs w:val="24"/>
              </w:rPr>
            </w:pPr>
            <w:r w:rsidRPr="006878FA">
              <w:rPr>
                <w:b/>
                <w:sz w:val="24"/>
                <w:szCs w:val="24"/>
              </w:rPr>
              <w:t>III. SZERZŐDÉS</w:t>
            </w:r>
          </w:p>
        </w:tc>
      </w:tr>
      <w:tr w:rsidR="000E4587" w:rsidRPr="006878FA" w:rsidTr="004C1301">
        <w:trPr>
          <w:trHeight w:val="510"/>
        </w:trPr>
        <w:tc>
          <w:tcPr>
            <w:tcW w:w="3969" w:type="dxa"/>
            <w:vAlign w:val="center"/>
          </w:tcPr>
          <w:p w:rsidR="000E4587" w:rsidRPr="006878FA" w:rsidRDefault="000E4587" w:rsidP="000E4587">
            <w:pPr>
              <w:pStyle w:val="Szvegtrzs"/>
              <w:numPr>
                <w:ilvl w:val="0"/>
                <w:numId w:val="6"/>
              </w:numPr>
              <w:overflowPunct w:val="0"/>
              <w:autoSpaceDE w:val="0"/>
              <w:autoSpaceDN w:val="0"/>
              <w:adjustRightInd w:val="0"/>
              <w:ind w:left="492"/>
              <w:jc w:val="left"/>
              <w:textAlignment w:val="baseline"/>
              <w:rPr>
                <w:sz w:val="24"/>
                <w:szCs w:val="24"/>
              </w:rPr>
            </w:pPr>
            <w:r w:rsidRPr="006878FA">
              <w:rPr>
                <w:sz w:val="24"/>
                <w:szCs w:val="24"/>
              </w:rPr>
              <w:t>Szerződés tervezet:</w:t>
            </w:r>
          </w:p>
        </w:tc>
        <w:tc>
          <w:tcPr>
            <w:tcW w:w="5955" w:type="dxa"/>
            <w:vAlign w:val="center"/>
          </w:tcPr>
          <w:p w:rsidR="002B7A22" w:rsidRDefault="002B7A22" w:rsidP="004C1301">
            <w:pPr>
              <w:jc w:val="both"/>
              <w:rPr>
                <w:iCs/>
              </w:rPr>
            </w:pPr>
          </w:p>
          <w:p w:rsidR="00315EA4" w:rsidRDefault="00C325F7" w:rsidP="004C1301">
            <w:pPr>
              <w:jc w:val="both"/>
              <w:rPr>
                <w:iCs/>
              </w:rPr>
            </w:pPr>
            <w:r>
              <w:rPr>
                <w:iCs/>
              </w:rPr>
              <w:t>Szállítási</w:t>
            </w:r>
            <w:r w:rsidR="00BD0378" w:rsidRPr="006878FA">
              <w:rPr>
                <w:iCs/>
              </w:rPr>
              <w:t xml:space="preserve"> </w:t>
            </w:r>
            <w:r w:rsidR="004C1301" w:rsidRPr="006878FA">
              <w:rPr>
                <w:iCs/>
              </w:rPr>
              <w:t>szerződés</w:t>
            </w:r>
          </w:p>
          <w:p w:rsidR="00315EA4" w:rsidRPr="006878FA" w:rsidRDefault="00315EA4" w:rsidP="004C1301">
            <w:pPr>
              <w:jc w:val="both"/>
              <w:rPr>
                <w:iCs/>
              </w:rPr>
            </w:pPr>
          </w:p>
        </w:tc>
      </w:tr>
      <w:tr w:rsidR="000E4587" w:rsidRPr="006878FA" w:rsidTr="004C1301">
        <w:trPr>
          <w:trHeight w:val="646"/>
        </w:trPr>
        <w:tc>
          <w:tcPr>
            <w:tcW w:w="3969" w:type="dxa"/>
            <w:vAlign w:val="center"/>
          </w:tcPr>
          <w:p w:rsidR="000E4587" w:rsidRPr="006878FA" w:rsidRDefault="000E4587" w:rsidP="000E4587">
            <w:pPr>
              <w:pStyle w:val="Szvegtrzs"/>
              <w:numPr>
                <w:ilvl w:val="0"/>
                <w:numId w:val="6"/>
              </w:numPr>
              <w:overflowPunct w:val="0"/>
              <w:autoSpaceDE w:val="0"/>
              <w:autoSpaceDN w:val="0"/>
              <w:adjustRightInd w:val="0"/>
              <w:ind w:left="492"/>
              <w:jc w:val="left"/>
              <w:textAlignment w:val="baseline"/>
              <w:rPr>
                <w:sz w:val="24"/>
                <w:szCs w:val="24"/>
              </w:rPr>
            </w:pPr>
            <w:proofErr w:type="gramStart"/>
            <w:r w:rsidRPr="006878FA">
              <w:rPr>
                <w:sz w:val="24"/>
                <w:szCs w:val="24"/>
              </w:rPr>
              <w:t>Finanszírozási</w:t>
            </w:r>
            <w:proofErr w:type="gramEnd"/>
            <w:r w:rsidRPr="006878FA">
              <w:rPr>
                <w:sz w:val="24"/>
                <w:szCs w:val="24"/>
              </w:rPr>
              <w:t xml:space="preserve"> feltételek:</w:t>
            </w:r>
          </w:p>
        </w:tc>
        <w:tc>
          <w:tcPr>
            <w:tcW w:w="5955" w:type="dxa"/>
            <w:vAlign w:val="center"/>
          </w:tcPr>
          <w:p w:rsidR="0091668F" w:rsidRDefault="0091668F" w:rsidP="0091668F">
            <w:pPr>
              <w:jc w:val="both"/>
            </w:pPr>
            <w:r w:rsidRPr="006878FA">
              <w:t>A szerződés tervezet csatolásra került a felhíváshoz. A szerződéses feltételek elfogadása kötelező, véleményeltérés nem lehetséges.</w:t>
            </w:r>
          </w:p>
          <w:p w:rsidR="00315EA4" w:rsidRPr="005F20EF" w:rsidRDefault="00315EA4" w:rsidP="00315EA4">
            <w:pPr>
              <w:widowControl/>
              <w:ind w:right="56"/>
              <w:jc w:val="both"/>
              <w:rPr>
                <w:rFonts w:eastAsia="Times New Roman"/>
              </w:rPr>
            </w:pPr>
            <w:r>
              <w:rPr>
                <w:rFonts w:eastAsia="Times New Roman"/>
                <w:bCs/>
              </w:rPr>
              <w:t>H</w:t>
            </w:r>
            <w:r w:rsidRPr="005F20EF">
              <w:rPr>
                <w:rFonts w:eastAsia="Times New Roman"/>
                <w:bCs/>
              </w:rPr>
              <w:t>ibás teljesítési kötbér az át nem vett áru értékének 10 %-</w:t>
            </w:r>
            <w:proofErr w:type="gramStart"/>
            <w:r w:rsidRPr="005F20EF">
              <w:rPr>
                <w:rFonts w:eastAsia="Times New Roman"/>
                <w:bCs/>
              </w:rPr>
              <w:t>a</w:t>
            </w:r>
            <w:proofErr w:type="gramEnd"/>
            <w:r w:rsidRPr="005F20EF">
              <w:rPr>
                <w:rFonts w:eastAsia="Times New Roman"/>
                <w:bCs/>
              </w:rPr>
              <w:t>, de legalább 10.000 Ft/alkalom mértékben, ha az át nem vett áru értéke meghaladja a leszállítandó megrendelés értékének 10 %-át</w:t>
            </w:r>
            <w:r>
              <w:rPr>
                <w:rFonts w:eastAsia="Times New Roman"/>
                <w:bCs/>
              </w:rPr>
              <w:t>.</w:t>
            </w:r>
          </w:p>
          <w:p w:rsidR="00315EA4" w:rsidRPr="005F20EF" w:rsidRDefault="00315EA4" w:rsidP="00315EA4">
            <w:pPr>
              <w:widowControl/>
              <w:ind w:right="56"/>
              <w:jc w:val="both"/>
              <w:rPr>
                <w:rFonts w:eastAsia="Times New Roman"/>
                <w:bCs/>
              </w:rPr>
            </w:pPr>
            <w:r>
              <w:rPr>
                <w:rFonts w:eastAsia="Times New Roman"/>
                <w:bCs/>
              </w:rPr>
              <w:t>A</w:t>
            </w:r>
            <w:r w:rsidRPr="005F20EF">
              <w:rPr>
                <w:rFonts w:eastAsia="Times New Roman"/>
                <w:bCs/>
              </w:rPr>
              <w:t xml:space="preserve"> szállítás teljesítésére előírt határidő 15 percet meghaladó túllépése esetén 10.0</w:t>
            </w:r>
            <w:r w:rsidR="00AC6DA4">
              <w:rPr>
                <w:rFonts w:eastAsia="Times New Roman"/>
                <w:bCs/>
              </w:rPr>
              <w:t>00 Ft/ alkalom késedelmi kötbér</w:t>
            </w:r>
            <w:r>
              <w:rPr>
                <w:rFonts w:eastAsia="Times New Roman"/>
                <w:bCs/>
              </w:rPr>
              <w:t>.</w:t>
            </w:r>
          </w:p>
          <w:p w:rsidR="00315EA4" w:rsidRPr="005F20EF" w:rsidRDefault="00315EA4" w:rsidP="00315EA4">
            <w:pPr>
              <w:widowControl/>
              <w:ind w:right="56"/>
              <w:jc w:val="both"/>
              <w:rPr>
                <w:rFonts w:eastAsia="Times New Roman"/>
                <w:bCs/>
              </w:rPr>
            </w:pPr>
            <w:r>
              <w:rPr>
                <w:rFonts w:eastAsia="Times New Roman"/>
                <w:bCs/>
              </w:rPr>
              <w:t>A</w:t>
            </w:r>
            <w:r w:rsidRPr="005F20EF">
              <w:rPr>
                <w:rFonts w:eastAsia="Times New Roman"/>
                <w:bCs/>
              </w:rPr>
              <w:t>zonnali hatályú felmondás esetén a már levont késedelmi és hibás teljesítési kötbéren felül a szerződés összegéből addig le nem szállított vételár 15 %-</w:t>
            </w:r>
            <w:proofErr w:type="spellStart"/>
            <w:r w:rsidRPr="005F20EF">
              <w:rPr>
                <w:rFonts w:eastAsia="Times New Roman"/>
                <w:bCs/>
              </w:rPr>
              <w:t>ának</w:t>
            </w:r>
            <w:proofErr w:type="spellEnd"/>
            <w:r w:rsidRPr="005F20EF">
              <w:rPr>
                <w:rFonts w:eastAsia="Times New Roman"/>
                <w:bCs/>
              </w:rPr>
              <w:t xml:space="preserve"> megfelelő meghiúsulási kötbér.</w:t>
            </w:r>
          </w:p>
          <w:p w:rsidR="00032EDB" w:rsidRPr="00315EA4" w:rsidRDefault="0091668F" w:rsidP="00315EA4">
            <w:pPr>
              <w:jc w:val="both"/>
              <w:rPr>
                <w:u w:val="single"/>
              </w:rPr>
            </w:pPr>
            <w:proofErr w:type="gramStart"/>
            <w:r w:rsidRPr="00315EA4">
              <w:rPr>
                <w:u w:val="single"/>
              </w:rPr>
              <w:t>Finanszírozási</w:t>
            </w:r>
            <w:proofErr w:type="gramEnd"/>
            <w:r w:rsidRPr="00315EA4">
              <w:rPr>
                <w:u w:val="single"/>
              </w:rPr>
              <w:t xml:space="preserve"> feltételek: </w:t>
            </w:r>
          </w:p>
          <w:p w:rsidR="00315EA4" w:rsidRPr="005F20EF" w:rsidRDefault="00315EA4" w:rsidP="00315EA4">
            <w:pPr>
              <w:ind w:right="56"/>
              <w:jc w:val="both"/>
              <w:rPr>
                <w:rFonts w:eastAsia="Times New Roman"/>
                <w:bCs/>
              </w:rPr>
            </w:pPr>
            <w:r w:rsidRPr="005F20EF">
              <w:rPr>
                <w:rFonts w:eastAsia="Times New Roman"/>
                <w:bCs/>
              </w:rPr>
              <w:t>Az Ajánlatkérő előleget nem fizet. Az ÁFA törvény 58. §-</w:t>
            </w:r>
            <w:proofErr w:type="spellStart"/>
            <w:r w:rsidRPr="005F20EF">
              <w:rPr>
                <w:rFonts w:eastAsia="Times New Roman"/>
                <w:bCs/>
              </w:rPr>
              <w:t>ában</w:t>
            </w:r>
            <w:proofErr w:type="spellEnd"/>
            <w:r w:rsidRPr="005F20EF">
              <w:rPr>
                <w:rFonts w:eastAsia="Times New Roman"/>
                <w:bCs/>
              </w:rPr>
              <w:t xml:space="preserve"> meghatározott folyamatos teljesítés mellett a nyertes ajánlattevő havonta két alkalommal, a hónap 15. napján és utolsó napján jogosult gyűjtőszámla kibocsátására, szállítóleveleken alapuló tételes elszámolás alapján. A benyújtott számla kifizetése a teljesítéstől számított 15 napon belül, banki átutalással történik. </w:t>
            </w:r>
          </w:p>
          <w:p w:rsidR="00315EA4" w:rsidRPr="005F20EF" w:rsidRDefault="00315EA4" w:rsidP="00315EA4">
            <w:pPr>
              <w:ind w:right="56"/>
              <w:jc w:val="both"/>
              <w:rPr>
                <w:rFonts w:eastAsia="Times New Roman"/>
                <w:bCs/>
              </w:rPr>
            </w:pPr>
            <w:r w:rsidRPr="005F20EF">
              <w:rPr>
                <w:rFonts w:eastAsia="Times New Roman"/>
                <w:bCs/>
              </w:rPr>
              <w:t xml:space="preserve">Nem tehető olyan ajánlat, mely az Ajánlattevő által biztosított hitel vagy általa nyújtott kölcsön igénybevételével kívánná megvalósítani a teljesítést. Az ajánlat csak banki átutalásos fizetési módot tartalmazhat, minden egyéb fizetési mód elfogadhatatlan az Ajánlatkérő számára. </w:t>
            </w:r>
          </w:p>
          <w:p w:rsidR="007B6FD7" w:rsidRPr="006878FA" w:rsidRDefault="007B6FD7" w:rsidP="0091668F">
            <w:pPr>
              <w:jc w:val="both"/>
            </w:pPr>
          </w:p>
        </w:tc>
      </w:tr>
      <w:tr w:rsidR="000E4587" w:rsidRPr="006878FA" w:rsidTr="004C1301">
        <w:trPr>
          <w:trHeight w:val="584"/>
        </w:trPr>
        <w:tc>
          <w:tcPr>
            <w:tcW w:w="9924" w:type="dxa"/>
            <w:gridSpan w:val="2"/>
            <w:vAlign w:val="center"/>
          </w:tcPr>
          <w:p w:rsidR="000E4587" w:rsidRPr="006878FA" w:rsidRDefault="000E4587" w:rsidP="00463FFC">
            <w:pPr>
              <w:pStyle w:val="Szvegtrzs"/>
              <w:jc w:val="center"/>
              <w:rPr>
                <w:b/>
                <w:sz w:val="24"/>
                <w:szCs w:val="24"/>
              </w:rPr>
            </w:pPr>
            <w:r w:rsidRPr="006878FA">
              <w:rPr>
                <w:b/>
                <w:sz w:val="24"/>
                <w:szCs w:val="24"/>
              </w:rPr>
              <w:t>IV. RÉSZVÉTELI FELTÉTELEK</w:t>
            </w:r>
          </w:p>
        </w:tc>
      </w:tr>
      <w:tr w:rsidR="000E4587" w:rsidRPr="006878FA" w:rsidTr="004C1301">
        <w:trPr>
          <w:trHeight w:val="510"/>
        </w:trPr>
        <w:tc>
          <w:tcPr>
            <w:tcW w:w="3969" w:type="dxa"/>
            <w:vAlign w:val="center"/>
          </w:tcPr>
          <w:p w:rsidR="000E4587" w:rsidRPr="006878FA" w:rsidRDefault="000E4587" w:rsidP="000E4587">
            <w:pPr>
              <w:pStyle w:val="Szvegtrzs"/>
              <w:numPr>
                <w:ilvl w:val="0"/>
                <w:numId w:val="7"/>
              </w:numPr>
              <w:overflowPunct w:val="0"/>
              <w:autoSpaceDE w:val="0"/>
              <w:autoSpaceDN w:val="0"/>
              <w:adjustRightInd w:val="0"/>
              <w:ind w:left="492"/>
              <w:jc w:val="left"/>
              <w:textAlignment w:val="baseline"/>
              <w:rPr>
                <w:sz w:val="24"/>
                <w:szCs w:val="24"/>
              </w:rPr>
            </w:pPr>
            <w:r w:rsidRPr="006878FA">
              <w:rPr>
                <w:sz w:val="24"/>
                <w:szCs w:val="24"/>
              </w:rPr>
              <w:t>Dokumentáció beszerzésének feltételei:</w:t>
            </w:r>
          </w:p>
        </w:tc>
        <w:tc>
          <w:tcPr>
            <w:tcW w:w="5955" w:type="dxa"/>
            <w:vAlign w:val="center"/>
          </w:tcPr>
          <w:p w:rsidR="007B6FD7" w:rsidRPr="006878FA" w:rsidRDefault="007B6FD7" w:rsidP="007B6FD7">
            <w:pPr>
              <w:pStyle w:val="Szvegtrzs"/>
              <w:rPr>
                <w:iCs/>
                <w:sz w:val="24"/>
                <w:szCs w:val="24"/>
              </w:rPr>
            </w:pPr>
          </w:p>
          <w:p w:rsidR="00AF2D6B" w:rsidRPr="006878FA" w:rsidRDefault="00C1384D" w:rsidP="007B6FD7">
            <w:pPr>
              <w:pStyle w:val="Szvegtrzs"/>
              <w:rPr>
                <w:iCs/>
                <w:sz w:val="24"/>
                <w:szCs w:val="24"/>
              </w:rPr>
            </w:pPr>
            <w:r w:rsidRPr="006878FA">
              <w:rPr>
                <w:iCs/>
                <w:sz w:val="24"/>
                <w:szCs w:val="24"/>
              </w:rPr>
              <w:t>nincs dokumentáció</w:t>
            </w:r>
          </w:p>
          <w:p w:rsidR="006254AE" w:rsidRPr="006878FA" w:rsidRDefault="006254AE" w:rsidP="007B6FD7">
            <w:pPr>
              <w:pStyle w:val="Szvegtrzs"/>
              <w:rPr>
                <w:iCs/>
                <w:sz w:val="24"/>
                <w:szCs w:val="24"/>
              </w:rPr>
            </w:pPr>
          </w:p>
        </w:tc>
      </w:tr>
      <w:tr w:rsidR="000E4587" w:rsidRPr="006878FA" w:rsidTr="004C1301">
        <w:trPr>
          <w:trHeight w:val="646"/>
        </w:trPr>
        <w:tc>
          <w:tcPr>
            <w:tcW w:w="3969" w:type="dxa"/>
            <w:vAlign w:val="center"/>
          </w:tcPr>
          <w:p w:rsidR="000E4587" w:rsidRPr="006878FA" w:rsidRDefault="000E4587" w:rsidP="000E4587">
            <w:pPr>
              <w:pStyle w:val="Szvegtrzs"/>
              <w:numPr>
                <w:ilvl w:val="0"/>
                <w:numId w:val="7"/>
              </w:numPr>
              <w:overflowPunct w:val="0"/>
              <w:autoSpaceDE w:val="0"/>
              <w:autoSpaceDN w:val="0"/>
              <w:adjustRightInd w:val="0"/>
              <w:ind w:left="492"/>
              <w:jc w:val="left"/>
              <w:textAlignment w:val="baseline"/>
              <w:rPr>
                <w:sz w:val="24"/>
                <w:szCs w:val="24"/>
              </w:rPr>
            </w:pPr>
            <w:r w:rsidRPr="006878FA">
              <w:rPr>
                <w:sz w:val="24"/>
                <w:szCs w:val="24"/>
              </w:rPr>
              <w:t>Pénzügyi- gazdasági és műszaki alkalmassági feltételek:</w:t>
            </w:r>
          </w:p>
        </w:tc>
        <w:tc>
          <w:tcPr>
            <w:tcW w:w="5955" w:type="dxa"/>
            <w:vAlign w:val="center"/>
          </w:tcPr>
          <w:p w:rsidR="00032EDB" w:rsidRPr="006878FA" w:rsidRDefault="00032EDB" w:rsidP="00032EDB">
            <w:pPr>
              <w:jc w:val="both"/>
            </w:pPr>
            <w:r w:rsidRPr="006878FA">
              <w:t xml:space="preserve">Ajánlattevő pénzügyi, gazdasági és műszaki </w:t>
            </w:r>
            <w:proofErr w:type="spellStart"/>
            <w:r w:rsidRPr="006878FA">
              <w:t>alkalmasságának</w:t>
            </w:r>
            <w:proofErr w:type="spellEnd"/>
            <w:r w:rsidRPr="006878FA">
              <w:t xml:space="preserve"> igazolására ajánlatkérő az ajánlat benyújtásakor az alábbiak dokumentálását kéri:</w:t>
            </w:r>
          </w:p>
          <w:p w:rsidR="00032EDB" w:rsidRPr="006878FA" w:rsidRDefault="00032EDB" w:rsidP="00032EDB">
            <w:pPr>
              <w:jc w:val="both"/>
            </w:pPr>
            <w:r w:rsidRPr="006878FA">
              <w:t>a)</w:t>
            </w:r>
            <w:r w:rsidRPr="006878FA">
              <w:tab/>
              <w:t>ajánlattevő nyilatkozatát, hogy az ajánlati kiírás feltételeit elfogadja;</w:t>
            </w:r>
          </w:p>
          <w:p w:rsidR="00032EDB" w:rsidRPr="006878FA" w:rsidRDefault="00032EDB" w:rsidP="00032EDB">
            <w:pPr>
              <w:jc w:val="both"/>
            </w:pPr>
            <w:r w:rsidRPr="006878FA">
              <w:t>b)</w:t>
            </w:r>
            <w:r w:rsidRPr="006878FA">
              <w:tab/>
              <w:t>az ajánlattevő nyilatkozatát arról, hogy nincs ellene csőd, vagy felszámolási eljárás, illetve nem áll végelszámolás alatt</w:t>
            </w:r>
          </w:p>
          <w:p w:rsidR="00032EDB" w:rsidRPr="006878FA" w:rsidRDefault="00032EDB" w:rsidP="00032EDB">
            <w:pPr>
              <w:jc w:val="both"/>
            </w:pPr>
            <w:r w:rsidRPr="006878FA">
              <w:t>c)</w:t>
            </w:r>
            <w:r w:rsidRPr="006878FA">
              <w:tab/>
              <w:t>ajánlattevő nyilatkozatát, hogy nincs egy évet meghaladó adó-, társadalombiztosítás járulék, illeték és helyi adó tartozása;</w:t>
            </w:r>
          </w:p>
          <w:p w:rsidR="00315EA4" w:rsidRPr="00315EA4" w:rsidRDefault="00032EDB" w:rsidP="00315EA4">
            <w:pPr>
              <w:jc w:val="both"/>
            </w:pPr>
            <w:r w:rsidRPr="006878FA">
              <w:t>d)</w:t>
            </w:r>
            <w:r w:rsidRPr="006878FA">
              <w:tab/>
            </w:r>
            <w:r w:rsidR="00315EA4" w:rsidRPr="00315EA4">
              <w:t xml:space="preserve">nyilatkozatot arról, hogy </w:t>
            </w:r>
            <w:r w:rsidR="00315EA4" w:rsidRPr="00315EA4">
              <w:rPr>
                <w:bCs/>
              </w:rPr>
              <w:t>az áruk forgalmazása sorának megfelel az élelmiszerláncról és hatósági felügyeletéről szóló 2008. évi XLVI. törvény 14. § (2) bekezdésében foglaltaknak, a leszállított termékek meg megfelelnek a 152/2009. (XI. 12.) FVM rendelettel kiadott Magyar Élelmiszerkönyv vonatkozó előírásainak és az ún. Jó Higiéniai Gyakorlatoknak, az alkalmazni kívánt élelmiszer-szállító járművek és az azokban alkalmazott tároló edények meg felelnek a 852/2004/EK-rendelet követelményeinek, míg az áruk jelölésének az élelmiszerek jelöléséről szóló 19/2004. (II. 26.) FVM-</w:t>
            </w:r>
            <w:proofErr w:type="spellStart"/>
            <w:r w:rsidR="00315EA4" w:rsidRPr="00315EA4">
              <w:rPr>
                <w:bCs/>
              </w:rPr>
              <w:t>ESzCsM</w:t>
            </w:r>
            <w:proofErr w:type="spellEnd"/>
            <w:r w:rsidR="00315EA4" w:rsidRPr="00315EA4">
              <w:rPr>
                <w:bCs/>
              </w:rPr>
              <w:t>-GKM együttes rendelet szabályainak</w:t>
            </w:r>
            <w:r w:rsidR="00315EA4" w:rsidRPr="00315EA4">
              <w:t>;</w:t>
            </w:r>
          </w:p>
          <w:p w:rsidR="00315EA4" w:rsidRPr="00315EA4" w:rsidRDefault="00032EDB" w:rsidP="00315EA4">
            <w:pPr>
              <w:jc w:val="both"/>
              <w:rPr>
                <w:rFonts w:eastAsia="Times New Roman"/>
              </w:rPr>
            </w:pPr>
            <w:r w:rsidRPr="006878FA">
              <w:t>e)</w:t>
            </w:r>
            <w:r w:rsidRPr="006878FA">
              <w:tab/>
            </w:r>
            <w:r w:rsidR="00315EA4" w:rsidRPr="00315EA4">
              <w:rPr>
                <w:rFonts w:eastAsia="Times New Roman"/>
              </w:rPr>
              <w:t>az ajánlattevő adatait tartalmazó, a működési forma szerinti tevékenységi engedély, vagy regisztrációs okirat másolata (pl. cégkivonat, egyéni vállalkozó jegyzői kivonata /hatósági igazolás/, őstermelőről kiállított FM Hivatali igazolás), igazolandó, hogy az áruk előállítását, forgalomba hozatalát, szállítását a jogszabályok által előírt engedélyek birtokában végzi;</w:t>
            </w:r>
          </w:p>
          <w:p w:rsidR="00315EA4" w:rsidRPr="00315EA4" w:rsidRDefault="00032EDB" w:rsidP="00315EA4">
            <w:pPr>
              <w:jc w:val="both"/>
              <w:rPr>
                <w:rFonts w:eastAsia="Times New Roman"/>
              </w:rPr>
            </w:pPr>
            <w:r w:rsidRPr="006878FA">
              <w:t>f)</w:t>
            </w:r>
            <w:r w:rsidRPr="006878FA">
              <w:tab/>
            </w:r>
            <w:r w:rsidR="00315EA4" w:rsidRPr="00315EA4">
              <w:rPr>
                <w:rFonts w:eastAsia="Times New Roman"/>
              </w:rPr>
              <w:t xml:space="preserve">az ajánlatot aláíró képviseletre jogosult aláírási címpéldányának, vagy banki aláírási kartonjának másolata, </w:t>
            </w:r>
          </w:p>
          <w:p w:rsidR="00315EA4" w:rsidRPr="00315EA4" w:rsidRDefault="00032EDB" w:rsidP="00315EA4">
            <w:pPr>
              <w:jc w:val="both"/>
              <w:rPr>
                <w:rFonts w:eastAsia="Times New Roman"/>
              </w:rPr>
            </w:pPr>
            <w:r w:rsidRPr="006878FA">
              <w:t>g)</w:t>
            </w:r>
            <w:r w:rsidRPr="006878FA">
              <w:tab/>
            </w:r>
            <w:r w:rsidR="00315EA4" w:rsidRPr="00315EA4">
              <w:rPr>
                <w:rFonts w:eastAsia="Times New Roman"/>
              </w:rPr>
              <w:t>be kell mutatni az ajánlattételi határidőt megelőző 2 évben teljesített hasonló tárgyú áruszállítás területén az ajánlatban szereplő ajánlati ár legalább 75 %-át meghaladó értékű teljesített szerződéseit (referenciáit)</w:t>
            </w:r>
          </w:p>
          <w:p w:rsidR="00315EA4" w:rsidRDefault="00032EDB" w:rsidP="00032EDB">
            <w:pPr>
              <w:jc w:val="both"/>
            </w:pPr>
            <w:r w:rsidRPr="006878FA">
              <w:t>e)</w:t>
            </w:r>
            <w:r w:rsidRPr="006878FA">
              <w:tab/>
            </w:r>
            <w:r w:rsidR="00315EA4" w:rsidRPr="005F20EF">
              <w:rPr>
                <w:rFonts w:eastAsia="Times New Roman"/>
              </w:rPr>
              <w:t xml:space="preserve">igazolni, kell, hogy rendelkezésre áll a szállításra alkalmas jármű, ezért csatolni kell az igénybe venni kívánt </w:t>
            </w:r>
            <w:proofErr w:type="gramStart"/>
            <w:r w:rsidR="00315EA4" w:rsidRPr="005F20EF">
              <w:rPr>
                <w:rFonts w:eastAsia="Times New Roman"/>
              </w:rPr>
              <w:t>szállítójármű(</w:t>
            </w:r>
            <w:proofErr w:type="spellStart"/>
            <w:proofErr w:type="gramEnd"/>
            <w:r w:rsidR="00315EA4" w:rsidRPr="005F20EF">
              <w:rPr>
                <w:rFonts w:eastAsia="Times New Roman"/>
              </w:rPr>
              <w:t>vek</w:t>
            </w:r>
            <w:proofErr w:type="spellEnd"/>
            <w:r w:rsidR="00315EA4" w:rsidRPr="005F20EF">
              <w:rPr>
                <w:rFonts w:eastAsia="Times New Roman"/>
              </w:rPr>
              <w:t>) érvényes forgalmi engedélyének másolatát.</w:t>
            </w:r>
          </w:p>
          <w:p w:rsidR="00315EA4" w:rsidRPr="005F20EF" w:rsidRDefault="004F76E1" w:rsidP="00315EA4">
            <w:pPr>
              <w:jc w:val="both"/>
              <w:rPr>
                <w:rFonts w:eastAsia="Times New Roman"/>
              </w:rPr>
            </w:pPr>
            <w:r>
              <w:t>h</w:t>
            </w:r>
            <w:r w:rsidR="00032EDB" w:rsidRPr="006878FA">
              <w:t>)</w:t>
            </w:r>
            <w:r w:rsidR="00032EDB" w:rsidRPr="006878FA">
              <w:tab/>
            </w:r>
            <w:r w:rsidR="00315EA4" w:rsidRPr="005F20EF">
              <w:rPr>
                <w:rFonts w:eastAsia="Times New Roman"/>
              </w:rPr>
              <w:t>Az ajánlatkérő érvényteleníti az ajánlatot, ha</w:t>
            </w:r>
          </w:p>
          <w:p w:rsidR="00315EA4" w:rsidRPr="005F20EF" w:rsidRDefault="00315EA4" w:rsidP="00315EA4">
            <w:pPr>
              <w:jc w:val="both"/>
              <w:rPr>
                <w:rFonts w:eastAsia="Times New Roman"/>
              </w:rPr>
            </w:pPr>
            <w:r>
              <w:rPr>
                <w:rFonts w:eastAsia="Times New Roman"/>
              </w:rPr>
              <w:t xml:space="preserve">- </w:t>
            </w:r>
            <w:r w:rsidRPr="005F20EF">
              <w:rPr>
                <w:rFonts w:eastAsia="Times New Roman"/>
              </w:rPr>
              <w:t>azt nem regisztrált nyújtotta be, késedelmesen érkezett, vagy tartalma a bontás időpontját megelőzően nyilvánosságra került.</w:t>
            </w:r>
          </w:p>
          <w:p w:rsidR="00315EA4" w:rsidRPr="005F20EF" w:rsidRDefault="00315EA4" w:rsidP="00315EA4">
            <w:pPr>
              <w:jc w:val="both"/>
              <w:rPr>
                <w:rFonts w:eastAsia="Times New Roman"/>
              </w:rPr>
            </w:pPr>
            <w:r>
              <w:rPr>
                <w:rFonts w:eastAsia="Times New Roman"/>
              </w:rPr>
              <w:t xml:space="preserve">- </w:t>
            </w:r>
            <w:r w:rsidRPr="005F20EF">
              <w:rPr>
                <w:rFonts w:eastAsia="Times New Roman"/>
              </w:rPr>
              <w:t>az ajánlattevő az ajánlati kiírás feltételeit nem fogadja el, illetve a 2</w:t>
            </w:r>
            <w:proofErr w:type="gramStart"/>
            <w:r w:rsidRPr="005F20EF">
              <w:rPr>
                <w:rFonts w:eastAsia="Times New Roman"/>
              </w:rPr>
              <w:t>.a</w:t>
            </w:r>
            <w:proofErr w:type="gramEnd"/>
            <w:r w:rsidRPr="005F20EF">
              <w:rPr>
                <w:rFonts w:eastAsia="Times New Roman"/>
              </w:rPr>
              <w:t xml:space="preserve">) – </w:t>
            </w:r>
            <w:r w:rsidR="004F76E1">
              <w:rPr>
                <w:rFonts w:eastAsia="Times New Roman"/>
              </w:rPr>
              <w:t>2.f</w:t>
            </w:r>
            <w:r w:rsidRPr="005F20EF">
              <w:rPr>
                <w:rFonts w:eastAsia="Times New Roman"/>
              </w:rPr>
              <w:t>) pontokban foglalt feltételeknek nem felel meg ajánlata;</w:t>
            </w:r>
          </w:p>
          <w:p w:rsidR="00315EA4" w:rsidRDefault="00315EA4" w:rsidP="00315EA4">
            <w:pPr>
              <w:jc w:val="both"/>
              <w:rPr>
                <w:rFonts w:eastAsia="Times New Roman"/>
              </w:rPr>
            </w:pPr>
            <w:r>
              <w:t xml:space="preserve">- </w:t>
            </w:r>
            <w:r w:rsidRPr="005F20EF">
              <w:rPr>
                <w:rFonts w:eastAsia="Times New Roman"/>
              </w:rPr>
              <w:t xml:space="preserve">az ajánlattételi határidőt megelőző </w:t>
            </w:r>
            <w:r>
              <w:rPr>
                <w:rFonts w:eastAsia="Times New Roman"/>
              </w:rPr>
              <w:t>2</w:t>
            </w:r>
            <w:r w:rsidRPr="005F20EF">
              <w:rPr>
                <w:rFonts w:eastAsia="Times New Roman"/>
              </w:rPr>
              <w:t xml:space="preserve"> évben nem teljesített az ajánlatával hasonló tárgyú áruféleségek területén az ajánlatban szereplő ajánlati ár legalább 75 %-át meghaladó értékű szerződést, vagy szerződéseket (több kisebb összegű szerződés teljesítésével is igazolható);</w:t>
            </w:r>
          </w:p>
          <w:p w:rsidR="00315EA4" w:rsidRPr="005F20EF" w:rsidRDefault="00315EA4" w:rsidP="00315EA4">
            <w:pPr>
              <w:jc w:val="both"/>
              <w:rPr>
                <w:rFonts w:eastAsia="Times New Roman"/>
              </w:rPr>
            </w:pPr>
            <w:r>
              <w:rPr>
                <w:rFonts w:eastAsia="Times New Roman"/>
              </w:rPr>
              <w:t xml:space="preserve">- </w:t>
            </w:r>
            <w:r w:rsidRPr="005F20EF">
              <w:rPr>
                <w:rFonts w:eastAsia="Times New Roman"/>
              </w:rPr>
              <w:t>nem rendelkezik az adott termékek szállítására alkalmas gépjárművel</w:t>
            </w:r>
          </w:p>
          <w:p w:rsidR="00C1384D" w:rsidRDefault="00C1384D" w:rsidP="00032EDB">
            <w:pPr>
              <w:jc w:val="both"/>
            </w:pPr>
          </w:p>
          <w:p w:rsidR="00315EA4" w:rsidRPr="005F20EF" w:rsidRDefault="00315EA4" w:rsidP="00315EA4">
            <w:pPr>
              <w:jc w:val="both"/>
              <w:rPr>
                <w:rFonts w:eastAsia="Times New Roman"/>
              </w:rPr>
            </w:pPr>
            <w:r w:rsidRPr="005F20EF">
              <w:rPr>
                <w:rFonts w:eastAsia="Times New Roman"/>
              </w:rPr>
              <w:t>Ki kell zárni az ajánlati eljárásból, azt az ajánlattevőt aki:</w:t>
            </w:r>
          </w:p>
          <w:p w:rsidR="00315EA4" w:rsidRPr="005F20EF" w:rsidRDefault="00315EA4" w:rsidP="00315EA4">
            <w:pPr>
              <w:jc w:val="both"/>
              <w:rPr>
                <w:rFonts w:eastAsia="Times New Roman"/>
              </w:rPr>
            </w:pPr>
            <w:r>
              <w:rPr>
                <w:rFonts w:eastAsia="Times New Roman"/>
              </w:rPr>
              <w:t xml:space="preserve">- </w:t>
            </w:r>
            <w:r w:rsidRPr="005F20EF">
              <w:rPr>
                <w:rFonts w:eastAsia="Times New Roman"/>
              </w:rPr>
              <w:t>végelszámolás alatt áll, vagy ellene csőd, illetve felszámolási eljárás folyamatban van;</w:t>
            </w:r>
          </w:p>
          <w:p w:rsidR="00315EA4" w:rsidRDefault="00315EA4" w:rsidP="00315EA4">
            <w:pPr>
              <w:jc w:val="both"/>
              <w:rPr>
                <w:rFonts w:eastAsia="Times New Roman"/>
              </w:rPr>
            </w:pPr>
            <w:r>
              <w:rPr>
                <w:rFonts w:eastAsia="Times New Roman"/>
              </w:rPr>
              <w:t xml:space="preserve">- </w:t>
            </w:r>
            <w:r w:rsidRPr="005F20EF">
              <w:rPr>
                <w:rFonts w:eastAsia="Times New Roman"/>
              </w:rPr>
              <w:t>egy évet meghaladó adó-, illeték és társadalombiztosítási járulékfizetési hátralékkal rendelkezik;</w:t>
            </w:r>
          </w:p>
          <w:p w:rsidR="00315EA4" w:rsidRDefault="00315EA4" w:rsidP="00315EA4">
            <w:pPr>
              <w:jc w:val="both"/>
              <w:rPr>
                <w:rFonts w:eastAsia="Times New Roman"/>
              </w:rPr>
            </w:pPr>
            <w:r>
              <w:rPr>
                <w:rFonts w:eastAsia="Times New Roman"/>
              </w:rPr>
              <w:t xml:space="preserve">- </w:t>
            </w:r>
            <w:r w:rsidRPr="005F20EF">
              <w:rPr>
                <w:rFonts w:eastAsia="Times New Roman"/>
              </w:rPr>
              <w:t>az ajánlatkérőnél, korábban - de öt évnél nem régebben - végzett beszerzésnél vállalt szerződéses kötelezettségének megszegését jogerős államigazgatási, illetve bírósági határozat megállapította.</w:t>
            </w:r>
          </w:p>
          <w:p w:rsidR="00315EA4" w:rsidRPr="005F20EF" w:rsidRDefault="00315EA4" w:rsidP="00315EA4">
            <w:pPr>
              <w:jc w:val="both"/>
              <w:rPr>
                <w:rFonts w:eastAsia="Times New Roman"/>
              </w:rPr>
            </w:pPr>
            <w:r>
              <w:rPr>
                <w:rFonts w:eastAsia="Times New Roman"/>
              </w:rPr>
              <w:t xml:space="preserve">- </w:t>
            </w:r>
            <w:r w:rsidRPr="005F20EF">
              <w:rPr>
                <w:rFonts w:eastAsia="Times New Roman"/>
              </w:rPr>
              <w:t xml:space="preserve">aki nevének, székhelyének, az általa kért ellenszolgáltatás mértékének, a teljesítési határidőnek nyilvánosságra hozatalát megtiltja. </w:t>
            </w:r>
          </w:p>
          <w:p w:rsidR="00315EA4" w:rsidRPr="006878FA" w:rsidRDefault="00315EA4" w:rsidP="00032EDB">
            <w:pPr>
              <w:jc w:val="both"/>
            </w:pPr>
          </w:p>
        </w:tc>
      </w:tr>
      <w:tr w:rsidR="000E4587" w:rsidRPr="006878FA" w:rsidTr="00936C20">
        <w:trPr>
          <w:trHeight w:val="584"/>
        </w:trPr>
        <w:tc>
          <w:tcPr>
            <w:tcW w:w="9924" w:type="dxa"/>
            <w:gridSpan w:val="2"/>
            <w:vAlign w:val="center"/>
          </w:tcPr>
          <w:p w:rsidR="000E4587" w:rsidRPr="006878FA" w:rsidRDefault="000E4587" w:rsidP="00463FFC">
            <w:pPr>
              <w:pStyle w:val="Szvegtrzs"/>
              <w:jc w:val="center"/>
              <w:rPr>
                <w:b/>
                <w:sz w:val="24"/>
                <w:szCs w:val="24"/>
              </w:rPr>
            </w:pPr>
            <w:r w:rsidRPr="006878FA">
              <w:rPr>
                <w:b/>
                <w:sz w:val="24"/>
                <w:szCs w:val="24"/>
              </w:rPr>
              <w:t>V. AZ ELJÁRÁS LEFOLYTATÁSA</w:t>
            </w:r>
          </w:p>
        </w:tc>
      </w:tr>
      <w:tr w:rsidR="000E4587" w:rsidRPr="006878FA" w:rsidTr="00936C20">
        <w:trPr>
          <w:trHeight w:val="510"/>
        </w:trPr>
        <w:tc>
          <w:tcPr>
            <w:tcW w:w="3969" w:type="dxa"/>
            <w:vAlign w:val="center"/>
          </w:tcPr>
          <w:p w:rsidR="000E4587" w:rsidRPr="006878FA" w:rsidRDefault="000E4587" w:rsidP="000E4587">
            <w:pPr>
              <w:pStyle w:val="Szvegtrzs"/>
              <w:numPr>
                <w:ilvl w:val="0"/>
                <w:numId w:val="8"/>
              </w:numPr>
              <w:overflowPunct w:val="0"/>
              <w:autoSpaceDE w:val="0"/>
              <w:autoSpaceDN w:val="0"/>
              <w:adjustRightInd w:val="0"/>
              <w:ind w:left="492"/>
              <w:jc w:val="left"/>
              <w:textAlignment w:val="baseline"/>
              <w:rPr>
                <w:sz w:val="24"/>
                <w:szCs w:val="24"/>
              </w:rPr>
            </w:pPr>
            <w:r w:rsidRPr="006878FA">
              <w:rPr>
                <w:sz w:val="24"/>
                <w:szCs w:val="24"/>
              </w:rPr>
              <w:t>Az eljárás típusa:</w:t>
            </w:r>
          </w:p>
        </w:tc>
        <w:tc>
          <w:tcPr>
            <w:tcW w:w="5955" w:type="dxa"/>
            <w:vAlign w:val="center"/>
          </w:tcPr>
          <w:p w:rsidR="000251BE" w:rsidRPr="006878FA" w:rsidRDefault="000251BE" w:rsidP="00745E78">
            <w:pPr>
              <w:jc w:val="both"/>
            </w:pPr>
          </w:p>
          <w:p w:rsidR="00BB6F28" w:rsidRPr="006878FA" w:rsidRDefault="00414A27" w:rsidP="00745E78">
            <w:pPr>
              <w:jc w:val="both"/>
            </w:pPr>
            <w:r w:rsidRPr="006878FA">
              <w:t>K</w:t>
            </w:r>
            <w:r w:rsidR="00745E78" w:rsidRPr="006878FA">
              <w:t>özbeszerzési értékhatár alatti beszerzés. Az ajánlatkérő a benyújtott ajánlatokat tárgyalás nélkül bírálja el.</w:t>
            </w:r>
          </w:p>
          <w:p w:rsidR="000251BE" w:rsidRPr="006878FA" w:rsidRDefault="000251BE" w:rsidP="00745E78">
            <w:pPr>
              <w:jc w:val="both"/>
            </w:pPr>
          </w:p>
        </w:tc>
      </w:tr>
      <w:tr w:rsidR="000E4587" w:rsidRPr="006878FA" w:rsidTr="00936C20">
        <w:trPr>
          <w:trHeight w:val="646"/>
        </w:trPr>
        <w:tc>
          <w:tcPr>
            <w:tcW w:w="3969" w:type="dxa"/>
            <w:vAlign w:val="center"/>
          </w:tcPr>
          <w:p w:rsidR="000E4587" w:rsidRPr="006878FA" w:rsidRDefault="000E4587" w:rsidP="000E4587">
            <w:pPr>
              <w:pStyle w:val="Szvegtrzs"/>
              <w:numPr>
                <w:ilvl w:val="0"/>
                <w:numId w:val="8"/>
              </w:numPr>
              <w:overflowPunct w:val="0"/>
              <w:autoSpaceDE w:val="0"/>
              <w:autoSpaceDN w:val="0"/>
              <w:adjustRightInd w:val="0"/>
              <w:ind w:left="492"/>
              <w:jc w:val="left"/>
              <w:textAlignment w:val="baseline"/>
              <w:rPr>
                <w:sz w:val="24"/>
                <w:szCs w:val="24"/>
              </w:rPr>
            </w:pPr>
            <w:r w:rsidRPr="006878FA">
              <w:rPr>
                <w:sz w:val="24"/>
                <w:szCs w:val="24"/>
              </w:rPr>
              <w:t>Ajánlatok benyújtásának határideje, helye:</w:t>
            </w:r>
          </w:p>
        </w:tc>
        <w:tc>
          <w:tcPr>
            <w:tcW w:w="5955" w:type="dxa"/>
            <w:vAlign w:val="center"/>
          </w:tcPr>
          <w:p w:rsidR="000251BE" w:rsidRPr="006878FA" w:rsidRDefault="000251BE" w:rsidP="00745E78">
            <w:pPr>
              <w:jc w:val="both"/>
              <w:rPr>
                <w:color w:val="FF0000"/>
              </w:rPr>
            </w:pPr>
          </w:p>
          <w:p w:rsidR="00364DC6" w:rsidRPr="001A1EC0" w:rsidRDefault="00364DC6" w:rsidP="00745E78">
            <w:pPr>
              <w:jc w:val="both"/>
              <w:rPr>
                <w:b/>
              </w:rPr>
            </w:pPr>
            <w:r w:rsidRPr="001A1EC0">
              <w:rPr>
                <w:b/>
              </w:rPr>
              <w:t>202</w:t>
            </w:r>
            <w:r w:rsidR="0093273F">
              <w:rPr>
                <w:b/>
              </w:rPr>
              <w:t>5.11.24</w:t>
            </w:r>
            <w:r w:rsidR="0064400F" w:rsidRPr="001A1EC0">
              <w:rPr>
                <w:b/>
              </w:rPr>
              <w:t>.</w:t>
            </w:r>
            <w:r w:rsidRPr="001A1EC0">
              <w:rPr>
                <w:b/>
              </w:rPr>
              <w:t xml:space="preserve"> </w:t>
            </w:r>
            <w:r w:rsidR="00103F98" w:rsidRPr="001A1EC0">
              <w:rPr>
                <w:b/>
              </w:rPr>
              <w:t>(</w:t>
            </w:r>
            <w:r w:rsidR="00C1384D" w:rsidRPr="001A1EC0">
              <w:rPr>
                <w:b/>
              </w:rPr>
              <w:t>10:00</w:t>
            </w:r>
            <w:r w:rsidRPr="001A1EC0">
              <w:rPr>
                <w:b/>
              </w:rPr>
              <w:t xml:space="preserve"> óra</w:t>
            </w:r>
            <w:r w:rsidR="00103F98" w:rsidRPr="001A1EC0">
              <w:rPr>
                <w:b/>
              </w:rPr>
              <w:t>)</w:t>
            </w:r>
          </w:p>
          <w:p w:rsidR="00D212B3" w:rsidRPr="006878FA" w:rsidRDefault="00745E78" w:rsidP="00D212B3">
            <w:pPr>
              <w:ind w:right="56"/>
              <w:jc w:val="both"/>
            </w:pPr>
            <w:r w:rsidRPr="006878FA">
              <w:t xml:space="preserve">Postai úton: </w:t>
            </w:r>
            <w:r w:rsidR="00D212B3" w:rsidRPr="006878FA">
              <w:t>Hévíz Város Önkormányzat Gazdasági</w:t>
            </w:r>
            <w:r w:rsidR="001A1EC0">
              <w:t>,</w:t>
            </w:r>
            <w:r w:rsidR="00D212B3" w:rsidRPr="006878FA">
              <w:t xml:space="preserve"> Műszaki Ellátó Szervezet </w:t>
            </w:r>
          </w:p>
          <w:p w:rsidR="000251BE" w:rsidRPr="00B074F6" w:rsidRDefault="00D212B3" w:rsidP="00B074F6">
            <w:pPr>
              <w:ind w:right="56"/>
              <w:jc w:val="both"/>
              <w:rPr>
                <w:rFonts w:eastAsiaTheme="minorHAnsi"/>
                <w:bCs/>
              </w:rPr>
            </w:pPr>
            <w:r w:rsidRPr="006878FA">
              <w:rPr>
                <w:bCs/>
              </w:rPr>
              <w:t>8380 Hévíz, Kossuth L. u. 4/</w:t>
            </w:r>
            <w:proofErr w:type="gramStart"/>
            <w:r w:rsidRPr="006878FA">
              <w:rPr>
                <w:bCs/>
              </w:rPr>
              <w:t>a.</w:t>
            </w:r>
            <w:proofErr w:type="gramEnd"/>
          </w:p>
          <w:p w:rsidR="00852C07" w:rsidRPr="006878FA" w:rsidRDefault="00852C07" w:rsidP="00745E78">
            <w:pPr>
              <w:jc w:val="both"/>
              <w:rPr>
                <w:bCs/>
              </w:rPr>
            </w:pPr>
          </w:p>
        </w:tc>
      </w:tr>
      <w:tr w:rsidR="000E4587" w:rsidRPr="006878FA" w:rsidTr="00936C20">
        <w:trPr>
          <w:trHeight w:val="646"/>
        </w:trPr>
        <w:tc>
          <w:tcPr>
            <w:tcW w:w="3969" w:type="dxa"/>
            <w:vAlign w:val="center"/>
          </w:tcPr>
          <w:p w:rsidR="00BB6F28" w:rsidRPr="006878FA" w:rsidRDefault="00723B1E" w:rsidP="00CC1B3A">
            <w:pPr>
              <w:pStyle w:val="Szvegtrzs"/>
              <w:numPr>
                <w:ilvl w:val="0"/>
                <w:numId w:val="8"/>
              </w:numPr>
              <w:overflowPunct w:val="0"/>
              <w:autoSpaceDE w:val="0"/>
              <w:autoSpaceDN w:val="0"/>
              <w:adjustRightInd w:val="0"/>
              <w:ind w:left="492"/>
              <w:jc w:val="left"/>
              <w:textAlignment w:val="baseline"/>
              <w:rPr>
                <w:sz w:val="24"/>
                <w:szCs w:val="24"/>
              </w:rPr>
            </w:pPr>
            <w:r>
              <w:rPr>
                <w:sz w:val="24"/>
                <w:szCs w:val="24"/>
              </w:rPr>
              <w:t>Ajánlati kötöttség időtartama</w:t>
            </w:r>
            <w:r w:rsidR="000E4587" w:rsidRPr="006878FA">
              <w:rPr>
                <w:sz w:val="24"/>
                <w:szCs w:val="24"/>
              </w:rPr>
              <w:t>:</w:t>
            </w:r>
          </w:p>
        </w:tc>
        <w:tc>
          <w:tcPr>
            <w:tcW w:w="5955" w:type="dxa"/>
            <w:vAlign w:val="center"/>
          </w:tcPr>
          <w:p w:rsidR="000E4587" w:rsidRPr="006878FA" w:rsidRDefault="002B7A22" w:rsidP="002B7A22">
            <w:pPr>
              <w:pStyle w:val="Szvegtrzs"/>
              <w:jc w:val="left"/>
              <w:rPr>
                <w:sz w:val="24"/>
                <w:szCs w:val="24"/>
              </w:rPr>
            </w:pPr>
            <w:r>
              <w:rPr>
                <w:sz w:val="24"/>
                <w:szCs w:val="24"/>
              </w:rPr>
              <w:t>A s</w:t>
            </w:r>
            <w:r w:rsidR="00723B1E" w:rsidRPr="00723B1E">
              <w:rPr>
                <w:sz w:val="24"/>
                <w:szCs w:val="24"/>
              </w:rPr>
              <w:t>zerződéskötés</w:t>
            </w:r>
            <w:r>
              <w:rPr>
                <w:sz w:val="24"/>
                <w:szCs w:val="24"/>
              </w:rPr>
              <w:t xml:space="preserve"> napjá</w:t>
            </w:r>
            <w:r w:rsidR="00723B1E" w:rsidRPr="00723B1E">
              <w:rPr>
                <w:sz w:val="24"/>
                <w:szCs w:val="24"/>
              </w:rPr>
              <w:t>ig</w:t>
            </w:r>
            <w:r w:rsidR="00745E78" w:rsidRPr="00723B1E">
              <w:rPr>
                <w:sz w:val="24"/>
                <w:szCs w:val="24"/>
              </w:rPr>
              <w:t>.</w:t>
            </w:r>
          </w:p>
        </w:tc>
      </w:tr>
      <w:tr w:rsidR="000E4587" w:rsidRPr="006878FA" w:rsidTr="00936C20">
        <w:trPr>
          <w:trHeight w:val="646"/>
        </w:trPr>
        <w:tc>
          <w:tcPr>
            <w:tcW w:w="3969" w:type="dxa"/>
            <w:vAlign w:val="center"/>
          </w:tcPr>
          <w:p w:rsidR="00BB6F28" w:rsidRPr="006878FA" w:rsidRDefault="000E4587" w:rsidP="00BB6F28">
            <w:pPr>
              <w:pStyle w:val="Szvegtrzs"/>
              <w:numPr>
                <w:ilvl w:val="0"/>
                <w:numId w:val="8"/>
              </w:numPr>
              <w:overflowPunct w:val="0"/>
              <w:autoSpaceDE w:val="0"/>
              <w:autoSpaceDN w:val="0"/>
              <w:adjustRightInd w:val="0"/>
              <w:ind w:left="492"/>
              <w:jc w:val="left"/>
              <w:textAlignment w:val="baseline"/>
              <w:rPr>
                <w:sz w:val="24"/>
                <w:szCs w:val="24"/>
              </w:rPr>
            </w:pPr>
            <w:r w:rsidRPr="006878FA">
              <w:rPr>
                <w:sz w:val="24"/>
                <w:szCs w:val="24"/>
              </w:rPr>
              <w:t>Hiánypótlás lehetősége:</w:t>
            </w:r>
          </w:p>
        </w:tc>
        <w:tc>
          <w:tcPr>
            <w:tcW w:w="5955" w:type="dxa"/>
            <w:vAlign w:val="center"/>
          </w:tcPr>
          <w:p w:rsidR="000E4587" w:rsidRPr="006878FA" w:rsidRDefault="00B074F6" w:rsidP="00B074F6">
            <w:pPr>
              <w:pStyle w:val="Szvegtrzs"/>
              <w:jc w:val="left"/>
              <w:rPr>
                <w:sz w:val="24"/>
                <w:szCs w:val="24"/>
              </w:rPr>
            </w:pPr>
            <w:r>
              <w:rPr>
                <w:sz w:val="24"/>
                <w:szCs w:val="24"/>
              </w:rPr>
              <w:t>T</w:t>
            </w:r>
            <w:r w:rsidRPr="00B074F6">
              <w:rPr>
                <w:sz w:val="24"/>
                <w:szCs w:val="24"/>
              </w:rPr>
              <w:t xml:space="preserve">eljes körű, azonban az ajánlati ár és az azt alátámasztó </w:t>
            </w:r>
            <w:proofErr w:type="gramStart"/>
            <w:r w:rsidRPr="00B074F6">
              <w:rPr>
                <w:sz w:val="24"/>
                <w:szCs w:val="24"/>
              </w:rPr>
              <w:t>tételes  kereskedelmi</w:t>
            </w:r>
            <w:proofErr w:type="gramEnd"/>
            <w:r w:rsidRPr="00B074F6">
              <w:rPr>
                <w:sz w:val="24"/>
                <w:szCs w:val="24"/>
              </w:rPr>
              <w:t xml:space="preserve"> ajánlat nem változtatható meg a hiánypótlás során.</w:t>
            </w:r>
          </w:p>
        </w:tc>
      </w:tr>
      <w:tr w:rsidR="000E4587" w:rsidRPr="006878FA" w:rsidTr="00936C20">
        <w:trPr>
          <w:trHeight w:val="646"/>
        </w:trPr>
        <w:tc>
          <w:tcPr>
            <w:tcW w:w="3969" w:type="dxa"/>
            <w:vAlign w:val="center"/>
          </w:tcPr>
          <w:p w:rsidR="000E4587" w:rsidRPr="006878FA" w:rsidRDefault="000E4587" w:rsidP="000E4587">
            <w:pPr>
              <w:pStyle w:val="Szvegtrzs"/>
              <w:numPr>
                <w:ilvl w:val="0"/>
                <w:numId w:val="8"/>
              </w:numPr>
              <w:overflowPunct w:val="0"/>
              <w:autoSpaceDE w:val="0"/>
              <w:autoSpaceDN w:val="0"/>
              <w:adjustRightInd w:val="0"/>
              <w:ind w:left="492"/>
              <w:jc w:val="left"/>
              <w:textAlignment w:val="baseline"/>
              <w:rPr>
                <w:sz w:val="24"/>
                <w:szCs w:val="24"/>
              </w:rPr>
            </w:pPr>
            <w:r w:rsidRPr="006878FA">
              <w:rPr>
                <w:sz w:val="24"/>
                <w:szCs w:val="24"/>
              </w:rPr>
              <w:t>Az eredményhirdetés:</w:t>
            </w:r>
          </w:p>
        </w:tc>
        <w:tc>
          <w:tcPr>
            <w:tcW w:w="5955" w:type="dxa"/>
            <w:vAlign w:val="center"/>
          </w:tcPr>
          <w:p w:rsidR="000E4587" w:rsidRPr="006878FA" w:rsidRDefault="0093273F" w:rsidP="00B074F6">
            <w:pPr>
              <w:jc w:val="both"/>
              <w:rPr>
                <w:b/>
                <w:color w:val="FF0000"/>
              </w:rPr>
            </w:pPr>
            <w:r>
              <w:rPr>
                <w:b/>
              </w:rPr>
              <w:t>2025.11.24</w:t>
            </w:r>
            <w:r w:rsidR="008520E3">
              <w:rPr>
                <w:b/>
              </w:rPr>
              <w:t>.</w:t>
            </w:r>
            <w:r w:rsidR="004054C1" w:rsidRPr="001A1EC0">
              <w:rPr>
                <w:b/>
              </w:rPr>
              <w:t xml:space="preserve"> (11:00 óra)</w:t>
            </w:r>
          </w:p>
        </w:tc>
      </w:tr>
      <w:tr w:rsidR="000E4587" w:rsidRPr="006878FA" w:rsidTr="00936C20">
        <w:trPr>
          <w:trHeight w:val="646"/>
        </w:trPr>
        <w:tc>
          <w:tcPr>
            <w:tcW w:w="3969" w:type="dxa"/>
            <w:vAlign w:val="center"/>
          </w:tcPr>
          <w:p w:rsidR="00BB6F28" w:rsidRPr="006878FA" w:rsidRDefault="000E4587" w:rsidP="00CC1B3A">
            <w:pPr>
              <w:pStyle w:val="Szvegtrzs"/>
              <w:numPr>
                <w:ilvl w:val="0"/>
                <w:numId w:val="8"/>
              </w:numPr>
              <w:overflowPunct w:val="0"/>
              <w:autoSpaceDE w:val="0"/>
              <w:autoSpaceDN w:val="0"/>
              <w:adjustRightInd w:val="0"/>
              <w:ind w:left="492"/>
              <w:jc w:val="left"/>
              <w:textAlignment w:val="baseline"/>
              <w:rPr>
                <w:sz w:val="24"/>
                <w:szCs w:val="24"/>
              </w:rPr>
            </w:pPr>
            <w:r w:rsidRPr="006878FA">
              <w:rPr>
                <w:sz w:val="24"/>
                <w:szCs w:val="24"/>
              </w:rPr>
              <w:t>A szerződéskötés tervezett időpontja:</w:t>
            </w:r>
          </w:p>
        </w:tc>
        <w:tc>
          <w:tcPr>
            <w:tcW w:w="5955" w:type="dxa"/>
            <w:vAlign w:val="center"/>
          </w:tcPr>
          <w:p w:rsidR="000E4587" w:rsidRPr="001A1EC0" w:rsidRDefault="0093273F" w:rsidP="00507FAD">
            <w:pPr>
              <w:pStyle w:val="Szvegtrzs"/>
              <w:jc w:val="left"/>
              <w:rPr>
                <w:b/>
                <w:sz w:val="24"/>
                <w:szCs w:val="24"/>
              </w:rPr>
            </w:pPr>
            <w:r>
              <w:rPr>
                <w:b/>
                <w:sz w:val="24"/>
                <w:szCs w:val="24"/>
              </w:rPr>
              <w:t>2025.11.25</w:t>
            </w:r>
            <w:r w:rsidR="008520E3">
              <w:rPr>
                <w:b/>
                <w:sz w:val="24"/>
                <w:szCs w:val="24"/>
              </w:rPr>
              <w:t>.</w:t>
            </w:r>
          </w:p>
        </w:tc>
      </w:tr>
      <w:tr w:rsidR="000E4587" w:rsidRPr="006878FA" w:rsidTr="00936C20">
        <w:trPr>
          <w:trHeight w:val="646"/>
        </w:trPr>
        <w:tc>
          <w:tcPr>
            <w:tcW w:w="3969" w:type="dxa"/>
            <w:vAlign w:val="center"/>
          </w:tcPr>
          <w:p w:rsidR="00AE094B" w:rsidRPr="006878FA" w:rsidRDefault="000E4587" w:rsidP="00AE094B">
            <w:pPr>
              <w:pStyle w:val="Szvegtrzs"/>
              <w:numPr>
                <w:ilvl w:val="0"/>
                <w:numId w:val="8"/>
              </w:numPr>
              <w:overflowPunct w:val="0"/>
              <w:autoSpaceDE w:val="0"/>
              <w:autoSpaceDN w:val="0"/>
              <w:adjustRightInd w:val="0"/>
              <w:ind w:left="492"/>
              <w:jc w:val="left"/>
              <w:textAlignment w:val="baseline"/>
              <w:rPr>
                <w:sz w:val="24"/>
                <w:szCs w:val="24"/>
              </w:rPr>
            </w:pPr>
            <w:r w:rsidRPr="006878FA">
              <w:rPr>
                <w:sz w:val="24"/>
                <w:szCs w:val="24"/>
              </w:rPr>
              <w:t>Amennyiben a nyertes ajánlattevő a szerződést nem köti meg, az ajánlatkérő a második legkedvezőbb ajánlattevőt kéri fel szerződéskötésre:</w:t>
            </w:r>
          </w:p>
        </w:tc>
        <w:tc>
          <w:tcPr>
            <w:tcW w:w="5955" w:type="dxa"/>
            <w:vAlign w:val="center"/>
          </w:tcPr>
          <w:p w:rsidR="00BB6F28" w:rsidRPr="006878FA" w:rsidRDefault="00745E78" w:rsidP="00463FFC">
            <w:pPr>
              <w:pStyle w:val="Szvegtrzs"/>
              <w:jc w:val="left"/>
              <w:rPr>
                <w:sz w:val="24"/>
                <w:szCs w:val="24"/>
              </w:rPr>
            </w:pPr>
            <w:r w:rsidRPr="006878FA">
              <w:rPr>
                <w:sz w:val="24"/>
                <w:szCs w:val="24"/>
              </w:rPr>
              <w:t>igen</w:t>
            </w:r>
          </w:p>
        </w:tc>
      </w:tr>
      <w:tr w:rsidR="000E4587" w:rsidRPr="006878FA" w:rsidTr="00936C20">
        <w:trPr>
          <w:trHeight w:val="584"/>
        </w:trPr>
        <w:tc>
          <w:tcPr>
            <w:tcW w:w="9924" w:type="dxa"/>
            <w:gridSpan w:val="2"/>
            <w:vAlign w:val="center"/>
          </w:tcPr>
          <w:p w:rsidR="000E4587" w:rsidRPr="006878FA" w:rsidRDefault="000E4587" w:rsidP="00463FFC">
            <w:pPr>
              <w:pStyle w:val="Szvegtrzs"/>
              <w:jc w:val="center"/>
              <w:rPr>
                <w:b/>
                <w:sz w:val="24"/>
                <w:szCs w:val="24"/>
              </w:rPr>
            </w:pPr>
            <w:r w:rsidRPr="006878FA">
              <w:rPr>
                <w:b/>
                <w:sz w:val="24"/>
                <w:szCs w:val="24"/>
              </w:rPr>
              <w:t>VI. BÍRÁLATI SZEMPONTOK</w:t>
            </w:r>
          </w:p>
        </w:tc>
      </w:tr>
      <w:tr w:rsidR="000E4587" w:rsidRPr="006878FA" w:rsidTr="00936C20">
        <w:trPr>
          <w:trHeight w:val="510"/>
        </w:trPr>
        <w:tc>
          <w:tcPr>
            <w:tcW w:w="3969" w:type="dxa"/>
            <w:vAlign w:val="center"/>
          </w:tcPr>
          <w:p w:rsidR="000E4587" w:rsidRPr="006878FA" w:rsidRDefault="000E4587" w:rsidP="000E4587">
            <w:pPr>
              <w:pStyle w:val="Szvegtrzs"/>
              <w:numPr>
                <w:ilvl w:val="0"/>
                <w:numId w:val="9"/>
              </w:numPr>
              <w:overflowPunct w:val="0"/>
              <w:autoSpaceDE w:val="0"/>
              <w:autoSpaceDN w:val="0"/>
              <w:adjustRightInd w:val="0"/>
              <w:ind w:left="498"/>
              <w:jc w:val="left"/>
              <w:textAlignment w:val="baseline"/>
              <w:rPr>
                <w:sz w:val="24"/>
                <w:szCs w:val="24"/>
              </w:rPr>
            </w:pPr>
            <w:r w:rsidRPr="006878FA">
              <w:rPr>
                <w:sz w:val="24"/>
                <w:szCs w:val="24"/>
              </w:rPr>
              <w:t>A legalacsonyabb összegű ellenszolgáltatás alapján vagy az összességében legelőnyösebb ajánlat:</w:t>
            </w:r>
          </w:p>
        </w:tc>
        <w:tc>
          <w:tcPr>
            <w:tcW w:w="5955" w:type="dxa"/>
            <w:vAlign w:val="center"/>
          </w:tcPr>
          <w:p w:rsidR="000251BE" w:rsidRPr="006878FA" w:rsidRDefault="000251BE" w:rsidP="003E04D4">
            <w:pPr>
              <w:jc w:val="both"/>
              <w:rPr>
                <w:rFonts w:eastAsia="Times New Roman"/>
              </w:rPr>
            </w:pPr>
          </w:p>
          <w:p w:rsidR="00732EC5" w:rsidRPr="006878FA" w:rsidRDefault="003E04D4" w:rsidP="003E04D4">
            <w:pPr>
              <w:jc w:val="both"/>
              <w:rPr>
                <w:rFonts w:eastAsia="Times New Roman"/>
              </w:rPr>
            </w:pPr>
            <w:r w:rsidRPr="006878FA">
              <w:rPr>
                <w:rFonts w:eastAsia="Times New Roman"/>
              </w:rPr>
              <w:t>A legalacsonyabb összegű ellenszolgáltatás.</w:t>
            </w:r>
          </w:p>
          <w:p w:rsidR="000251BE" w:rsidRPr="00723B1E" w:rsidRDefault="000251BE" w:rsidP="003E04D4">
            <w:pPr>
              <w:jc w:val="both"/>
              <w:rPr>
                <w:rFonts w:eastAsia="Times New Roman"/>
              </w:rPr>
            </w:pPr>
          </w:p>
          <w:p w:rsidR="00C60E21" w:rsidRPr="00723B1E" w:rsidRDefault="002B6A83" w:rsidP="003E04D4">
            <w:pPr>
              <w:pStyle w:val="Szvegtrzs"/>
              <w:rPr>
                <w:sz w:val="24"/>
                <w:szCs w:val="24"/>
              </w:rPr>
            </w:pPr>
            <w:r w:rsidRPr="00723B1E">
              <w:rPr>
                <w:sz w:val="24"/>
                <w:szCs w:val="24"/>
              </w:rPr>
              <w:t>A megajánlott</w:t>
            </w:r>
            <w:r w:rsidR="00723B1E" w:rsidRPr="00723B1E">
              <w:rPr>
                <w:sz w:val="24"/>
                <w:szCs w:val="24"/>
              </w:rPr>
              <w:t xml:space="preserve"> díj teljes</w:t>
            </w:r>
            <w:r w:rsidR="003E04D4" w:rsidRPr="00723B1E">
              <w:rPr>
                <w:sz w:val="24"/>
                <w:szCs w:val="24"/>
              </w:rPr>
              <w:t>körű, vagyis mag</w:t>
            </w:r>
            <w:r w:rsidRPr="00723B1E">
              <w:rPr>
                <w:sz w:val="24"/>
                <w:szCs w:val="24"/>
              </w:rPr>
              <w:t>ában foglal minden, a szállító</w:t>
            </w:r>
            <w:r w:rsidR="003E04D4" w:rsidRPr="00723B1E">
              <w:rPr>
                <w:sz w:val="24"/>
                <w:szCs w:val="24"/>
              </w:rPr>
              <w:t xml:space="preserve"> által szükséges kifizetési igényt, valamint tartalmazza mindazokat a költségeket, amelyek a szerződés tárgyának teljes körű megvalósításához, az ajánlati feltételekben rögzített feltételek betartásához szükségesek.</w:t>
            </w:r>
          </w:p>
          <w:p w:rsidR="000251BE" w:rsidRPr="006878FA" w:rsidRDefault="000251BE" w:rsidP="003E04D4">
            <w:pPr>
              <w:pStyle w:val="Szvegtrzs"/>
              <w:rPr>
                <w:sz w:val="24"/>
                <w:szCs w:val="24"/>
              </w:rPr>
            </w:pPr>
          </w:p>
          <w:p w:rsidR="00863963" w:rsidRPr="006878FA" w:rsidRDefault="00863963" w:rsidP="003E04D4">
            <w:pPr>
              <w:pStyle w:val="Szvegtrzs"/>
              <w:rPr>
                <w:sz w:val="24"/>
                <w:szCs w:val="24"/>
              </w:rPr>
            </w:pPr>
          </w:p>
        </w:tc>
      </w:tr>
      <w:tr w:rsidR="000E4587" w:rsidRPr="006878FA" w:rsidTr="00936C20">
        <w:trPr>
          <w:trHeight w:val="584"/>
        </w:trPr>
        <w:tc>
          <w:tcPr>
            <w:tcW w:w="9924" w:type="dxa"/>
            <w:gridSpan w:val="2"/>
            <w:vAlign w:val="center"/>
          </w:tcPr>
          <w:p w:rsidR="000E4587" w:rsidRPr="006878FA" w:rsidRDefault="000E4587" w:rsidP="00463FFC">
            <w:pPr>
              <w:pStyle w:val="Szvegtrzs"/>
              <w:jc w:val="center"/>
              <w:rPr>
                <w:b/>
                <w:sz w:val="24"/>
                <w:szCs w:val="24"/>
              </w:rPr>
            </w:pPr>
            <w:r w:rsidRPr="006878FA">
              <w:rPr>
                <w:b/>
                <w:sz w:val="24"/>
                <w:szCs w:val="24"/>
              </w:rPr>
              <w:t>VI. AJÁNLATTEVŐ TÁJÉKOZTATÁSA</w:t>
            </w:r>
          </w:p>
        </w:tc>
      </w:tr>
      <w:tr w:rsidR="00745E78" w:rsidRPr="006878FA" w:rsidTr="00936C20">
        <w:trPr>
          <w:trHeight w:val="510"/>
        </w:trPr>
        <w:tc>
          <w:tcPr>
            <w:tcW w:w="9924" w:type="dxa"/>
            <w:gridSpan w:val="2"/>
            <w:vAlign w:val="center"/>
          </w:tcPr>
          <w:p w:rsidR="000251BE" w:rsidRPr="006878FA" w:rsidRDefault="000251BE" w:rsidP="000251BE">
            <w:pPr>
              <w:jc w:val="both"/>
            </w:pPr>
            <w:r w:rsidRPr="006878FA">
              <w:t>Az ajánlat elkészítésének formai feltételei: Az ajánlatok benyújtását írásban és zárt borítékban, az ajánlati felhívásban megadott címr</w:t>
            </w:r>
            <w:r w:rsidR="00B074F6">
              <w:t>e kell teljesíteni közvetlenül</w:t>
            </w:r>
            <w:r w:rsidRPr="006878FA">
              <w:t>.</w:t>
            </w:r>
          </w:p>
          <w:p w:rsidR="000251BE" w:rsidRPr="006878FA" w:rsidRDefault="000251BE" w:rsidP="00463FFC">
            <w:pPr>
              <w:widowControl/>
              <w:numPr>
                <w:ilvl w:val="0"/>
                <w:numId w:val="14"/>
              </w:numPr>
              <w:autoSpaceDE/>
              <w:autoSpaceDN/>
              <w:adjustRightInd/>
              <w:ind w:left="284" w:hanging="284"/>
              <w:jc w:val="both"/>
            </w:pPr>
            <w:r w:rsidRPr="006878FA">
              <w:t>Postai úton, vagy személyesen az ajánlatokat az ajánlattevők által az arra jogosult által aláírva, zárt csomagolásban, kettő példányban (egy „eredeti” + egy „másolat”) kell benyújtani. A csomagolást</w:t>
            </w:r>
            <w:r w:rsidR="00A71135" w:rsidRPr="006878FA">
              <w:t xml:space="preserve"> </w:t>
            </w:r>
            <w:r w:rsidR="00A71135" w:rsidRPr="00B074F6">
              <w:rPr>
                <w:rStyle w:val="FontStyle54"/>
                <w:sz w:val="24"/>
                <w:szCs w:val="24"/>
              </w:rPr>
              <w:t>„</w:t>
            </w:r>
            <w:r w:rsidR="00B074F6" w:rsidRPr="00B074F6">
              <w:t>Hévíz Város Önkormányzat Gazdasági, Műszak</w:t>
            </w:r>
            <w:r w:rsidR="0093273F">
              <w:t>i Ellátó Szervezet részére, 2026</w:t>
            </w:r>
            <w:r w:rsidR="00B074F6" w:rsidRPr="00B074F6">
              <w:t>. évi közétkeztetéshez szükséges nyersanyagok és élelmiszerek beszerzése</w:t>
            </w:r>
            <w:r w:rsidR="00A71135" w:rsidRPr="00B074F6">
              <w:rPr>
                <w:rStyle w:val="FontStyle54"/>
                <w:sz w:val="24"/>
                <w:szCs w:val="24"/>
              </w:rPr>
              <w:t>”</w:t>
            </w:r>
            <w:r w:rsidR="00A71135" w:rsidRPr="006878FA">
              <w:rPr>
                <w:rStyle w:val="FontStyle54"/>
                <w:sz w:val="24"/>
                <w:szCs w:val="24"/>
              </w:rPr>
              <w:t xml:space="preserve"> és „Az ajánlattételi határidő lejártáig tilos felbontani” felirattal kell ellátni. </w:t>
            </w:r>
            <w:r w:rsidRPr="006878FA">
              <w:t xml:space="preserve">Az ajánlatokat összefűzve, minden </w:t>
            </w:r>
            <w:proofErr w:type="gramStart"/>
            <w:r w:rsidRPr="006878FA">
              <w:t>információt</w:t>
            </w:r>
            <w:proofErr w:type="gramEnd"/>
            <w:r w:rsidRPr="006878FA">
              <w:t xml:space="preserve"> tartalmazó oldalát folyamatos sorszámozással ellátva kell összeállítani. </w:t>
            </w:r>
          </w:p>
          <w:p w:rsidR="000251BE" w:rsidRPr="006878FA" w:rsidRDefault="000251BE" w:rsidP="000251BE">
            <w:pPr>
              <w:jc w:val="both"/>
            </w:pPr>
            <w:r w:rsidRPr="006878FA">
              <w:t>A benyújtandó ajánlat tartalma:</w:t>
            </w:r>
          </w:p>
          <w:p w:rsidR="000251BE" w:rsidRPr="006878FA" w:rsidRDefault="000251BE" w:rsidP="00F501FD">
            <w:pPr>
              <w:jc w:val="both"/>
            </w:pPr>
            <w:r w:rsidRPr="006878FA">
              <w:t>0.</w:t>
            </w:r>
            <w:r w:rsidR="00F501FD" w:rsidRPr="006878FA">
              <w:t xml:space="preserve"> </w:t>
            </w:r>
            <w:r w:rsidRPr="006878FA">
              <w:t>Címlap</w:t>
            </w:r>
          </w:p>
          <w:p w:rsidR="000251BE" w:rsidRPr="006878FA" w:rsidRDefault="000251BE" w:rsidP="00F501FD">
            <w:pPr>
              <w:jc w:val="both"/>
            </w:pPr>
            <w:r w:rsidRPr="006878FA">
              <w:t>1.</w:t>
            </w:r>
            <w:r w:rsidR="00F501FD" w:rsidRPr="006878FA">
              <w:t xml:space="preserve"> </w:t>
            </w:r>
            <w:r w:rsidRPr="006878FA">
              <w:t>Tartalomjegyzék</w:t>
            </w:r>
          </w:p>
          <w:p w:rsidR="000251BE" w:rsidRPr="00B074F6" w:rsidRDefault="000251BE" w:rsidP="00F501FD">
            <w:pPr>
              <w:jc w:val="both"/>
            </w:pPr>
            <w:r w:rsidRPr="00B074F6">
              <w:t>2.</w:t>
            </w:r>
            <w:r w:rsidR="00F501FD" w:rsidRPr="00B074F6">
              <w:t xml:space="preserve"> </w:t>
            </w:r>
            <w:r w:rsidRPr="00B074F6">
              <w:t>Felolvasólap (jelen dokumentáció 1. sz. melléklete)</w:t>
            </w:r>
          </w:p>
          <w:p w:rsidR="00B074F6" w:rsidRPr="00B074F6" w:rsidRDefault="00B074F6" w:rsidP="00B074F6">
            <w:pPr>
              <w:widowControl/>
              <w:tabs>
                <w:tab w:val="left" w:pos="540"/>
                <w:tab w:val="left" w:pos="993"/>
                <w:tab w:val="left" w:pos="3420"/>
                <w:tab w:val="right" w:pos="8820"/>
              </w:tabs>
              <w:autoSpaceDE/>
              <w:autoSpaceDN/>
              <w:adjustRightInd/>
              <w:jc w:val="both"/>
              <w:rPr>
                <w:rFonts w:eastAsia="Times New Roman"/>
              </w:rPr>
            </w:pPr>
            <w:r w:rsidRPr="00B074F6">
              <w:rPr>
                <w:rFonts w:eastAsia="Times New Roman"/>
              </w:rPr>
              <w:t>3. A termékcsoportra vonatkozó tételes ajánlat (jelen dokumentáció 4. sz. melléklete)</w:t>
            </w:r>
          </w:p>
          <w:p w:rsidR="00B074F6" w:rsidRPr="00B074F6" w:rsidRDefault="00B074F6" w:rsidP="00B074F6">
            <w:pPr>
              <w:widowControl/>
              <w:tabs>
                <w:tab w:val="left" w:pos="540"/>
                <w:tab w:val="left" w:pos="993"/>
                <w:tab w:val="left" w:pos="3420"/>
                <w:tab w:val="right" w:pos="8820"/>
              </w:tabs>
              <w:autoSpaceDE/>
              <w:autoSpaceDN/>
              <w:adjustRightInd/>
              <w:jc w:val="both"/>
              <w:rPr>
                <w:rFonts w:eastAsia="Times New Roman"/>
              </w:rPr>
            </w:pPr>
            <w:r w:rsidRPr="00B074F6">
              <w:rPr>
                <w:rFonts w:eastAsia="Times New Roman"/>
              </w:rPr>
              <w:t>4. N</w:t>
            </w:r>
            <w:r w:rsidR="000924FB">
              <w:rPr>
                <w:rFonts w:eastAsia="Times New Roman"/>
              </w:rPr>
              <w:t>yilatkozat (jelen dokumentáció 2</w:t>
            </w:r>
            <w:bookmarkStart w:id="0" w:name="_GoBack"/>
            <w:bookmarkEnd w:id="0"/>
            <w:r w:rsidRPr="00B074F6">
              <w:rPr>
                <w:rFonts w:eastAsia="Times New Roman"/>
              </w:rPr>
              <w:t>. sz. melléklete)</w:t>
            </w:r>
          </w:p>
          <w:p w:rsidR="00B074F6" w:rsidRPr="00B074F6" w:rsidRDefault="00B074F6" w:rsidP="00B074F6">
            <w:pPr>
              <w:widowControl/>
              <w:tabs>
                <w:tab w:val="left" w:pos="540"/>
                <w:tab w:val="left" w:pos="993"/>
                <w:tab w:val="left" w:pos="3420"/>
                <w:tab w:val="right" w:pos="8820"/>
              </w:tabs>
              <w:autoSpaceDE/>
              <w:autoSpaceDN/>
              <w:adjustRightInd/>
              <w:jc w:val="both"/>
              <w:rPr>
                <w:rFonts w:eastAsia="Times New Roman"/>
              </w:rPr>
            </w:pPr>
            <w:r w:rsidRPr="00B074F6">
              <w:rPr>
                <w:rFonts w:eastAsia="Times New Roman"/>
              </w:rPr>
              <w:t xml:space="preserve">5. Referencialista, amely tartalmaz legalább egy az ajánlattevő ajánlattételi határidőt megelőző 2 évben teljesített, az ajánlatával hasonló tárgyú áruszállítás területén az ajánlatban szereplő ajánlati ár 75 %-át meghaladó értékű teljesített szerződést. A listában fel kell tüntetni a szerződő fél nevét és a kapcsolattartója elérhetőségét, a szállítás tárgyát, értékét és a teljesítés időpontját. </w:t>
            </w:r>
          </w:p>
          <w:p w:rsidR="00B074F6" w:rsidRPr="00B074F6" w:rsidRDefault="00B074F6" w:rsidP="00B074F6">
            <w:pPr>
              <w:widowControl/>
              <w:tabs>
                <w:tab w:val="left" w:pos="540"/>
                <w:tab w:val="left" w:pos="993"/>
                <w:tab w:val="left" w:pos="3420"/>
                <w:tab w:val="right" w:pos="8820"/>
              </w:tabs>
              <w:autoSpaceDE/>
              <w:autoSpaceDN/>
              <w:adjustRightInd/>
              <w:jc w:val="both"/>
              <w:rPr>
                <w:rFonts w:eastAsia="Times New Roman"/>
              </w:rPr>
            </w:pPr>
            <w:r w:rsidRPr="00B074F6">
              <w:rPr>
                <w:rFonts w:eastAsia="Times New Roman"/>
              </w:rPr>
              <w:t xml:space="preserve">6. Az igénybe venni kívánt szállítójármű érvényes forgalmi engedélyének másolata. </w:t>
            </w:r>
          </w:p>
          <w:p w:rsidR="00B074F6" w:rsidRPr="00B074F6" w:rsidRDefault="00B074F6" w:rsidP="00B074F6">
            <w:pPr>
              <w:widowControl/>
              <w:tabs>
                <w:tab w:val="left" w:pos="540"/>
                <w:tab w:val="left" w:pos="993"/>
                <w:tab w:val="left" w:pos="3420"/>
                <w:tab w:val="right" w:pos="8820"/>
              </w:tabs>
              <w:autoSpaceDE/>
              <w:autoSpaceDN/>
              <w:adjustRightInd/>
              <w:jc w:val="both"/>
              <w:rPr>
                <w:rFonts w:eastAsia="Times New Roman"/>
              </w:rPr>
            </w:pPr>
            <w:r w:rsidRPr="00B074F6">
              <w:rPr>
                <w:rFonts w:eastAsia="Times New Roman"/>
              </w:rPr>
              <w:t xml:space="preserve">7. Az ajánlattevő adatait tartalmazó, a működési forma szerinti okirat másolata. </w:t>
            </w:r>
          </w:p>
          <w:p w:rsidR="00B074F6" w:rsidRPr="00B074F6" w:rsidRDefault="00B074F6" w:rsidP="00B074F6">
            <w:pPr>
              <w:widowControl/>
              <w:tabs>
                <w:tab w:val="left" w:pos="540"/>
                <w:tab w:val="left" w:pos="993"/>
                <w:tab w:val="left" w:pos="3420"/>
                <w:tab w:val="right" w:pos="8820"/>
              </w:tabs>
              <w:autoSpaceDE/>
              <w:autoSpaceDN/>
              <w:adjustRightInd/>
              <w:jc w:val="both"/>
              <w:rPr>
                <w:rFonts w:eastAsia="Times New Roman"/>
              </w:rPr>
            </w:pPr>
            <w:r w:rsidRPr="00B074F6">
              <w:rPr>
                <w:rFonts w:eastAsia="Times New Roman"/>
              </w:rPr>
              <w:t>8. Az ajánlatot aláíró képviseletre jogosult aláírási címpéldányának, vagy banki aláírási kartonjának másolata.</w:t>
            </w:r>
          </w:p>
          <w:p w:rsidR="00B074F6" w:rsidRPr="00B074F6" w:rsidRDefault="00B074F6" w:rsidP="00B074F6">
            <w:pPr>
              <w:widowControl/>
              <w:tabs>
                <w:tab w:val="left" w:pos="540"/>
                <w:tab w:val="left" w:pos="993"/>
                <w:tab w:val="left" w:pos="3420"/>
                <w:tab w:val="right" w:pos="8820"/>
              </w:tabs>
              <w:autoSpaceDE/>
              <w:autoSpaceDN/>
              <w:adjustRightInd/>
              <w:jc w:val="both"/>
              <w:rPr>
                <w:rFonts w:eastAsia="Times New Roman"/>
              </w:rPr>
            </w:pPr>
            <w:r w:rsidRPr="00B074F6">
              <w:rPr>
                <w:rFonts w:eastAsia="Times New Roman"/>
              </w:rPr>
              <w:t>9. Egyéb, az ajánlattevő által ismertetni kívánt adatok.</w:t>
            </w:r>
          </w:p>
          <w:p w:rsidR="00E743E9" w:rsidRDefault="00E743E9" w:rsidP="000251BE">
            <w:pPr>
              <w:jc w:val="both"/>
            </w:pPr>
          </w:p>
          <w:p w:rsidR="0093273F" w:rsidRDefault="0093273F" w:rsidP="000251BE">
            <w:pPr>
              <w:jc w:val="both"/>
            </w:pPr>
          </w:p>
          <w:p w:rsidR="0093273F" w:rsidRPr="006878FA" w:rsidRDefault="0093273F" w:rsidP="000251BE">
            <w:pPr>
              <w:jc w:val="both"/>
            </w:pPr>
          </w:p>
          <w:p w:rsidR="000251BE" w:rsidRPr="006878FA" w:rsidRDefault="000251BE" w:rsidP="000251BE">
            <w:pPr>
              <w:jc w:val="both"/>
            </w:pPr>
            <w:r w:rsidRPr="006878FA">
              <w:t>Az ajánlat elemei és feltétel</w:t>
            </w:r>
            <w:r w:rsidR="00AB7423">
              <w:t>e</w:t>
            </w:r>
            <w:r w:rsidRPr="006878FA">
              <w:t>i:</w:t>
            </w:r>
          </w:p>
          <w:p w:rsidR="00B074F6" w:rsidRPr="00B074F6" w:rsidRDefault="00B074F6" w:rsidP="00B074F6">
            <w:pPr>
              <w:widowControl/>
              <w:numPr>
                <w:ilvl w:val="0"/>
                <w:numId w:val="14"/>
              </w:numPr>
              <w:autoSpaceDE/>
              <w:autoSpaceDN/>
              <w:adjustRightInd/>
              <w:spacing w:after="160" w:line="259" w:lineRule="auto"/>
              <w:jc w:val="both"/>
              <w:rPr>
                <w:rFonts w:eastAsia="Times New Roman"/>
              </w:rPr>
            </w:pPr>
            <w:r w:rsidRPr="00B074F6">
              <w:rPr>
                <w:rFonts w:eastAsia="Times New Roman"/>
              </w:rPr>
              <w:t xml:space="preserve">Az ajánlat a jelen dokumentációban leírt és tervezett beszerzés </w:t>
            </w:r>
            <w:proofErr w:type="spellStart"/>
            <w:r w:rsidRPr="00B074F6">
              <w:rPr>
                <w:rFonts w:eastAsia="Times New Roman"/>
              </w:rPr>
              <w:t>részenkénti</w:t>
            </w:r>
            <w:proofErr w:type="spellEnd"/>
            <w:r w:rsidRPr="00B074F6">
              <w:rPr>
                <w:rFonts w:eastAsia="Times New Roman"/>
              </w:rPr>
              <w:t xml:space="preserve"> egészére kell, hogy vonatkozzék, és annak megfelelően teljesítendő.</w:t>
            </w:r>
          </w:p>
          <w:p w:rsidR="00B074F6" w:rsidRPr="00B074F6" w:rsidRDefault="00B074F6" w:rsidP="00B074F6">
            <w:pPr>
              <w:widowControl/>
              <w:numPr>
                <w:ilvl w:val="0"/>
                <w:numId w:val="14"/>
              </w:numPr>
              <w:autoSpaceDE/>
              <w:autoSpaceDN/>
              <w:adjustRightInd/>
              <w:spacing w:after="160" w:line="259" w:lineRule="auto"/>
              <w:jc w:val="both"/>
              <w:rPr>
                <w:rFonts w:eastAsia="Times New Roman"/>
              </w:rPr>
            </w:pPr>
            <w:r w:rsidRPr="00B074F6">
              <w:rPr>
                <w:rFonts w:eastAsia="Times New Roman"/>
              </w:rPr>
              <w:t>Az Ajánlatkérő biztosítja a rész-ajánlattétel lehetőségét, azonban az ajánlattételi felhívásban meghatározott részek további részekre bontásának lehetősége már nem biztosított.</w:t>
            </w:r>
          </w:p>
          <w:p w:rsidR="00B074F6" w:rsidRPr="00B074F6" w:rsidRDefault="00B074F6" w:rsidP="00B074F6">
            <w:pPr>
              <w:widowControl/>
              <w:numPr>
                <w:ilvl w:val="0"/>
                <w:numId w:val="14"/>
              </w:numPr>
              <w:autoSpaceDE/>
              <w:autoSpaceDN/>
              <w:adjustRightInd/>
              <w:spacing w:after="160" w:line="259" w:lineRule="auto"/>
              <w:jc w:val="both"/>
              <w:rPr>
                <w:rFonts w:eastAsia="Times New Roman"/>
              </w:rPr>
            </w:pPr>
            <w:r w:rsidRPr="00B074F6">
              <w:rPr>
                <w:rFonts w:eastAsia="Times New Roman"/>
              </w:rPr>
              <w:t>Amennyiben az Ajánlattevő több részre nyújt be ajánlatot, a Felolvasó Lapot részenként kell kitöltenie, és a részek sorrendjének megfelelő sorrendben egymás után, közvetlenül a tartalomjegyzék után kell elhelyeznie ajánlatában.</w:t>
            </w:r>
          </w:p>
          <w:p w:rsidR="00B074F6" w:rsidRPr="00B074F6" w:rsidRDefault="00B074F6" w:rsidP="00B074F6">
            <w:pPr>
              <w:widowControl/>
              <w:numPr>
                <w:ilvl w:val="0"/>
                <w:numId w:val="14"/>
              </w:numPr>
              <w:autoSpaceDE/>
              <w:autoSpaceDN/>
              <w:adjustRightInd/>
              <w:spacing w:after="160" w:line="259" w:lineRule="auto"/>
              <w:jc w:val="both"/>
              <w:rPr>
                <w:rFonts w:eastAsia="Times New Roman"/>
              </w:rPr>
            </w:pPr>
            <w:r w:rsidRPr="00B074F6">
              <w:rPr>
                <w:rFonts w:eastAsia="Times New Roman"/>
              </w:rPr>
              <w:t xml:space="preserve">Felolvasó lap mellékleteként szükséges az ajánlati árat </w:t>
            </w:r>
            <w:proofErr w:type="spellStart"/>
            <w:r w:rsidRPr="00B074F6">
              <w:rPr>
                <w:rFonts w:eastAsia="Times New Roman"/>
              </w:rPr>
              <w:t>tételenkénti</w:t>
            </w:r>
            <w:proofErr w:type="spellEnd"/>
            <w:r w:rsidRPr="00B074F6">
              <w:rPr>
                <w:rFonts w:eastAsia="Times New Roman"/>
              </w:rPr>
              <w:t xml:space="preserve"> bontásban tartalmazó táblázat – mint az elszámolások és számlák alapját képező tételes kereskedelmi ajánlat – becsatolása a jelen dokumentáció 4.1. – 4.8. számú mellékletei szerint. A mintadokumentumok tartalma nem változtatható meg.</w:t>
            </w:r>
          </w:p>
          <w:p w:rsidR="00B074F6" w:rsidRPr="00B074F6" w:rsidRDefault="00B074F6" w:rsidP="00B074F6">
            <w:pPr>
              <w:widowControl/>
              <w:numPr>
                <w:ilvl w:val="0"/>
                <w:numId w:val="14"/>
              </w:numPr>
              <w:autoSpaceDE/>
              <w:autoSpaceDN/>
              <w:adjustRightInd/>
              <w:spacing w:after="160" w:line="259" w:lineRule="auto"/>
              <w:jc w:val="both"/>
              <w:rPr>
                <w:rFonts w:eastAsia="Times New Roman"/>
              </w:rPr>
            </w:pPr>
            <w:r w:rsidRPr="00B074F6">
              <w:rPr>
                <w:rFonts w:eastAsia="Times New Roman"/>
              </w:rPr>
              <w:t>Ajánlattevőnek ajánlati árát a felolvasólapon kell megadnia nettó értékben. Az ajánlati árnak a nyertes ajánlattevő által jelen szerződés alapján teljesítendő valamennyi feladat ellenértékét tartalmaznia kell, így ezeken túlmenően semmilyen jogcímen nem jogosult Megrendelőtől további díj- vagy költségtérítés igénylésére. Ajánlattevő ezen felül a szerződés időtartama alatt semmilyen költség elszámolására nem jogosult.</w:t>
            </w:r>
          </w:p>
          <w:p w:rsidR="00B074F6" w:rsidRPr="00B074F6" w:rsidRDefault="00B074F6" w:rsidP="00B074F6">
            <w:pPr>
              <w:widowControl/>
              <w:numPr>
                <w:ilvl w:val="0"/>
                <w:numId w:val="14"/>
              </w:numPr>
              <w:autoSpaceDE/>
              <w:autoSpaceDN/>
              <w:adjustRightInd/>
              <w:spacing w:after="160" w:line="259" w:lineRule="auto"/>
              <w:jc w:val="both"/>
              <w:rPr>
                <w:rFonts w:eastAsia="Times New Roman"/>
              </w:rPr>
            </w:pPr>
            <w:r w:rsidRPr="00B074F6">
              <w:rPr>
                <w:rFonts w:eastAsia="Times New Roman"/>
              </w:rPr>
              <w:t>Az ajánlati árat magyar forintban (HUF) kell megadni, s az nem köthető semmilyen más külföldi fizetőeszköz árfolyamához.</w:t>
            </w:r>
          </w:p>
          <w:p w:rsidR="00B074F6" w:rsidRPr="00B074F6" w:rsidRDefault="00B074F6" w:rsidP="00B074F6">
            <w:pPr>
              <w:widowControl/>
              <w:numPr>
                <w:ilvl w:val="0"/>
                <w:numId w:val="14"/>
              </w:numPr>
              <w:autoSpaceDE/>
              <w:autoSpaceDN/>
              <w:adjustRightInd/>
              <w:spacing w:after="160" w:line="259" w:lineRule="auto"/>
              <w:jc w:val="both"/>
              <w:rPr>
                <w:rFonts w:eastAsia="Times New Roman"/>
              </w:rPr>
            </w:pPr>
            <w:r w:rsidRPr="00B074F6">
              <w:rPr>
                <w:rFonts w:eastAsia="Times New Roman"/>
              </w:rPr>
              <w:t>Ajánlatkérő az ajánlatok értékelése során a nettó árat veszi figyelembe.</w:t>
            </w:r>
          </w:p>
          <w:p w:rsidR="00B074F6" w:rsidRPr="00B074F6" w:rsidRDefault="00B074F6" w:rsidP="00B074F6">
            <w:pPr>
              <w:widowControl/>
              <w:numPr>
                <w:ilvl w:val="0"/>
                <w:numId w:val="14"/>
              </w:numPr>
              <w:autoSpaceDE/>
              <w:autoSpaceDN/>
              <w:adjustRightInd/>
              <w:spacing w:after="160" w:line="259" w:lineRule="auto"/>
              <w:jc w:val="both"/>
              <w:rPr>
                <w:rFonts w:eastAsia="Times New Roman"/>
              </w:rPr>
            </w:pPr>
            <w:r w:rsidRPr="00B074F6">
              <w:rPr>
                <w:rFonts w:eastAsia="Times New Roman"/>
              </w:rPr>
              <w:t>Az Ajánlattevő a beszerzési eljárás eredményhirdetése után nem hivatkozhat arra, hogy az ajánlattételi felhívás nem volt teljes, vagy abban hibákat észlelt. Amennyiben az ajánlattételi felhívás nem értelmezhető egyértelműen az Ajánlattevő kötelezettsége az ellentmondásokat feloldani (a kiegészítő tájékoztatás útján, vagy egyéb módon), a feladatot pontosítani.</w:t>
            </w:r>
          </w:p>
          <w:p w:rsidR="00B074F6" w:rsidRPr="00B074F6" w:rsidRDefault="00B074F6" w:rsidP="00B074F6">
            <w:pPr>
              <w:widowControl/>
              <w:numPr>
                <w:ilvl w:val="0"/>
                <w:numId w:val="14"/>
              </w:numPr>
              <w:autoSpaceDE/>
              <w:autoSpaceDN/>
              <w:adjustRightInd/>
              <w:spacing w:after="160" w:line="259" w:lineRule="auto"/>
              <w:jc w:val="both"/>
              <w:rPr>
                <w:rFonts w:eastAsia="Times New Roman"/>
              </w:rPr>
            </w:pPr>
            <w:r w:rsidRPr="00B074F6">
              <w:rPr>
                <w:rFonts w:eastAsia="Times New Roman"/>
              </w:rPr>
              <w:t xml:space="preserve">Bármilyen mulasztás következménye, amelyet az Ajánlattevő követ el azzal, hogy nem szerez megbízható információt az előzményekről, vagy olyan egyéb körülményekről, amelyek befolyásolják a szerződés előírásainak betartását, az Ajánlattevőt terheli, és amennyiben az Ajánlatkérő vele </w:t>
            </w:r>
            <w:proofErr w:type="gramStart"/>
            <w:r w:rsidRPr="00B074F6">
              <w:rPr>
                <w:rFonts w:eastAsia="Times New Roman"/>
              </w:rPr>
              <w:t>köt</w:t>
            </w:r>
            <w:proofErr w:type="gramEnd"/>
            <w:r w:rsidRPr="00B074F6">
              <w:rPr>
                <w:rFonts w:eastAsia="Times New Roman"/>
              </w:rPr>
              <w:t xml:space="preserve"> szerződést a mulasztás ténye nem mentesíti az Ajánlattevőt szerződéses kötelezettségeinek a vállalt határidőre történő teljesítése alól.</w:t>
            </w:r>
          </w:p>
          <w:p w:rsidR="00B074F6" w:rsidRPr="00B074F6" w:rsidRDefault="00B074F6" w:rsidP="00B074F6">
            <w:pPr>
              <w:widowControl/>
              <w:numPr>
                <w:ilvl w:val="0"/>
                <w:numId w:val="14"/>
              </w:numPr>
              <w:autoSpaceDE/>
              <w:autoSpaceDN/>
              <w:adjustRightInd/>
              <w:spacing w:after="160" w:line="259" w:lineRule="auto"/>
              <w:jc w:val="both"/>
              <w:rPr>
                <w:rFonts w:eastAsia="Times New Roman"/>
              </w:rPr>
            </w:pPr>
            <w:r w:rsidRPr="00B074F6">
              <w:rPr>
                <w:rFonts w:eastAsia="Times New Roman"/>
              </w:rPr>
              <w:t>Az Ajánlattevőnek ajánlatában nyilatkoznia kell, hogy ajánlatát az ajánlattételi felhívás, valamint kiegészítő (értelmező) tájékoztatás ismeretében, azokat egymással összevetve és elfogadva, valamint tudomásul véve tette meg, Ezzel összefüggésben az ajánlat beadását követően ellentmondásra nem hivatkozhat, illetőleg arról, hogy megbizonyosodott az ajánlattételi felhívásban megadott, illetve a szerződés-tervezetből ésszerűen következő - a termékek biztosításához, leszállításához és átadásához szükséges - feladatokra vonatkozó szerződéses ár helyességéről és elégséges voltáról.</w:t>
            </w:r>
          </w:p>
          <w:p w:rsidR="00B074F6" w:rsidRDefault="00B074F6" w:rsidP="000251BE">
            <w:pPr>
              <w:jc w:val="both"/>
            </w:pPr>
          </w:p>
          <w:p w:rsidR="000251BE" w:rsidRPr="006878FA" w:rsidRDefault="000251BE" w:rsidP="000251BE">
            <w:pPr>
              <w:jc w:val="both"/>
            </w:pPr>
            <w:r w:rsidRPr="006878FA">
              <w:t>Egyéb feltételek:</w:t>
            </w:r>
          </w:p>
          <w:p w:rsidR="00B074F6" w:rsidRPr="005F20EF" w:rsidRDefault="00B074F6" w:rsidP="00B074F6">
            <w:pPr>
              <w:widowControl/>
              <w:numPr>
                <w:ilvl w:val="0"/>
                <w:numId w:val="14"/>
              </w:numPr>
              <w:autoSpaceDE/>
              <w:autoSpaceDN/>
              <w:adjustRightInd/>
              <w:jc w:val="both"/>
              <w:rPr>
                <w:rFonts w:eastAsia="Times New Roman"/>
              </w:rPr>
            </w:pPr>
            <w:r w:rsidRPr="005F20EF">
              <w:rPr>
                <w:rFonts w:eastAsia="Times New Roman"/>
              </w:rPr>
              <w:t>Az ajánlat készítésével és benyújtásával kapcsolatos költségeket az ajánlattevő viseli.</w:t>
            </w:r>
          </w:p>
          <w:p w:rsidR="00B074F6" w:rsidRPr="005F20EF" w:rsidRDefault="00B074F6" w:rsidP="00B074F6">
            <w:pPr>
              <w:widowControl/>
              <w:numPr>
                <w:ilvl w:val="0"/>
                <w:numId w:val="14"/>
              </w:numPr>
              <w:autoSpaceDE/>
              <w:autoSpaceDN/>
              <w:adjustRightInd/>
              <w:jc w:val="both"/>
              <w:rPr>
                <w:rFonts w:eastAsia="Times New Roman"/>
              </w:rPr>
            </w:pPr>
            <w:r w:rsidRPr="005F20EF">
              <w:rPr>
                <w:rFonts w:eastAsia="Times New Roman"/>
              </w:rPr>
              <w:t>Az ajánlatkérő fenntartja azon jogát, hogy a pályázati eljárást eredménytelennek nyilváníthatja.</w:t>
            </w:r>
          </w:p>
          <w:p w:rsidR="00B074F6" w:rsidRPr="005F20EF" w:rsidRDefault="00B074F6" w:rsidP="00B074F6">
            <w:pPr>
              <w:widowControl/>
              <w:numPr>
                <w:ilvl w:val="0"/>
                <w:numId w:val="14"/>
              </w:numPr>
              <w:autoSpaceDE/>
              <w:autoSpaceDN/>
              <w:adjustRightInd/>
              <w:jc w:val="both"/>
              <w:rPr>
                <w:rFonts w:eastAsia="Times New Roman"/>
              </w:rPr>
            </w:pPr>
            <w:r w:rsidRPr="005F20EF">
              <w:rPr>
                <w:rFonts w:eastAsia="Times New Roman"/>
              </w:rPr>
              <w:t>Amennyiben az „eredeti” és a „másolati” példány között eltérés van, az ajánlatkérő az eredeti példányt tekinti mérvadónak.</w:t>
            </w:r>
          </w:p>
          <w:p w:rsidR="00B074F6" w:rsidRPr="005F20EF" w:rsidRDefault="00B074F6" w:rsidP="00B074F6">
            <w:pPr>
              <w:widowControl/>
              <w:numPr>
                <w:ilvl w:val="0"/>
                <w:numId w:val="14"/>
              </w:numPr>
              <w:autoSpaceDE/>
              <w:autoSpaceDN/>
              <w:adjustRightInd/>
              <w:jc w:val="both"/>
              <w:rPr>
                <w:rFonts w:eastAsia="Times New Roman"/>
              </w:rPr>
            </w:pPr>
            <w:r w:rsidRPr="005F20EF">
              <w:rPr>
                <w:rFonts w:eastAsia="Times New Roman"/>
              </w:rPr>
              <w:t>Amennyiben az ajánlattevő</w:t>
            </w:r>
            <w:r w:rsidR="00657831">
              <w:rPr>
                <w:rFonts w:eastAsia="Times New Roman"/>
              </w:rPr>
              <w:t xml:space="preserve"> a borítékon elmulasztotta feltü</w:t>
            </w:r>
            <w:r w:rsidRPr="005F20EF">
              <w:rPr>
                <w:rFonts w:eastAsia="Times New Roman"/>
              </w:rPr>
              <w:t>ntetni az ajánlati felhívás szerinti, az ajánlati boríték zártságára vonatkozó záradékot, az ajánlatának nyilvánosságra kerüléséből adódóan semmilyen igényt nem támaszthat, ajánlata érvénytelenné nyilvánítható.</w:t>
            </w:r>
          </w:p>
          <w:p w:rsidR="00B074F6" w:rsidRPr="005F20EF" w:rsidRDefault="00B074F6" w:rsidP="00B074F6">
            <w:pPr>
              <w:widowControl/>
              <w:numPr>
                <w:ilvl w:val="0"/>
                <w:numId w:val="14"/>
              </w:numPr>
              <w:autoSpaceDE/>
              <w:autoSpaceDN/>
              <w:adjustRightInd/>
              <w:jc w:val="both"/>
              <w:rPr>
                <w:rFonts w:eastAsia="Times New Roman"/>
              </w:rPr>
            </w:pPr>
            <w:r w:rsidRPr="005F20EF">
              <w:rPr>
                <w:rFonts w:eastAsia="Times New Roman"/>
              </w:rPr>
              <w:t>A késedelmesen benyújtott ajánlat érvénytelen azt az ajánlatkérő felbontás nélkül köteles az ajánlattevőnek visszajuttatni.</w:t>
            </w:r>
          </w:p>
          <w:p w:rsidR="00B074F6" w:rsidRPr="005F20EF" w:rsidRDefault="00B074F6" w:rsidP="00B074F6">
            <w:pPr>
              <w:widowControl/>
              <w:numPr>
                <w:ilvl w:val="0"/>
                <w:numId w:val="14"/>
              </w:numPr>
              <w:autoSpaceDE/>
              <w:autoSpaceDN/>
              <w:adjustRightInd/>
              <w:jc w:val="both"/>
              <w:rPr>
                <w:rFonts w:eastAsia="Times New Roman"/>
              </w:rPr>
            </w:pPr>
            <w:r w:rsidRPr="005F20EF">
              <w:rPr>
                <w:rFonts w:eastAsia="Times New Roman"/>
              </w:rPr>
              <w:t>Az ajánlatok felbontásánál csak az ajánlatkérő vagy a nevében eljárók, az ajánlattevők, továbbá az ajánlatkérő által meghívottak lehetnek jelen.</w:t>
            </w:r>
          </w:p>
          <w:p w:rsidR="00B074F6" w:rsidRPr="005F20EF" w:rsidRDefault="00B074F6" w:rsidP="00B074F6">
            <w:pPr>
              <w:widowControl/>
              <w:numPr>
                <w:ilvl w:val="0"/>
                <w:numId w:val="14"/>
              </w:numPr>
              <w:autoSpaceDE/>
              <w:autoSpaceDN/>
              <w:adjustRightInd/>
              <w:jc w:val="both"/>
              <w:rPr>
                <w:rFonts w:eastAsia="Times New Roman"/>
              </w:rPr>
            </w:pPr>
            <w:r w:rsidRPr="005F20EF">
              <w:rPr>
                <w:rFonts w:eastAsia="Times New Roman"/>
              </w:rPr>
              <w:t xml:space="preserve">Az ajánlatok felbontásakor ismertetni kell a felolvasó lap tartalmát. </w:t>
            </w:r>
          </w:p>
          <w:p w:rsidR="00B074F6" w:rsidRPr="005F20EF" w:rsidRDefault="00B074F6" w:rsidP="00B074F6">
            <w:pPr>
              <w:widowControl/>
              <w:numPr>
                <w:ilvl w:val="0"/>
                <w:numId w:val="14"/>
              </w:numPr>
              <w:autoSpaceDE/>
              <w:autoSpaceDN/>
              <w:adjustRightInd/>
              <w:jc w:val="both"/>
              <w:rPr>
                <w:rFonts w:eastAsia="Times New Roman"/>
              </w:rPr>
            </w:pPr>
            <w:r w:rsidRPr="005F20EF">
              <w:rPr>
                <w:rFonts w:eastAsia="Times New Roman"/>
              </w:rPr>
              <w:t>Az ajánlatoknak az ajánlati felhívásban megjelölteket tartalmaznia kell. Amennyiben az ajánlat az ajánlat elbírálásának szempontjaiból akár egyet is nem tartalmaz az ajánlat érvénytelen.</w:t>
            </w:r>
          </w:p>
          <w:p w:rsidR="00B074F6" w:rsidRDefault="00B074F6" w:rsidP="00B074F6">
            <w:pPr>
              <w:jc w:val="both"/>
              <w:rPr>
                <w:rFonts w:eastAsia="Times New Roman"/>
              </w:rPr>
            </w:pPr>
          </w:p>
          <w:p w:rsidR="00B074F6" w:rsidRPr="005F20EF" w:rsidRDefault="00B074F6" w:rsidP="00B074F6">
            <w:pPr>
              <w:jc w:val="both"/>
              <w:rPr>
                <w:rFonts w:eastAsia="Times New Roman"/>
              </w:rPr>
            </w:pPr>
            <w:r w:rsidRPr="005F20EF">
              <w:rPr>
                <w:rFonts w:eastAsia="Times New Roman"/>
              </w:rPr>
              <w:t>Kommunikáció az ajánlattételi időszak alatt:</w:t>
            </w:r>
          </w:p>
          <w:p w:rsidR="00B074F6" w:rsidRPr="005F20EF" w:rsidRDefault="00B074F6" w:rsidP="00B074F6">
            <w:pPr>
              <w:jc w:val="both"/>
              <w:rPr>
                <w:rFonts w:eastAsia="Times New Roman"/>
              </w:rPr>
            </w:pPr>
            <w:r w:rsidRPr="005F20EF">
              <w:rPr>
                <w:rFonts w:eastAsia="Times New Roman"/>
              </w:rPr>
              <w:t>Az ajánlati időszak alatt szükséges levelezést a rövid határidők miatt visszaigazolt elektronikus küldemény (e-mail) formájában, illetve telefaxon kell lebonyolítani az ajánlati felhívásban kapcsolattartási pontként megjelölt címen. Az ajánlott postai küldemény útján történő levelezés esetleges késedelme nem mentesít az eljárás során meghatározott határidők mulasztásának következménye alól.</w:t>
            </w:r>
          </w:p>
          <w:p w:rsidR="00B074F6" w:rsidRPr="005F20EF" w:rsidRDefault="00B074F6" w:rsidP="00B074F6">
            <w:pPr>
              <w:jc w:val="both"/>
              <w:rPr>
                <w:rFonts w:eastAsia="Times New Roman"/>
              </w:rPr>
            </w:pPr>
            <w:r w:rsidRPr="005F20EF">
              <w:rPr>
                <w:rFonts w:eastAsia="Times New Roman"/>
              </w:rPr>
              <w:t xml:space="preserve">Ajánlattevő elektronikus úton </w:t>
            </w:r>
            <w:r w:rsidR="0093273F">
              <w:rPr>
                <w:rFonts w:eastAsia="Times New Roman"/>
              </w:rPr>
              <w:t>2025.11</w:t>
            </w:r>
            <w:r w:rsidR="00C451C5" w:rsidRPr="00C451C5">
              <w:rPr>
                <w:rFonts w:eastAsia="Times New Roman"/>
              </w:rPr>
              <w:t>.20-ig</w:t>
            </w:r>
            <w:r w:rsidRPr="00C451C5">
              <w:rPr>
                <w:rFonts w:eastAsia="Times New Roman"/>
              </w:rPr>
              <w:t xml:space="preserve"> kiegészítő </w:t>
            </w:r>
            <w:r w:rsidRPr="005F20EF">
              <w:rPr>
                <w:rFonts w:eastAsia="Times New Roman"/>
              </w:rPr>
              <w:t>tájékoztatást kérhet, melyre a választ az ajánlatkérő ugyancsak írásban elektronikus úton (email) adja meg. A kiegészítő tájékoztatás-kérést Ajánlatkérő címére kell elektronikus úton (e-mail) megküldeni.</w:t>
            </w:r>
          </w:p>
          <w:p w:rsidR="00863963" w:rsidRPr="006878FA" w:rsidRDefault="00863963" w:rsidP="00B074F6">
            <w:pPr>
              <w:jc w:val="both"/>
            </w:pPr>
          </w:p>
        </w:tc>
      </w:tr>
      <w:tr w:rsidR="000E4587" w:rsidRPr="006878FA" w:rsidTr="00936C20">
        <w:trPr>
          <w:trHeight w:val="584"/>
        </w:trPr>
        <w:tc>
          <w:tcPr>
            <w:tcW w:w="9924" w:type="dxa"/>
            <w:gridSpan w:val="2"/>
            <w:vAlign w:val="center"/>
          </w:tcPr>
          <w:p w:rsidR="000E4587" w:rsidRPr="006878FA" w:rsidRDefault="000E4587" w:rsidP="00463FFC">
            <w:pPr>
              <w:pStyle w:val="Szvegtrzs"/>
              <w:jc w:val="center"/>
              <w:rPr>
                <w:b/>
                <w:sz w:val="24"/>
                <w:szCs w:val="24"/>
              </w:rPr>
            </w:pPr>
            <w:r w:rsidRPr="006878FA">
              <w:rPr>
                <w:b/>
                <w:sz w:val="24"/>
                <w:szCs w:val="24"/>
              </w:rPr>
              <w:t>VII. AJÁNLATTÉTELI FELHÍVÁS MELLÉKLETEI</w:t>
            </w:r>
          </w:p>
        </w:tc>
      </w:tr>
      <w:tr w:rsidR="000E4587" w:rsidRPr="006878FA" w:rsidTr="00936C20">
        <w:trPr>
          <w:trHeight w:val="510"/>
        </w:trPr>
        <w:tc>
          <w:tcPr>
            <w:tcW w:w="3969" w:type="dxa"/>
            <w:vAlign w:val="center"/>
          </w:tcPr>
          <w:p w:rsidR="000E4587" w:rsidRPr="006878FA" w:rsidRDefault="000E4587" w:rsidP="000E4587">
            <w:pPr>
              <w:pStyle w:val="Szvegtrzs"/>
              <w:numPr>
                <w:ilvl w:val="0"/>
                <w:numId w:val="10"/>
              </w:numPr>
              <w:overflowPunct w:val="0"/>
              <w:autoSpaceDE w:val="0"/>
              <w:autoSpaceDN w:val="0"/>
              <w:adjustRightInd w:val="0"/>
              <w:ind w:left="498"/>
              <w:jc w:val="left"/>
              <w:textAlignment w:val="baseline"/>
              <w:rPr>
                <w:sz w:val="24"/>
                <w:szCs w:val="24"/>
              </w:rPr>
            </w:pPr>
            <w:r w:rsidRPr="006878FA">
              <w:rPr>
                <w:sz w:val="24"/>
                <w:szCs w:val="24"/>
              </w:rPr>
              <w:t>Felolvasólap:</w:t>
            </w:r>
          </w:p>
        </w:tc>
        <w:tc>
          <w:tcPr>
            <w:tcW w:w="5955" w:type="dxa"/>
            <w:vAlign w:val="center"/>
          </w:tcPr>
          <w:p w:rsidR="000E4587" w:rsidRPr="006878FA" w:rsidRDefault="003E04D4" w:rsidP="00463FFC">
            <w:pPr>
              <w:pStyle w:val="Szvegtrzs"/>
              <w:jc w:val="left"/>
              <w:rPr>
                <w:sz w:val="24"/>
                <w:szCs w:val="24"/>
              </w:rPr>
            </w:pPr>
            <w:r w:rsidRPr="006878FA">
              <w:rPr>
                <w:sz w:val="24"/>
                <w:szCs w:val="24"/>
              </w:rPr>
              <w:t>igen</w:t>
            </w:r>
          </w:p>
        </w:tc>
      </w:tr>
      <w:tr w:rsidR="000E4587" w:rsidRPr="006878FA" w:rsidTr="00936C20">
        <w:trPr>
          <w:trHeight w:val="510"/>
        </w:trPr>
        <w:tc>
          <w:tcPr>
            <w:tcW w:w="3969" w:type="dxa"/>
            <w:vAlign w:val="center"/>
          </w:tcPr>
          <w:p w:rsidR="000E4587" w:rsidRPr="006878FA" w:rsidRDefault="00E743E9" w:rsidP="000E4587">
            <w:pPr>
              <w:pStyle w:val="Szvegtrzs"/>
              <w:numPr>
                <w:ilvl w:val="0"/>
                <w:numId w:val="10"/>
              </w:numPr>
              <w:overflowPunct w:val="0"/>
              <w:autoSpaceDE w:val="0"/>
              <w:autoSpaceDN w:val="0"/>
              <w:adjustRightInd w:val="0"/>
              <w:ind w:left="498"/>
              <w:jc w:val="left"/>
              <w:textAlignment w:val="baseline"/>
              <w:rPr>
                <w:sz w:val="24"/>
                <w:szCs w:val="24"/>
              </w:rPr>
            </w:pPr>
            <w:r w:rsidRPr="006878FA">
              <w:rPr>
                <w:sz w:val="24"/>
                <w:szCs w:val="24"/>
              </w:rPr>
              <w:t>Nyilatkozat</w:t>
            </w:r>
            <w:r w:rsidR="000E4587" w:rsidRPr="006878FA">
              <w:rPr>
                <w:sz w:val="24"/>
                <w:szCs w:val="24"/>
              </w:rPr>
              <w:t>:</w:t>
            </w:r>
          </w:p>
        </w:tc>
        <w:tc>
          <w:tcPr>
            <w:tcW w:w="5955" w:type="dxa"/>
            <w:vAlign w:val="center"/>
          </w:tcPr>
          <w:p w:rsidR="000E4587" w:rsidRPr="006878FA" w:rsidRDefault="003E04D4" w:rsidP="00463FFC">
            <w:pPr>
              <w:pStyle w:val="Szvegtrzs"/>
              <w:jc w:val="left"/>
              <w:rPr>
                <w:sz w:val="24"/>
                <w:szCs w:val="24"/>
              </w:rPr>
            </w:pPr>
            <w:r w:rsidRPr="006878FA">
              <w:rPr>
                <w:sz w:val="24"/>
                <w:szCs w:val="24"/>
              </w:rPr>
              <w:t>igen</w:t>
            </w:r>
          </w:p>
        </w:tc>
      </w:tr>
      <w:tr w:rsidR="003F4D07" w:rsidRPr="006878FA" w:rsidTr="00936C20">
        <w:trPr>
          <w:trHeight w:val="510"/>
        </w:trPr>
        <w:tc>
          <w:tcPr>
            <w:tcW w:w="3969" w:type="dxa"/>
            <w:vAlign w:val="center"/>
          </w:tcPr>
          <w:p w:rsidR="003F4D07" w:rsidRPr="006878FA" w:rsidRDefault="00E743E9" w:rsidP="00E743E9">
            <w:pPr>
              <w:pStyle w:val="Szvegtrzs"/>
              <w:numPr>
                <w:ilvl w:val="0"/>
                <w:numId w:val="10"/>
              </w:numPr>
              <w:overflowPunct w:val="0"/>
              <w:autoSpaceDE w:val="0"/>
              <w:autoSpaceDN w:val="0"/>
              <w:adjustRightInd w:val="0"/>
              <w:ind w:left="498"/>
              <w:jc w:val="left"/>
              <w:textAlignment w:val="baseline"/>
              <w:rPr>
                <w:sz w:val="24"/>
                <w:szCs w:val="24"/>
              </w:rPr>
            </w:pPr>
            <w:r w:rsidRPr="006878FA">
              <w:rPr>
                <w:sz w:val="24"/>
                <w:szCs w:val="24"/>
              </w:rPr>
              <w:t>Szerződés tervezet</w:t>
            </w:r>
            <w:r w:rsidR="00863963" w:rsidRPr="006878FA">
              <w:rPr>
                <w:sz w:val="24"/>
                <w:szCs w:val="24"/>
              </w:rPr>
              <w:t>:</w:t>
            </w:r>
          </w:p>
        </w:tc>
        <w:tc>
          <w:tcPr>
            <w:tcW w:w="5955" w:type="dxa"/>
            <w:vAlign w:val="center"/>
          </w:tcPr>
          <w:p w:rsidR="003F4D07" w:rsidRPr="006878FA" w:rsidRDefault="00863963" w:rsidP="00E743E9">
            <w:pPr>
              <w:pStyle w:val="Szvegtrzs"/>
              <w:jc w:val="left"/>
              <w:rPr>
                <w:sz w:val="24"/>
                <w:szCs w:val="24"/>
              </w:rPr>
            </w:pPr>
            <w:r w:rsidRPr="006878FA">
              <w:rPr>
                <w:sz w:val="24"/>
                <w:szCs w:val="24"/>
              </w:rPr>
              <w:t xml:space="preserve">igen </w:t>
            </w:r>
          </w:p>
        </w:tc>
      </w:tr>
      <w:tr w:rsidR="004561B6" w:rsidRPr="006878FA" w:rsidTr="00936C20">
        <w:trPr>
          <w:trHeight w:val="510"/>
        </w:trPr>
        <w:tc>
          <w:tcPr>
            <w:tcW w:w="3969" w:type="dxa"/>
            <w:vAlign w:val="center"/>
          </w:tcPr>
          <w:p w:rsidR="004561B6" w:rsidRPr="006878FA" w:rsidRDefault="004561B6" w:rsidP="00E743E9">
            <w:pPr>
              <w:pStyle w:val="Szvegtrzs"/>
              <w:numPr>
                <w:ilvl w:val="0"/>
                <w:numId w:val="10"/>
              </w:numPr>
              <w:overflowPunct w:val="0"/>
              <w:autoSpaceDE w:val="0"/>
              <w:autoSpaceDN w:val="0"/>
              <w:adjustRightInd w:val="0"/>
              <w:ind w:left="498"/>
              <w:jc w:val="left"/>
              <w:textAlignment w:val="baseline"/>
              <w:rPr>
                <w:sz w:val="24"/>
                <w:szCs w:val="24"/>
              </w:rPr>
            </w:pPr>
            <w:r>
              <w:rPr>
                <w:sz w:val="24"/>
                <w:szCs w:val="24"/>
              </w:rPr>
              <w:t xml:space="preserve">Termékcsoportok </w:t>
            </w:r>
            <w:proofErr w:type="spellStart"/>
            <w:r>
              <w:rPr>
                <w:sz w:val="24"/>
                <w:szCs w:val="24"/>
              </w:rPr>
              <w:t>részenkénti</w:t>
            </w:r>
            <w:proofErr w:type="spellEnd"/>
            <w:r>
              <w:rPr>
                <w:sz w:val="24"/>
                <w:szCs w:val="24"/>
              </w:rPr>
              <w:t xml:space="preserve"> egységár táblázata</w:t>
            </w:r>
          </w:p>
        </w:tc>
        <w:tc>
          <w:tcPr>
            <w:tcW w:w="5955" w:type="dxa"/>
            <w:vAlign w:val="center"/>
          </w:tcPr>
          <w:p w:rsidR="004561B6" w:rsidRPr="006878FA" w:rsidRDefault="004561B6" w:rsidP="00E743E9">
            <w:pPr>
              <w:pStyle w:val="Szvegtrzs"/>
              <w:jc w:val="left"/>
              <w:rPr>
                <w:sz w:val="24"/>
                <w:szCs w:val="24"/>
              </w:rPr>
            </w:pPr>
            <w:r>
              <w:rPr>
                <w:sz w:val="24"/>
                <w:szCs w:val="24"/>
              </w:rPr>
              <w:t>igen</w:t>
            </w:r>
          </w:p>
        </w:tc>
      </w:tr>
    </w:tbl>
    <w:p w:rsidR="000E4587" w:rsidRPr="006878FA" w:rsidRDefault="000E4587" w:rsidP="000E4587">
      <w:pPr>
        <w:ind w:left="400"/>
        <w:jc w:val="both"/>
        <w:rPr>
          <w:bCs/>
          <w:iCs/>
        </w:rPr>
      </w:pPr>
    </w:p>
    <w:p w:rsidR="00936C20" w:rsidRPr="006878FA" w:rsidRDefault="00936C20" w:rsidP="000E4587">
      <w:pPr>
        <w:ind w:left="400"/>
        <w:jc w:val="both"/>
        <w:rPr>
          <w:bCs/>
          <w:iCs/>
        </w:rPr>
      </w:pPr>
    </w:p>
    <w:p w:rsidR="000E4587" w:rsidRPr="006878FA" w:rsidRDefault="00936C20" w:rsidP="00936C20">
      <w:pPr>
        <w:ind w:left="-284"/>
        <w:jc w:val="both"/>
        <w:rPr>
          <w:bCs/>
          <w:iCs/>
        </w:rPr>
      </w:pPr>
      <w:r w:rsidRPr="006878FA">
        <w:rPr>
          <w:bCs/>
          <w:iCs/>
        </w:rPr>
        <w:t xml:space="preserve">Hévíz, </w:t>
      </w:r>
      <w:r w:rsidR="0093273F">
        <w:rPr>
          <w:bCs/>
          <w:iCs/>
        </w:rPr>
        <w:t>2025</w:t>
      </w:r>
      <w:r w:rsidR="00F501FD" w:rsidRPr="006878FA">
        <w:rPr>
          <w:bCs/>
          <w:iCs/>
        </w:rPr>
        <w:t xml:space="preserve">. </w:t>
      </w:r>
      <w:r w:rsidR="0093273F">
        <w:rPr>
          <w:bCs/>
          <w:iCs/>
        </w:rPr>
        <w:t>november</w:t>
      </w:r>
      <w:r w:rsidR="00FA3594">
        <w:rPr>
          <w:bCs/>
          <w:iCs/>
        </w:rPr>
        <w:t xml:space="preserve"> 10</w:t>
      </w:r>
      <w:r w:rsidR="008520E3">
        <w:rPr>
          <w:bCs/>
          <w:iCs/>
        </w:rPr>
        <w:t>.</w:t>
      </w:r>
    </w:p>
    <w:p w:rsidR="000E4587" w:rsidRPr="006878FA" w:rsidRDefault="000E4587" w:rsidP="000E4587">
      <w:pPr>
        <w:jc w:val="center"/>
        <w:rPr>
          <w:bCs/>
          <w:iCs/>
        </w:rPr>
      </w:pPr>
    </w:p>
    <w:p w:rsidR="00936C20" w:rsidRPr="006878FA" w:rsidRDefault="00936C20" w:rsidP="000E4587">
      <w:pPr>
        <w:jc w:val="center"/>
        <w:rPr>
          <w:bCs/>
          <w:iCs/>
        </w:rPr>
      </w:pPr>
    </w:p>
    <w:p w:rsidR="00936C20" w:rsidRPr="006878FA" w:rsidRDefault="00936C20" w:rsidP="000E4587">
      <w:pPr>
        <w:jc w:val="center"/>
        <w:rPr>
          <w:bCs/>
          <w:iCs/>
        </w:rPr>
      </w:pPr>
    </w:p>
    <w:p w:rsidR="00936C20" w:rsidRPr="006878FA" w:rsidRDefault="00936C20" w:rsidP="000E4587">
      <w:pPr>
        <w:jc w:val="center"/>
        <w:rPr>
          <w:bCs/>
          <w:iCs/>
        </w:rPr>
      </w:pPr>
    </w:p>
    <w:p w:rsidR="00936C20" w:rsidRPr="006878FA" w:rsidRDefault="00936C20" w:rsidP="000E4587">
      <w:pPr>
        <w:jc w:val="center"/>
        <w:rPr>
          <w:bCs/>
          <w:iCs/>
        </w:rPr>
      </w:pPr>
    </w:p>
    <w:p w:rsidR="00936C20" w:rsidRPr="006878FA" w:rsidRDefault="00936C20" w:rsidP="000E4587">
      <w:pPr>
        <w:jc w:val="center"/>
        <w:rPr>
          <w:bCs/>
          <w:iCs/>
        </w:rPr>
      </w:pPr>
    </w:p>
    <w:p w:rsidR="000E4587" w:rsidRPr="006878FA" w:rsidRDefault="000E4587" w:rsidP="000E4587">
      <w:pPr>
        <w:tabs>
          <w:tab w:val="center" w:pos="6804"/>
        </w:tabs>
        <w:rPr>
          <w:bCs/>
          <w:iCs/>
        </w:rPr>
      </w:pPr>
      <w:r w:rsidRPr="006878FA">
        <w:rPr>
          <w:bCs/>
          <w:iCs/>
        </w:rPr>
        <w:t xml:space="preserve">                                                                    </w:t>
      </w:r>
      <w:r w:rsidRPr="006878FA">
        <w:rPr>
          <w:bCs/>
          <w:iCs/>
        </w:rPr>
        <w:tab/>
      </w:r>
    </w:p>
    <w:p w:rsidR="000E4587" w:rsidRPr="006878FA" w:rsidRDefault="000E4587" w:rsidP="00745E78">
      <w:pPr>
        <w:tabs>
          <w:tab w:val="center" w:pos="6804"/>
        </w:tabs>
        <w:rPr>
          <w:bCs/>
          <w:iCs/>
        </w:rPr>
      </w:pPr>
      <w:r w:rsidRPr="006878FA">
        <w:rPr>
          <w:bCs/>
          <w:iCs/>
        </w:rPr>
        <w:t xml:space="preserve">                 </w:t>
      </w:r>
      <w:r w:rsidR="008B041E" w:rsidRPr="006878FA">
        <w:rPr>
          <w:bCs/>
          <w:iCs/>
        </w:rPr>
        <w:tab/>
        <w:t>……………………………………………</w:t>
      </w:r>
    </w:p>
    <w:p w:rsidR="00936C20" w:rsidRPr="006878FA" w:rsidRDefault="00936C20" w:rsidP="00745E78">
      <w:pPr>
        <w:tabs>
          <w:tab w:val="center" w:pos="6804"/>
        </w:tabs>
        <w:rPr>
          <w:bCs/>
          <w:iCs/>
        </w:rPr>
      </w:pPr>
      <w:r w:rsidRPr="006878FA">
        <w:rPr>
          <w:bCs/>
          <w:iCs/>
        </w:rPr>
        <w:tab/>
        <w:t>Hévíz Város Önkormányzat</w:t>
      </w:r>
    </w:p>
    <w:p w:rsidR="00863963" w:rsidRPr="006878FA" w:rsidRDefault="00863963" w:rsidP="00745E78">
      <w:pPr>
        <w:tabs>
          <w:tab w:val="center" w:pos="6804"/>
        </w:tabs>
        <w:rPr>
          <w:bCs/>
          <w:iCs/>
        </w:rPr>
      </w:pPr>
      <w:r w:rsidRPr="006878FA">
        <w:rPr>
          <w:bCs/>
          <w:iCs/>
        </w:rPr>
        <w:tab/>
        <w:t>Gazdasági Műszaki Ellátó Szervezet</w:t>
      </w:r>
    </w:p>
    <w:p w:rsidR="00936C20" w:rsidRPr="001A1EC0" w:rsidRDefault="00936C20" w:rsidP="00745E78">
      <w:pPr>
        <w:tabs>
          <w:tab w:val="center" w:pos="6804"/>
        </w:tabs>
        <w:rPr>
          <w:b/>
          <w:bCs/>
          <w:iCs/>
        </w:rPr>
      </w:pPr>
      <w:r w:rsidRPr="006878FA">
        <w:rPr>
          <w:bCs/>
          <w:iCs/>
        </w:rPr>
        <w:tab/>
      </w:r>
      <w:r w:rsidR="00863963" w:rsidRPr="001A1EC0">
        <w:rPr>
          <w:b/>
          <w:bCs/>
          <w:iCs/>
        </w:rPr>
        <w:t xml:space="preserve">Gönye József </w:t>
      </w:r>
    </w:p>
    <w:p w:rsidR="00936C20" w:rsidRPr="001A1EC0" w:rsidRDefault="00936C20" w:rsidP="00745E78">
      <w:pPr>
        <w:tabs>
          <w:tab w:val="center" w:pos="6804"/>
        </w:tabs>
        <w:rPr>
          <w:b/>
          <w:bCs/>
          <w:iCs/>
        </w:rPr>
      </w:pPr>
      <w:r w:rsidRPr="001A1EC0">
        <w:rPr>
          <w:b/>
          <w:bCs/>
          <w:iCs/>
        </w:rPr>
        <w:tab/>
      </w:r>
      <w:proofErr w:type="gramStart"/>
      <w:r w:rsidR="00863963" w:rsidRPr="001A1EC0">
        <w:rPr>
          <w:b/>
          <w:bCs/>
          <w:iCs/>
        </w:rPr>
        <w:t>igazgató</w:t>
      </w:r>
      <w:proofErr w:type="gramEnd"/>
    </w:p>
    <w:sectPr w:rsidR="00936C20" w:rsidRPr="001A1EC0" w:rsidSect="00923D69">
      <w:headerReference w:type="default" r:id="rId10"/>
      <w:pgSz w:w="11906" w:h="16838"/>
      <w:pgMar w:top="1418" w:right="1418" w:bottom="1418" w:left="1418"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2784" w:rsidRDefault="00C92784" w:rsidP="005E44B4">
      <w:r>
        <w:separator/>
      </w:r>
    </w:p>
  </w:endnote>
  <w:endnote w:type="continuationSeparator" w:id="0">
    <w:p w:rsidR="00C92784" w:rsidRDefault="00C92784" w:rsidP="005E44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2784" w:rsidRDefault="00C92784" w:rsidP="005E44B4">
      <w:r>
        <w:separator/>
      </w:r>
    </w:p>
  </w:footnote>
  <w:footnote w:type="continuationSeparator" w:id="0">
    <w:p w:rsidR="00C92784" w:rsidRDefault="00C92784" w:rsidP="005E44B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3FFC" w:rsidRDefault="008028A5">
    <w:pPr>
      <w:pStyle w:val="lfej"/>
    </w:pPr>
    <w:r>
      <w:t>Iktatószám: GAM/328</w:t>
    </w:r>
    <w:r w:rsidR="00CA2DE5">
      <w:t>/2025</w:t>
    </w:r>
    <w:r w:rsidR="00463FFC">
      <w:t>.</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37C64"/>
    <w:multiLevelType w:val="hybridMultilevel"/>
    <w:tmpl w:val="92040C68"/>
    <w:lvl w:ilvl="0" w:tplc="B0A07BAA">
      <w:numFmt w:val="bullet"/>
      <w:lvlText w:val="-"/>
      <w:lvlJc w:val="left"/>
      <w:pPr>
        <w:ind w:left="720" w:hanging="360"/>
      </w:pPr>
      <w:rPr>
        <w:rFonts w:ascii="Arial" w:eastAsia="Times New Roman" w:hAnsi="Arial" w:cs="Aria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043C1AAB"/>
    <w:multiLevelType w:val="hybridMultilevel"/>
    <w:tmpl w:val="99BAF10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095C3598"/>
    <w:multiLevelType w:val="hybridMultilevel"/>
    <w:tmpl w:val="A52E7304"/>
    <w:lvl w:ilvl="0" w:tplc="20AE18E2">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132069B4"/>
    <w:multiLevelType w:val="hybridMultilevel"/>
    <w:tmpl w:val="9B18848E"/>
    <w:lvl w:ilvl="0" w:tplc="3368A852">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140E0C7E"/>
    <w:multiLevelType w:val="hybridMultilevel"/>
    <w:tmpl w:val="DF741B6A"/>
    <w:lvl w:ilvl="0" w:tplc="377C0DCE">
      <w:start w:val="1"/>
      <w:numFmt w:val="bullet"/>
      <w:lvlText w:val="−"/>
      <w:lvlJc w:val="left"/>
      <w:pPr>
        <w:ind w:left="360" w:hanging="360"/>
      </w:pPr>
      <w:rPr>
        <w:rFonts w:ascii="Times New Roman" w:hAnsi="Times New Roman" w:cs="Times New Roman" w:hint="default"/>
      </w:rPr>
    </w:lvl>
    <w:lvl w:ilvl="1" w:tplc="040E0003" w:tentative="1">
      <w:start w:val="1"/>
      <w:numFmt w:val="bullet"/>
      <w:lvlText w:val="o"/>
      <w:lvlJc w:val="left"/>
      <w:pPr>
        <w:ind w:left="1080" w:hanging="360"/>
      </w:pPr>
      <w:rPr>
        <w:rFonts w:ascii="Courier New" w:hAnsi="Courier New" w:cs="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cs="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cs="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5" w15:restartNumberingAfterBreak="0">
    <w:nsid w:val="30B729C3"/>
    <w:multiLevelType w:val="hybridMultilevel"/>
    <w:tmpl w:val="ADDC7EE4"/>
    <w:lvl w:ilvl="0" w:tplc="377C0DCE">
      <w:start w:val="1"/>
      <w:numFmt w:val="bullet"/>
      <w:lvlText w:val="−"/>
      <w:lvlJc w:val="left"/>
      <w:pPr>
        <w:ind w:left="360" w:hanging="360"/>
      </w:pPr>
      <w:rPr>
        <w:rFonts w:ascii="Times New Roman" w:hAnsi="Times New Roman" w:cs="Times New Roman" w:hint="default"/>
      </w:rPr>
    </w:lvl>
    <w:lvl w:ilvl="1" w:tplc="040E0003" w:tentative="1">
      <w:start w:val="1"/>
      <w:numFmt w:val="bullet"/>
      <w:lvlText w:val="o"/>
      <w:lvlJc w:val="left"/>
      <w:pPr>
        <w:ind w:left="1080" w:hanging="360"/>
      </w:pPr>
      <w:rPr>
        <w:rFonts w:ascii="Courier New" w:hAnsi="Courier New" w:cs="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cs="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cs="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6" w15:restartNumberingAfterBreak="0">
    <w:nsid w:val="3ACB2E4E"/>
    <w:multiLevelType w:val="hybridMultilevel"/>
    <w:tmpl w:val="A52E7304"/>
    <w:lvl w:ilvl="0" w:tplc="20AE18E2">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3B765DCF"/>
    <w:multiLevelType w:val="hybridMultilevel"/>
    <w:tmpl w:val="A52E7304"/>
    <w:lvl w:ilvl="0" w:tplc="20AE18E2">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3E7D7BCE"/>
    <w:multiLevelType w:val="hybridMultilevel"/>
    <w:tmpl w:val="C47C65B8"/>
    <w:lvl w:ilvl="0" w:tplc="30080FA0">
      <w:numFmt w:val="decimal"/>
      <w:lvlText w:val="%1."/>
      <w:lvlJc w:val="left"/>
      <w:pPr>
        <w:tabs>
          <w:tab w:val="num" w:pos="1140"/>
        </w:tabs>
        <w:ind w:left="1140" w:hanging="600"/>
      </w:pPr>
      <w:rPr>
        <w:rFonts w:cs="Times New Roman"/>
      </w:rPr>
    </w:lvl>
    <w:lvl w:ilvl="1" w:tplc="040E0019">
      <w:start w:val="1"/>
      <w:numFmt w:val="lowerLetter"/>
      <w:lvlText w:val="%2."/>
      <w:lvlJc w:val="left"/>
      <w:pPr>
        <w:tabs>
          <w:tab w:val="num" w:pos="1620"/>
        </w:tabs>
        <w:ind w:left="1620" w:hanging="360"/>
      </w:pPr>
      <w:rPr>
        <w:rFonts w:cs="Times New Roman"/>
      </w:rPr>
    </w:lvl>
    <w:lvl w:ilvl="2" w:tplc="040E001B">
      <w:start w:val="1"/>
      <w:numFmt w:val="lowerRoman"/>
      <w:lvlText w:val="%3."/>
      <w:lvlJc w:val="right"/>
      <w:pPr>
        <w:tabs>
          <w:tab w:val="num" w:pos="2340"/>
        </w:tabs>
        <w:ind w:left="2340" w:hanging="180"/>
      </w:pPr>
      <w:rPr>
        <w:rFonts w:cs="Times New Roman"/>
      </w:rPr>
    </w:lvl>
    <w:lvl w:ilvl="3" w:tplc="040E000F">
      <w:start w:val="1"/>
      <w:numFmt w:val="decimal"/>
      <w:lvlText w:val="%4."/>
      <w:lvlJc w:val="left"/>
      <w:pPr>
        <w:tabs>
          <w:tab w:val="num" w:pos="3060"/>
        </w:tabs>
        <w:ind w:left="3060" w:hanging="360"/>
      </w:pPr>
      <w:rPr>
        <w:rFonts w:cs="Times New Roman"/>
      </w:rPr>
    </w:lvl>
    <w:lvl w:ilvl="4" w:tplc="040E0019">
      <w:start w:val="1"/>
      <w:numFmt w:val="lowerLetter"/>
      <w:lvlText w:val="%5."/>
      <w:lvlJc w:val="left"/>
      <w:pPr>
        <w:tabs>
          <w:tab w:val="num" w:pos="3780"/>
        </w:tabs>
        <w:ind w:left="3780" w:hanging="360"/>
      </w:pPr>
      <w:rPr>
        <w:rFonts w:cs="Times New Roman"/>
      </w:rPr>
    </w:lvl>
    <w:lvl w:ilvl="5" w:tplc="040E001B">
      <w:start w:val="1"/>
      <w:numFmt w:val="lowerRoman"/>
      <w:lvlText w:val="%6."/>
      <w:lvlJc w:val="right"/>
      <w:pPr>
        <w:tabs>
          <w:tab w:val="num" w:pos="4500"/>
        </w:tabs>
        <w:ind w:left="4500" w:hanging="180"/>
      </w:pPr>
      <w:rPr>
        <w:rFonts w:cs="Times New Roman"/>
      </w:rPr>
    </w:lvl>
    <w:lvl w:ilvl="6" w:tplc="040E000F">
      <w:start w:val="1"/>
      <w:numFmt w:val="decimal"/>
      <w:lvlText w:val="%7."/>
      <w:lvlJc w:val="left"/>
      <w:pPr>
        <w:tabs>
          <w:tab w:val="num" w:pos="5220"/>
        </w:tabs>
        <w:ind w:left="5220" w:hanging="360"/>
      </w:pPr>
      <w:rPr>
        <w:rFonts w:cs="Times New Roman"/>
      </w:rPr>
    </w:lvl>
    <w:lvl w:ilvl="7" w:tplc="040E0019">
      <w:start w:val="1"/>
      <w:numFmt w:val="lowerLetter"/>
      <w:lvlText w:val="%8."/>
      <w:lvlJc w:val="left"/>
      <w:pPr>
        <w:tabs>
          <w:tab w:val="num" w:pos="5940"/>
        </w:tabs>
        <w:ind w:left="5940" w:hanging="360"/>
      </w:pPr>
      <w:rPr>
        <w:rFonts w:cs="Times New Roman"/>
      </w:rPr>
    </w:lvl>
    <w:lvl w:ilvl="8" w:tplc="040E001B">
      <w:start w:val="1"/>
      <w:numFmt w:val="lowerRoman"/>
      <w:lvlText w:val="%9."/>
      <w:lvlJc w:val="right"/>
      <w:pPr>
        <w:tabs>
          <w:tab w:val="num" w:pos="6660"/>
        </w:tabs>
        <w:ind w:left="6660" w:hanging="180"/>
      </w:pPr>
      <w:rPr>
        <w:rFonts w:cs="Times New Roman"/>
      </w:rPr>
    </w:lvl>
  </w:abstractNum>
  <w:abstractNum w:abstractNumId="9" w15:restartNumberingAfterBreak="0">
    <w:nsid w:val="5175416E"/>
    <w:multiLevelType w:val="hybridMultilevel"/>
    <w:tmpl w:val="6562CC68"/>
    <w:lvl w:ilvl="0" w:tplc="4BBE24FC">
      <w:start w:val="1"/>
      <w:numFmt w:val="decimal"/>
      <w:lvlText w:val="%1."/>
      <w:lvlJc w:val="left"/>
      <w:pPr>
        <w:ind w:left="1068" w:hanging="708"/>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5503128E"/>
    <w:multiLevelType w:val="hybridMultilevel"/>
    <w:tmpl w:val="644C1B3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63F56D06"/>
    <w:multiLevelType w:val="hybridMultilevel"/>
    <w:tmpl w:val="9B18848E"/>
    <w:lvl w:ilvl="0" w:tplc="3368A852">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6A89546A"/>
    <w:multiLevelType w:val="hybridMultilevel"/>
    <w:tmpl w:val="B0DED52C"/>
    <w:lvl w:ilvl="0" w:tplc="040E000F">
      <w:start w:val="5"/>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76AF78BC"/>
    <w:multiLevelType w:val="hybridMultilevel"/>
    <w:tmpl w:val="4C6C4DC8"/>
    <w:lvl w:ilvl="0" w:tplc="A3243130">
      <w:start w:val="1"/>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4" w15:restartNumberingAfterBreak="0">
    <w:nsid w:val="7C412434"/>
    <w:multiLevelType w:val="hybridMultilevel"/>
    <w:tmpl w:val="36CE0E78"/>
    <w:lvl w:ilvl="0" w:tplc="B8484134">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 w15:restartNumberingAfterBreak="0">
    <w:nsid w:val="7CFF0725"/>
    <w:multiLevelType w:val="hybridMultilevel"/>
    <w:tmpl w:val="3FDC2CD8"/>
    <w:lvl w:ilvl="0" w:tplc="39AA7F14">
      <w:start w:val="1"/>
      <w:numFmt w:val="bullet"/>
      <w:lvlText w:val=""/>
      <w:lvlJc w:val="left"/>
      <w:pPr>
        <w:ind w:left="786" w:hanging="360"/>
      </w:pPr>
      <w:rPr>
        <w:rFonts w:ascii="Symbol" w:hAnsi="Symbol" w:hint="default"/>
      </w:rPr>
    </w:lvl>
    <w:lvl w:ilvl="1" w:tplc="040E0003">
      <w:start w:val="1"/>
      <w:numFmt w:val="bullet"/>
      <w:lvlText w:val="o"/>
      <w:lvlJc w:val="left"/>
      <w:pPr>
        <w:ind w:left="1506" w:hanging="360"/>
      </w:pPr>
      <w:rPr>
        <w:rFonts w:ascii="Courier New" w:hAnsi="Courier New" w:cs="Courier New" w:hint="default"/>
      </w:rPr>
    </w:lvl>
    <w:lvl w:ilvl="2" w:tplc="040E0005">
      <w:start w:val="1"/>
      <w:numFmt w:val="bullet"/>
      <w:lvlText w:val=""/>
      <w:lvlJc w:val="left"/>
      <w:pPr>
        <w:ind w:left="2226" w:hanging="360"/>
      </w:pPr>
      <w:rPr>
        <w:rFonts w:ascii="Wingdings" w:hAnsi="Wingdings" w:hint="default"/>
      </w:rPr>
    </w:lvl>
    <w:lvl w:ilvl="3" w:tplc="040E0001">
      <w:start w:val="1"/>
      <w:numFmt w:val="bullet"/>
      <w:lvlText w:val=""/>
      <w:lvlJc w:val="left"/>
      <w:pPr>
        <w:ind w:left="2946" w:hanging="360"/>
      </w:pPr>
      <w:rPr>
        <w:rFonts w:ascii="Symbol" w:hAnsi="Symbol" w:hint="default"/>
      </w:rPr>
    </w:lvl>
    <w:lvl w:ilvl="4" w:tplc="040E0003">
      <w:start w:val="1"/>
      <w:numFmt w:val="bullet"/>
      <w:lvlText w:val="o"/>
      <w:lvlJc w:val="left"/>
      <w:pPr>
        <w:ind w:left="3666" w:hanging="360"/>
      </w:pPr>
      <w:rPr>
        <w:rFonts w:ascii="Courier New" w:hAnsi="Courier New" w:cs="Courier New" w:hint="default"/>
      </w:rPr>
    </w:lvl>
    <w:lvl w:ilvl="5" w:tplc="040E0005">
      <w:start w:val="1"/>
      <w:numFmt w:val="bullet"/>
      <w:lvlText w:val=""/>
      <w:lvlJc w:val="left"/>
      <w:pPr>
        <w:ind w:left="4386" w:hanging="360"/>
      </w:pPr>
      <w:rPr>
        <w:rFonts w:ascii="Wingdings" w:hAnsi="Wingdings" w:hint="default"/>
      </w:rPr>
    </w:lvl>
    <w:lvl w:ilvl="6" w:tplc="040E0001">
      <w:start w:val="1"/>
      <w:numFmt w:val="bullet"/>
      <w:lvlText w:val=""/>
      <w:lvlJc w:val="left"/>
      <w:pPr>
        <w:ind w:left="5106" w:hanging="360"/>
      </w:pPr>
      <w:rPr>
        <w:rFonts w:ascii="Symbol" w:hAnsi="Symbol" w:hint="default"/>
      </w:rPr>
    </w:lvl>
    <w:lvl w:ilvl="7" w:tplc="040E0003">
      <w:start w:val="1"/>
      <w:numFmt w:val="bullet"/>
      <w:lvlText w:val="o"/>
      <w:lvlJc w:val="left"/>
      <w:pPr>
        <w:ind w:left="5826" w:hanging="360"/>
      </w:pPr>
      <w:rPr>
        <w:rFonts w:ascii="Courier New" w:hAnsi="Courier New" w:cs="Courier New" w:hint="default"/>
      </w:rPr>
    </w:lvl>
    <w:lvl w:ilvl="8" w:tplc="040E0005">
      <w:start w:val="1"/>
      <w:numFmt w:val="bullet"/>
      <w:lvlText w:val=""/>
      <w:lvlJc w:val="left"/>
      <w:pPr>
        <w:ind w:left="6546" w:hanging="360"/>
      </w:pPr>
      <w:rPr>
        <w:rFonts w:ascii="Wingdings" w:hAnsi="Wingdings" w:hint="default"/>
      </w:rPr>
    </w:lvl>
  </w:abstractNum>
  <w:abstractNum w:abstractNumId="16" w15:restartNumberingAfterBreak="0">
    <w:nsid w:val="7DEE7332"/>
    <w:multiLevelType w:val="hybridMultilevel"/>
    <w:tmpl w:val="0F6AAD54"/>
    <w:lvl w:ilvl="0" w:tplc="F1A85F64">
      <w:start w:val="8"/>
      <w:numFmt w:val="bullet"/>
      <w:lvlText w:val="-"/>
      <w:lvlJc w:val="left"/>
      <w:pPr>
        <w:ind w:left="720" w:hanging="360"/>
      </w:pPr>
      <w:rPr>
        <w:rFonts w:ascii="Arial" w:eastAsiaTheme="minorEastAsia" w:hAnsi="Arial" w:cs="Aria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13"/>
  </w:num>
  <w:num w:numId="2">
    <w:abstractNumId w:val="15"/>
  </w:num>
  <w:num w:numId="3">
    <w:abstractNumId w:val="16"/>
  </w:num>
  <w:num w:numId="4">
    <w:abstractNumId w:val="1"/>
  </w:num>
  <w:num w:numId="5">
    <w:abstractNumId w:val="2"/>
  </w:num>
  <w:num w:numId="6">
    <w:abstractNumId w:val="7"/>
  </w:num>
  <w:num w:numId="7">
    <w:abstractNumId w:val="6"/>
  </w:num>
  <w:num w:numId="8">
    <w:abstractNumId w:val="14"/>
  </w:num>
  <w:num w:numId="9">
    <w:abstractNumId w:val="11"/>
  </w:num>
  <w:num w:numId="10">
    <w:abstractNumId w:val="3"/>
  </w:num>
  <w:num w:numId="11">
    <w:abstractNumId w:val="0"/>
  </w:num>
  <w:num w:numId="12">
    <w:abstractNumId w:val="9"/>
  </w:num>
  <w:num w:numId="13">
    <w:abstractNumId w:val="10"/>
  </w:num>
  <w:num w:numId="14">
    <w:abstractNumId w:val="4"/>
  </w:num>
  <w:num w:numId="15">
    <w:abstractNumId w:val="5"/>
  </w:num>
  <w:num w:numId="1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3693"/>
    <w:rsid w:val="00001A55"/>
    <w:rsid w:val="000070C3"/>
    <w:rsid w:val="0001500F"/>
    <w:rsid w:val="000179EE"/>
    <w:rsid w:val="000251BE"/>
    <w:rsid w:val="00032EDB"/>
    <w:rsid w:val="00042B45"/>
    <w:rsid w:val="0006712E"/>
    <w:rsid w:val="000726DE"/>
    <w:rsid w:val="00083F38"/>
    <w:rsid w:val="00084108"/>
    <w:rsid w:val="000924FB"/>
    <w:rsid w:val="000B2468"/>
    <w:rsid w:val="000B5756"/>
    <w:rsid w:val="000D6F7A"/>
    <w:rsid w:val="000D73FD"/>
    <w:rsid w:val="000E4587"/>
    <w:rsid w:val="000E4C56"/>
    <w:rsid w:val="0010159A"/>
    <w:rsid w:val="00103F98"/>
    <w:rsid w:val="0010765B"/>
    <w:rsid w:val="001339D5"/>
    <w:rsid w:val="001344C7"/>
    <w:rsid w:val="0013517E"/>
    <w:rsid w:val="00140D7D"/>
    <w:rsid w:val="001460FB"/>
    <w:rsid w:val="0014627D"/>
    <w:rsid w:val="00152CD2"/>
    <w:rsid w:val="001537ED"/>
    <w:rsid w:val="001601E7"/>
    <w:rsid w:val="001752EE"/>
    <w:rsid w:val="001806AB"/>
    <w:rsid w:val="00184906"/>
    <w:rsid w:val="00184D5B"/>
    <w:rsid w:val="001875EE"/>
    <w:rsid w:val="00190E67"/>
    <w:rsid w:val="001916C8"/>
    <w:rsid w:val="00197FC1"/>
    <w:rsid w:val="001A1EC0"/>
    <w:rsid w:val="001A7DC9"/>
    <w:rsid w:val="001B046D"/>
    <w:rsid w:val="001C0F3B"/>
    <w:rsid w:val="001D085B"/>
    <w:rsid w:val="001D1BCC"/>
    <w:rsid w:val="001D470B"/>
    <w:rsid w:val="001F7253"/>
    <w:rsid w:val="00205602"/>
    <w:rsid w:val="002152AC"/>
    <w:rsid w:val="00215E14"/>
    <w:rsid w:val="00221793"/>
    <w:rsid w:val="0022676D"/>
    <w:rsid w:val="00227CB2"/>
    <w:rsid w:val="0023420A"/>
    <w:rsid w:val="00246C9B"/>
    <w:rsid w:val="00251348"/>
    <w:rsid w:val="002533E5"/>
    <w:rsid w:val="00264F01"/>
    <w:rsid w:val="00266CB9"/>
    <w:rsid w:val="0027109B"/>
    <w:rsid w:val="002714FB"/>
    <w:rsid w:val="00273364"/>
    <w:rsid w:val="002742B9"/>
    <w:rsid w:val="002841ED"/>
    <w:rsid w:val="002856DB"/>
    <w:rsid w:val="00287F5D"/>
    <w:rsid w:val="002959C6"/>
    <w:rsid w:val="00296B6F"/>
    <w:rsid w:val="00297424"/>
    <w:rsid w:val="002A5E93"/>
    <w:rsid w:val="002B6A83"/>
    <w:rsid w:val="002B7A22"/>
    <w:rsid w:val="002D5B2C"/>
    <w:rsid w:val="002D612C"/>
    <w:rsid w:val="00301345"/>
    <w:rsid w:val="00302494"/>
    <w:rsid w:val="00304627"/>
    <w:rsid w:val="0030568E"/>
    <w:rsid w:val="0031014D"/>
    <w:rsid w:val="003147A9"/>
    <w:rsid w:val="00315EA4"/>
    <w:rsid w:val="00316F57"/>
    <w:rsid w:val="0033317B"/>
    <w:rsid w:val="00336629"/>
    <w:rsid w:val="003439EF"/>
    <w:rsid w:val="003528C7"/>
    <w:rsid w:val="00364DC6"/>
    <w:rsid w:val="0038644F"/>
    <w:rsid w:val="003A3095"/>
    <w:rsid w:val="003C5130"/>
    <w:rsid w:val="003C61D5"/>
    <w:rsid w:val="003D6CB3"/>
    <w:rsid w:val="003E04D4"/>
    <w:rsid w:val="003E3900"/>
    <w:rsid w:val="003E4863"/>
    <w:rsid w:val="003F2AA6"/>
    <w:rsid w:val="003F4524"/>
    <w:rsid w:val="003F4D07"/>
    <w:rsid w:val="004006F9"/>
    <w:rsid w:val="0040404F"/>
    <w:rsid w:val="004054C1"/>
    <w:rsid w:val="004056A8"/>
    <w:rsid w:val="00405CA7"/>
    <w:rsid w:val="00407449"/>
    <w:rsid w:val="00410B79"/>
    <w:rsid w:val="00414A27"/>
    <w:rsid w:val="0042094E"/>
    <w:rsid w:val="00430F2D"/>
    <w:rsid w:val="004344C7"/>
    <w:rsid w:val="0043488B"/>
    <w:rsid w:val="00440B5B"/>
    <w:rsid w:val="0044265F"/>
    <w:rsid w:val="00442CFE"/>
    <w:rsid w:val="004561B6"/>
    <w:rsid w:val="00456B92"/>
    <w:rsid w:val="00463F49"/>
    <w:rsid w:val="00463FFC"/>
    <w:rsid w:val="0047714D"/>
    <w:rsid w:val="004A043E"/>
    <w:rsid w:val="004A4469"/>
    <w:rsid w:val="004B26D9"/>
    <w:rsid w:val="004C1301"/>
    <w:rsid w:val="004C15CA"/>
    <w:rsid w:val="004C7A75"/>
    <w:rsid w:val="004E4452"/>
    <w:rsid w:val="004F2FC1"/>
    <w:rsid w:val="004F76E1"/>
    <w:rsid w:val="00507FAD"/>
    <w:rsid w:val="005272F4"/>
    <w:rsid w:val="00536A28"/>
    <w:rsid w:val="005461E1"/>
    <w:rsid w:val="005532CB"/>
    <w:rsid w:val="00555E40"/>
    <w:rsid w:val="005646A3"/>
    <w:rsid w:val="00583DEF"/>
    <w:rsid w:val="00592DA0"/>
    <w:rsid w:val="00593276"/>
    <w:rsid w:val="0059388E"/>
    <w:rsid w:val="00597E4A"/>
    <w:rsid w:val="005A44E8"/>
    <w:rsid w:val="005A5A40"/>
    <w:rsid w:val="005B11C5"/>
    <w:rsid w:val="005B2F19"/>
    <w:rsid w:val="005B6F7B"/>
    <w:rsid w:val="005B7000"/>
    <w:rsid w:val="005D21F2"/>
    <w:rsid w:val="005E44B4"/>
    <w:rsid w:val="005F685E"/>
    <w:rsid w:val="00604243"/>
    <w:rsid w:val="00620ED2"/>
    <w:rsid w:val="00624FF0"/>
    <w:rsid w:val="006254AE"/>
    <w:rsid w:val="006339B5"/>
    <w:rsid w:val="00636FE3"/>
    <w:rsid w:val="0064400F"/>
    <w:rsid w:val="00645705"/>
    <w:rsid w:val="00656DF1"/>
    <w:rsid w:val="00657831"/>
    <w:rsid w:val="0066034C"/>
    <w:rsid w:val="0067386E"/>
    <w:rsid w:val="00680708"/>
    <w:rsid w:val="006855CB"/>
    <w:rsid w:val="00686950"/>
    <w:rsid w:val="006878FA"/>
    <w:rsid w:val="006A108D"/>
    <w:rsid w:val="006B7E22"/>
    <w:rsid w:val="006C3060"/>
    <w:rsid w:val="006D2B73"/>
    <w:rsid w:val="006D4726"/>
    <w:rsid w:val="006D5BDA"/>
    <w:rsid w:val="006E1A6A"/>
    <w:rsid w:val="006E2578"/>
    <w:rsid w:val="006E4D74"/>
    <w:rsid w:val="00706B02"/>
    <w:rsid w:val="00723B1E"/>
    <w:rsid w:val="00730086"/>
    <w:rsid w:val="00732EC5"/>
    <w:rsid w:val="00740981"/>
    <w:rsid w:val="00745D98"/>
    <w:rsid w:val="00745E78"/>
    <w:rsid w:val="007612E1"/>
    <w:rsid w:val="00763520"/>
    <w:rsid w:val="007830FB"/>
    <w:rsid w:val="0079277D"/>
    <w:rsid w:val="00795647"/>
    <w:rsid w:val="007B216A"/>
    <w:rsid w:val="007B6FD7"/>
    <w:rsid w:val="007C5125"/>
    <w:rsid w:val="007F684C"/>
    <w:rsid w:val="008028A5"/>
    <w:rsid w:val="008108EF"/>
    <w:rsid w:val="00823704"/>
    <w:rsid w:val="0082685D"/>
    <w:rsid w:val="008315ED"/>
    <w:rsid w:val="0083503C"/>
    <w:rsid w:val="00847C9D"/>
    <w:rsid w:val="008520E3"/>
    <w:rsid w:val="00852C07"/>
    <w:rsid w:val="00856EA1"/>
    <w:rsid w:val="008635EE"/>
    <w:rsid w:val="00863963"/>
    <w:rsid w:val="0087605B"/>
    <w:rsid w:val="008773DF"/>
    <w:rsid w:val="0088258A"/>
    <w:rsid w:val="00891CB3"/>
    <w:rsid w:val="0089316F"/>
    <w:rsid w:val="00893FB3"/>
    <w:rsid w:val="008A4447"/>
    <w:rsid w:val="008B041E"/>
    <w:rsid w:val="008B688C"/>
    <w:rsid w:val="008D6AFE"/>
    <w:rsid w:val="008E2092"/>
    <w:rsid w:val="008F0C6E"/>
    <w:rsid w:val="008F5D07"/>
    <w:rsid w:val="00911FBF"/>
    <w:rsid w:val="00913A87"/>
    <w:rsid w:val="0091668F"/>
    <w:rsid w:val="0092146F"/>
    <w:rsid w:val="00923D69"/>
    <w:rsid w:val="0093273F"/>
    <w:rsid w:val="00934405"/>
    <w:rsid w:val="00936C20"/>
    <w:rsid w:val="0094152B"/>
    <w:rsid w:val="009435C1"/>
    <w:rsid w:val="009436DC"/>
    <w:rsid w:val="009472E1"/>
    <w:rsid w:val="00966F79"/>
    <w:rsid w:val="0099296D"/>
    <w:rsid w:val="009929A0"/>
    <w:rsid w:val="00993693"/>
    <w:rsid w:val="009A479F"/>
    <w:rsid w:val="009B52CE"/>
    <w:rsid w:val="009D1873"/>
    <w:rsid w:val="009E5993"/>
    <w:rsid w:val="009E5D55"/>
    <w:rsid w:val="009E77FC"/>
    <w:rsid w:val="009F7CBD"/>
    <w:rsid w:val="00A05972"/>
    <w:rsid w:val="00A26F04"/>
    <w:rsid w:val="00A433E4"/>
    <w:rsid w:val="00A658D6"/>
    <w:rsid w:val="00A65EE8"/>
    <w:rsid w:val="00A71135"/>
    <w:rsid w:val="00A73A57"/>
    <w:rsid w:val="00A83518"/>
    <w:rsid w:val="00A8456B"/>
    <w:rsid w:val="00A87358"/>
    <w:rsid w:val="00A906FB"/>
    <w:rsid w:val="00A91DEE"/>
    <w:rsid w:val="00A93BF3"/>
    <w:rsid w:val="00A962DA"/>
    <w:rsid w:val="00A96317"/>
    <w:rsid w:val="00AA3256"/>
    <w:rsid w:val="00AA57D2"/>
    <w:rsid w:val="00AB1A2A"/>
    <w:rsid w:val="00AB3504"/>
    <w:rsid w:val="00AB7423"/>
    <w:rsid w:val="00AC11DB"/>
    <w:rsid w:val="00AC572E"/>
    <w:rsid w:val="00AC6DA4"/>
    <w:rsid w:val="00AC7565"/>
    <w:rsid w:val="00AC767F"/>
    <w:rsid w:val="00AC7B3A"/>
    <w:rsid w:val="00AD3397"/>
    <w:rsid w:val="00AE094B"/>
    <w:rsid w:val="00AE1F40"/>
    <w:rsid w:val="00AE402D"/>
    <w:rsid w:val="00AE5A03"/>
    <w:rsid w:val="00AF2B16"/>
    <w:rsid w:val="00AF2D6B"/>
    <w:rsid w:val="00AF3E9B"/>
    <w:rsid w:val="00B074F6"/>
    <w:rsid w:val="00B12DA1"/>
    <w:rsid w:val="00B243BF"/>
    <w:rsid w:val="00B44F6A"/>
    <w:rsid w:val="00B52B54"/>
    <w:rsid w:val="00B550FF"/>
    <w:rsid w:val="00B62C46"/>
    <w:rsid w:val="00B63EAE"/>
    <w:rsid w:val="00B65C96"/>
    <w:rsid w:val="00B76D1B"/>
    <w:rsid w:val="00B83683"/>
    <w:rsid w:val="00B844D1"/>
    <w:rsid w:val="00B9448B"/>
    <w:rsid w:val="00BA2546"/>
    <w:rsid w:val="00BA2BA8"/>
    <w:rsid w:val="00BA6FA5"/>
    <w:rsid w:val="00BA739F"/>
    <w:rsid w:val="00BB0142"/>
    <w:rsid w:val="00BB6F28"/>
    <w:rsid w:val="00BB7080"/>
    <w:rsid w:val="00BC229F"/>
    <w:rsid w:val="00BD0378"/>
    <w:rsid w:val="00BF0F31"/>
    <w:rsid w:val="00C1384D"/>
    <w:rsid w:val="00C1708D"/>
    <w:rsid w:val="00C236E2"/>
    <w:rsid w:val="00C325F7"/>
    <w:rsid w:val="00C365E5"/>
    <w:rsid w:val="00C451C5"/>
    <w:rsid w:val="00C60E21"/>
    <w:rsid w:val="00C775CB"/>
    <w:rsid w:val="00C92784"/>
    <w:rsid w:val="00CA2DE5"/>
    <w:rsid w:val="00CB05A8"/>
    <w:rsid w:val="00CB5553"/>
    <w:rsid w:val="00CC1B3A"/>
    <w:rsid w:val="00CD16C9"/>
    <w:rsid w:val="00CD7A0A"/>
    <w:rsid w:val="00CF2575"/>
    <w:rsid w:val="00CF2F8F"/>
    <w:rsid w:val="00D1293B"/>
    <w:rsid w:val="00D16B44"/>
    <w:rsid w:val="00D20A6C"/>
    <w:rsid w:val="00D212B3"/>
    <w:rsid w:val="00D40A91"/>
    <w:rsid w:val="00D63E55"/>
    <w:rsid w:val="00D725FC"/>
    <w:rsid w:val="00D8223E"/>
    <w:rsid w:val="00D876BC"/>
    <w:rsid w:val="00D9017E"/>
    <w:rsid w:val="00D91809"/>
    <w:rsid w:val="00DA0F45"/>
    <w:rsid w:val="00DA2674"/>
    <w:rsid w:val="00DA67A2"/>
    <w:rsid w:val="00DA6D17"/>
    <w:rsid w:val="00DC7578"/>
    <w:rsid w:val="00DD6975"/>
    <w:rsid w:val="00DE087C"/>
    <w:rsid w:val="00DF0813"/>
    <w:rsid w:val="00DF51AC"/>
    <w:rsid w:val="00DF7437"/>
    <w:rsid w:val="00E1528F"/>
    <w:rsid w:val="00E2153D"/>
    <w:rsid w:val="00E22EFF"/>
    <w:rsid w:val="00E360B0"/>
    <w:rsid w:val="00E439DA"/>
    <w:rsid w:val="00E44CC6"/>
    <w:rsid w:val="00E455AB"/>
    <w:rsid w:val="00E60875"/>
    <w:rsid w:val="00E63071"/>
    <w:rsid w:val="00E743E9"/>
    <w:rsid w:val="00E80BDA"/>
    <w:rsid w:val="00E84C01"/>
    <w:rsid w:val="00EB17E3"/>
    <w:rsid w:val="00ED14A5"/>
    <w:rsid w:val="00ED6ABD"/>
    <w:rsid w:val="00EE18C0"/>
    <w:rsid w:val="00EE234B"/>
    <w:rsid w:val="00EE2B21"/>
    <w:rsid w:val="00EE5019"/>
    <w:rsid w:val="00EE5FBC"/>
    <w:rsid w:val="00EF6CEF"/>
    <w:rsid w:val="00F019DD"/>
    <w:rsid w:val="00F03525"/>
    <w:rsid w:val="00F12792"/>
    <w:rsid w:val="00F24D78"/>
    <w:rsid w:val="00F4061F"/>
    <w:rsid w:val="00F42886"/>
    <w:rsid w:val="00F501FD"/>
    <w:rsid w:val="00F617A1"/>
    <w:rsid w:val="00F6647E"/>
    <w:rsid w:val="00F8402D"/>
    <w:rsid w:val="00F952A1"/>
    <w:rsid w:val="00FA3594"/>
    <w:rsid w:val="00FB2431"/>
    <w:rsid w:val="00FC0F72"/>
    <w:rsid w:val="00FC21A2"/>
    <w:rsid w:val="00FC362C"/>
    <w:rsid w:val="00FC4FC8"/>
    <w:rsid w:val="00FC70A8"/>
    <w:rsid w:val="00FD1877"/>
    <w:rsid w:val="00FD3028"/>
    <w:rsid w:val="00FD3EDC"/>
    <w:rsid w:val="00FE456C"/>
    <w:rsid w:val="00FF5BF5"/>
    <w:rsid w:val="00FF6DD3"/>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16DA88"/>
  <w15:docId w15:val="{62558C84-6866-4ED4-806F-4DAF83D44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993693"/>
    <w:pPr>
      <w:widowControl w:val="0"/>
      <w:autoSpaceDE w:val="0"/>
      <w:autoSpaceDN w:val="0"/>
      <w:adjustRightInd w:val="0"/>
      <w:spacing w:after="0" w:line="240" w:lineRule="auto"/>
    </w:pPr>
    <w:rPr>
      <w:rFonts w:ascii="Times New Roman" w:eastAsiaTheme="minorEastAsia" w:hAnsi="Times New Roman" w:cs="Times New Roman"/>
      <w:sz w:val="24"/>
      <w:szCs w:val="24"/>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F24D78"/>
    <w:pPr>
      <w:ind w:left="720"/>
      <w:contextualSpacing/>
    </w:pPr>
  </w:style>
  <w:style w:type="paragraph" w:styleId="Jegyzetszveg">
    <w:name w:val="annotation text"/>
    <w:basedOn w:val="Norml"/>
    <w:link w:val="JegyzetszvegChar"/>
    <w:unhideWhenUsed/>
    <w:rsid w:val="0010159A"/>
    <w:pPr>
      <w:widowControl/>
      <w:autoSpaceDE/>
      <w:autoSpaceDN/>
      <w:adjustRightInd/>
    </w:pPr>
    <w:rPr>
      <w:rFonts w:eastAsia="Times New Roman"/>
      <w:sz w:val="20"/>
      <w:szCs w:val="20"/>
    </w:rPr>
  </w:style>
  <w:style w:type="character" w:customStyle="1" w:styleId="JegyzetszvegChar">
    <w:name w:val="Jegyzetszöveg Char"/>
    <w:basedOn w:val="Bekezdsalapbettpusa"/>
    <w:link w:val="Jegyzetszveg"/>
    <w:rsid w:val="0010159A"/>
    <w:rPr>
      <w:rFonts w:ascii="Times New Roman" w:eastAsia="Times New Roman" w:hAnsi="Times New Roman" w:cs="Times New Roman"/>
      <w:sz w:val="20"/>
      <w:szCs w:val="20"/>
    </w:rPr>
  </w:style>
  <w:style w:type="paragraph" w:customStyle="1" w:styleId="Alap">
    <w:name w:val="Alap"/>
    <w:basedOn w:val="Norml"/>
    <w:rsid w:val="00EE18C0"/>
    <w:pPr>
      <w:widowControl/>
      <w:overflowPunct w:val="0"/>
      <w:jc w:val="both"/>
      <w:textAlignment w:val="baseline"/>
    </w:pPr>
    <w:rPr>
      <w:rFonts w:eastAsia="Times New Roman"/>
    </w:rPr>
  </w:style>
  <w:style w:type="paragraph" w:styleId="Szvegtrzs">
    <w:name w:val="Body Text"/>
    <w:aliases w:val="Char"/>
    <w:basedOn w:val="Norml"/>
    <w:link w:val="SzvegtrzsChar"/>
    <w:semiHidden/>
    <w:rsid w:val="00EE18C0"/>
    <w:pPr>
      <w:widowControl/>
      <w:autoSpaceDE/>
      <w:autoSpaceDN/>
      <w:adjustRightInd/>
      <w:jc w:val="both"/>
    </w:pPr>
    <w:rPr>
      <w:rFonts w:eastAsia="Times New Roman"/>
      <w:sz w:val="28"/>
      <w:szCs w:val="28"/>
    </w:rPr>
  </w:style>
  <w:style w:type="character" w:customStyle="1" w:styleId="SzvegtrzsChar">
    <w:name w:val="Szövegtörzs Char"/>
    <w:aliases w:val="Char Char"/>
    <w:basedOn w:val="Bekezdsalapbettpusa"/>
    <w:link w:val="Szvegtrzs"/>
    <w:semiHidden/>
    <w:rsid w:val="00EE18C0"/>
    <w:rPr>
      <w:rFonts w:ascii="Times New Roman" w:eastAsia="Times New Roman" w:hAnsi="Times New Roman" w:cs="Times New Roman"/>
      <w:sz w:val="28"/>
      <w:szCs w:val="28"/>
      <w:lang w:eastAsia="hu-HU"/>
    </w:rPr>
  </w:style>
  <w:style w:type="paragraph" w:customStyle="1" w:styleId="Listaszerbekezds1">
    <w:name w:val="Listaszerű bekezdés1"/>
    <w:basedOn w:val="Norml"/>
    <w:rsid w:val="00FC70A8"/>
    <w:pPr>
      <w:widowControl/>
      <w:autoSpaceDE/>
      <w:autoSpaceDN/>
      <w:adjustRightInd/>
      <w:ind w:left="708" w:right="28"/>
    </w:pPr>
    <w:rPr>
      <w:rFonts w:eastAsia="Times New Roman"/>
      <w:noProof/>
      <w:sz w:val="20"/>
      <w:szCs w:val="20"/>
    </w:rPr>
  </w:style>
  <w:style w:type="character" w:styleId="Hiperhivatkozs">
    <w:name w:val="Hyperlink"/>
    <w:basedOn w:val="Bekezdsalapbettpusa"/>
    <w:uiPriority w:val="99"/>
    <w:unhideWhenUsed/>
    <w:rsid w:val="00A433E4"/>
    <w:rPr>
      <w:color w:val="0000FF" w:themeColor="hyperlink"/>
      <w:u w:val="single"/>
    </w:rPr>
  </w:style>
  <w:style w:type="paragraph" w:styleId="Nincstrkz">
    <w:name w:val="No Spacing"/>
    <w:uiPriority w:val="1"/>
    <w:qFormat/>
    <w:rsid w:val="00823704"/>
    <w:pPr>
      <w:widowControl w:val="0"/>
      <w:autoSpaceDE w:val="0"/>
      <w:autoSpaceDN w:val="0"/>
      <w:adjustRightInd w:val="0"/>
      <w:spacing w:after="0" w:line="240" w:lineRule="auto"/>
    </w:pPr>
    <w:rPr>
      <w:rFonts w:ascii="Times New Roman" w:eastAsiaTheme="minorEastAsia" w:hAnsi="Times New Roman" w:cs="Times New Roman"/>
      <w:sz w:val="24"/>
      <w:szCs w:val="24"/>
      <w:lang w:eastAsia="hu-HU"/>
    </w:rPr>
  </w:style>
  <w:style w:type="paragraph" w:customStyle="1" w:styleId="Default">
    <w:name w:val="Default"/>
    <w:uiPriority w:val="99"/>
    <w:rsid w:val="003F2AA6"/>
    <w:pPr>
      <w:autoSpaceDE w:val="0"/>
      <w:autoSpaceDN w:val="0"/>
      <w:adjustRightInd w:val="0"/>
      <w:spacing w:after="0" w:line="240" w:lineRule="auto"/>
    </w:pPr>
    <w:rPr>
      <w:rFonts w:ascii="Times New Roman" w:eastAsia="Times New Roman" w:hAnsi="Times New Roman" w:cs="Times New Roman"/>
      <w:color w:val="000000"/>
      <w:sz w:val="24"/>
      <w:szCs w:val="24"/>
      <w:lang w:eastAsia="hu-HU"/>
    </w:rPr>
  </w:style>
  <w:style w:type="paragraph" w:styleId="Szvegtrzs2">
    <w:name w:val="Body Text 2"/>
    <w:basedOn w:val="Norml"/>
    <w:link w:val="Szvegtrzs2Char"/>
    <w:rsid w:val="003F2AA6"/>
    <w:pPr>
      <w:widowControl/>
      <w:autoSpaceDE/>
      <w:autoSpaceDN/>
      <w:adjustRightInd/>
      <w:spacing w:after="120" w:line="480" w:lineRule="auto"/>
    </w:pPr>
    <w:rPr>
      <w:rFonts w:eastAsia="Times New Roman"/>
      <w:lang w:val="x-none" w:eastAsia="x-none"/>
    </w:rPr>
  </w:style>
  <w:style w:type="character" w:customStyle="1" w:styleId="Szvegtrzs2Char">
    <w:name w:val="Szövegtörzs 2 Char"/>
    <w:basedOn w:val="Bekezdsalapbettpusa"/>
    <w:link w:val="Szvegtrzs2"/>
    <w:rsid w:val="003F2AA6"/>
    <w:rPr>
      <w:rFonts w:ascii="Times New Roman" w:eastAsia="Times New Roman" w:hAnsi="Times New Roman" w:cs="Times New Roman"/>
      <w:sz w:val="24"/>
      <w:szCs w:val="24"/>
      <w:lang w:val="x-none" w:eastAsia="x-none"/>
    </w:rPr>
  </w:style>
  <w:style w:type="paragraph" w:styleId="Buborkszveg">
    <w:name w:val="Balloon Text"/>
    <w:basedOn w:val="Norml"/>
    <w:link w:val="BuborkszvegChar"/>
    <w:uiPriority w:val="99"/>
    <w:semiHidden/>
    <w:unhideWhenUsed/>
    <w:rsid w:val="00FD3028"/>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FD3028"/>
    <w:rPr>
      <w:rFonts w:ascii="Segoe UI" w:eastAsiaTheme="minorEastAsia" w:hAnsi="Segoe UI" w:cs="Segoe UI"/>
      <w:sz w:val="18"/>
      <w:szCs w:val="18"/>
      <w:lang w:eastAsia="hu-HU"/>
    </w:rPr>
  </w:style>
  <w:style w:type="character" w:customStyle="1" w:styleId="UnresolvedMention">
    <w:name w:val="Unresolved Mention"/>
    <w:basedOn w:val="Bekezdsalapbettpusa"/>
    <w:uiPriority w:val="99"/>
    <w:semiHidden/>
    <w:unhideWhenUsed/>
    <w:rsid w:val="00B12DA1"/>
    <w:rPr>
      <w:color w:val="605E5C"/>
      <w:shd w:val="clear" w:color="auto" w:fill="E1DFDD"/>
    </w:rPr>
  </w:style>
  <w:style w:type="paragraph" w:styleId="lfej">
    <w:name w:val="header"/>
    <w:basedOn w:val="Norml"/>
    <w:link w:val="lfejChar"/>
    <w:uiPriority w:val="99"/>
    <w:unhideWhenUsed/>
    <w:rsid w:val="005E44B4"/>
    <w:pPr>
      <w:tabs>
        <w:tab w:val="center" w:pos="4536"/>
        <w:tab w:val="right" w:pos="9072"/>
      </w:tabs>
    </w:pPr>
  </w:style>
  <w:style w:type="character" w:customStyle="1" w:styleId="lfejChar">
    <w:name w:val="Élőfej Char"/>
    <w:basedOn w:val="Bekezdsalapbettpusa"/>
    <w:link w:val="lfej"/>
    <w:uiPriority w:val="99"/>
    <w:rsid w:val="005E44B4"/>
    <w:rPr>
      <w:rFonts w:ascii="Times New Roman" w:eastAsiaTheme="minorEastAsia" w:hAnsi="Times New Roman" w:cs="Times New Roman"/>
      <w:sz w:val="24"/>
      <w:szCs w:val="24"/>
      <w:lang w:eastAsia="hu-HU"/>
    </w:rPr>
  </w:style>
  <w:style w:type="paragraph" w:styleId="llb">
    <w:name w:val="footer"/>
    <w:basedOn w:val="Norml"/>
    <w:link w:val="llbChar"/>
    <w:uiPriority w:val="99"/>
    <w:unhideWhenUsed/>
    <w:rsid w:val="005E44B4"/>
    <w:pPr>
      <w:tabs>
        <w:tab w:val="center" w:pos="4536"/>
        <w:tab w:val="right" w:pos="9072"/>
      </w:tabs>
    </w:pPr>
  </w:style>
  <w:style w:type="character" w:customStyle="1" w:styleId="llbChar">
    <w:name w:val="Élőláb Char"/>
    <w:basedOn w:val="Bekezdsalapbettpusa"/>
    <w:link w:val="llb"/>
    <w:uiPriority w:val="99"/>
    <w:rsid w:val="005E44B4"/>
    <w:rPr>
      <w:rFonts w:ascii="Times New Roman" w:eastAsiaTheme="minorEastAsia" w:hAnsi="Times New Roman" w:cs="Times New Roman"/>
      <w:sz w:val="24"/>
      <w:szCs w:val="24"/>
      <w:lang w:eastAsia="hu-HU"/>
    </w:rPr>
  </w:style>
  <w:style w:type="character" w:customStyle="1" w:styleId="FontStyle54">
    <w:name w:val="Font Style54"/>
    <w:rsid w:val="00A71135"/>
    <w:rPr>
      <w:rFonts w:ascii="Times New Roman" w:hAnsi="Times New Roman" w:cs="Times New Roman" w:hint="default"/>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430247">
      <w:bodyDiv w:val="1"/>
      <w:marLeft w:val="0"/>
      <w:marRight w:val="0"/>
      <w:marTop w:val="0"/>
      <w:marBottom w:val="0"/>
      <w:divBdr>
        <w:top w:val="none" w:sz="0" w:space="0" w:color="auto"/>
        <w:left w:val="none" w:sz="0" w:space="0" w:color="auto"/>
        <w:bottom w:val="none" w:sz="0" w:space="0" w:color="auto"/>
        <w:right w:val="none" w:sz="0" w:space="0" w:color="auto"/>
      </w:divBdr>
    </w:div>
    <w:div w:id="618294632">
      <w:bodyDiv w:val="1"/>
      <w:marLeft w:val="0"/>
      <w:marRight w:val="0"/>
      <w:marTop w:val="0"/>
      <w:marBottom w:val="0"/>
      <w:divBdr>
        <w:top w:val="none" w:sz="0" w:space="0" w:color="auto"/>
        <w:left w:val="none" w:sz="0" w:space="0" w:color="auto"/>
        <w:bottom w:val="none" w:sz="0" w:space="0" w:color="auto"/>
        <w:right w:val="none" w:sz="0" w:space="0" w:color="auto"/>
      </w:divBdr>
    </w:div>
    <w:div w:id="1909608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onye.jozsef@hevizgamesz.hu" TargetMode="External"/><Relationship Id="rId3" Type="http://schemas.openxmlformats.org/officeDocument/2006/relationships/settings" Target="settings.xml"/><Relationship Id="rId7" Type="http://schemas.openxmlformats.org/officeDocument/2006/relationships/hyperlink" Target="mailto:hevizgamesz@hevizgamesz.h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musa.emese@hevizgamesz.hu"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7</Pages>
  <Words>2000</Words>
  <Characters>13804</Characters>
  <Application>Microsoft Office Word</Application>
  <DocSecurity>0</DocSecurity>
  <Lines>115</Lines>
  <Paragraphs>31</Paragraphs>
  <ScaleCrop>false</ScaleCrop>
  <HeadingPairs>
    <vt:vector size="2" baseType="variant">
      <vt:variant>
        <vt:lpstr>Cím</vt:lpstr>
      </vt:variant>
      <vt:variant>
        <vt:i4>1</vt:i4>
      </vt:variant>
    </vt:vector>
  </HeadingPairs>
  <TitlesOfParts>
    <vt:vector size="1" baseType="lpstr">
      <vt:lpstr/>
    </vt:vector>
  </TitlesOfParts>
  <Company>DUI</Company>
  <LinksUpToDate>false</LinksUpToDate>
  <CharactersWithSpaces>15773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Szerző</dc:creator>
  <cp:keywords/>
  <dc:description/>
  <cp:lastModifiedBy>titkarsag</cp:lastModifiedBy>
  <cp:revision>8</cp:revision>
  <cp:lastPrinted>2023-05-05T07:08:00Z</cp:lastPrinted>
  <dcterms:created xsi:type="dcterms:W3CDTF">2025-10-16T08:41:00Z</dcterms:created>
  <dcterms:modified xsi:type="dcterms:W3CDTF">2025-11-07T09:00:00Z</dcterms:modified>
</cp:coreProperties>
</file>