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Pr="00B12CDF" w:rsidRDefault="00BD4BD3" w:rsidP="00BD4BD3">
      <w:pPr>
        <w:spacing w:after="0" w:line="240" w:lineRule="auto"/>
        <w:jc w:val="both"/>
        <w:rPr>
          <w:rFonts w:ascii="Arial" w:hAnsi="Arial" w:cs="Arial"/>
          <w:sz w:val="24"/>
          <w:szCs w:val="24"/>
        </w:rPr>
      </w:pPr>
      <w:r w:rsidRPr="00B12CDF">
        <w:rPr>
          <w:rFonts w:ascii="Arial" w:hAnsi="Arial" w:cs="Arial"/>
          <w:sz w:val="24"/>
          <w:szCs w:val="24"/>
        </w:rPr>
        <w:t xml:space="preserve">Iktatószám: </w:t>
      </w:r>
      <w:r w:rsidR="008111B2">
        <w:rPr>
          <w:rFonts w:ascii="Arial" w:hAnsi="Arial" w:cs="Arial"/>
          <w:sz w:val="24"/>
          <w:szCs w:val="24"/>
        </w:rPr>
        <w:t>HTO/</w:t>
      </w:r>
      <w:r w:rsidR="00214490">
        <w:rPr>
          <w:rFonts w:ascii="Arial" w:hAnsi="Arial" w:cs="Arial"/>
          <w:sz w:val="24"/>
          <w:szCs w:val="24"/>
        </w:rPr>
        <w:t>511-1</w:t>
      </w:r>
      <w:r w:rsidR="00FA33D8" w:rsidRPr="00B12CDF">
        <w:rPr>
          <w:rFonts w:ascii="Arial" w:hAnsi="Arial" w:cs="Arial"/>
          <w:sz w:val="24"/>
          <w:szCs w:val="24"/>
        </w:rPr>
        <w:t>/201</w:t>
      </w:r>
      <w:r w:rsidR="0059736F">
        <w:rPr>
          <w:rFonts w:ascii="Arial" w:hAnsi="Arial" w:cs="Arial"/>
          <w:sz w:val="24"/>
          <w:szCs w:val="24"/>
        </w:rPr>
        <w:t>6</w:t>
      </w:r>
      <w:r w:rsidR="00FA33D8" w:rsidRPr="00B12CDF">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201</w:t>
      </w:r>
      <w:r w:rsidR="0059736F">
        <w:rPr>
          <w:rFonts w:ascii="Arial" w:hAnsi="Arial" w:cs="Arial"/>
          <w:b/>
          <w:sz w:val="24"/>
          <w:szCs w:val="24"/>
        </w:rPr>
        <w:t>6</w:t>
      </w:r>
      <w:r w:rsidR="00113CBB" w:rsidRPr="00B12CDF">
        <w:rPr>
          <w:rFonts w:ascii="Arial" w:hAnsi="Arial" w:cs="Arial"/>
          <w:b/>
          <w:sz w:val="24"/>
          <w:szCs w:val="24"/>
        </w:rPr>
        <w:t>.</w:t>
      </w:r>
      <w:r w:rsidR="00E56586" w:rsidRPr="00B12CDF">
        <w:rPr>
          <w:rFonts w:ascii="Arial" w:hAnsi="Arial" w:cs="Arial"/>
          <w:b/>
          <w:sz w:val="24"/>
          <w:szCs w:val="24"/>
        </w:rPr>
        <w:t xml:space="preserve"> </w:t>
      </w:r>
      <w:r w:rsidR="0059736F">
        <w:rPr>
          <w:rFonts w:ascii="Arial" w:hAnsi="Arial" w:cs="Arial"/>
          <w:b/>
          <w:sz w:val="24"/>
          <w:szCs w:val="24"/>
        </w:rPr>
        <w:t xml:space="preserve">március </w:t>
      </w:r>
      <w:r w:rsidR="005935A4">
        <w:rPr>
          <w:rFonts w:ascii="Arial" w:hAnsi="Arial" w:cs="Arial"/>
          <w:b/>
          <w:sz w:val="24"/>
          <w:szCs w:val="24"/>
        </w:rPr>
        <w:t>30-a</w:t>
      </w:r>
      <w:r w:rsidR="00FE2A2D">
        <w:rPr>
          <w:rFonts w:ascii="Arial" w:hAnsi="Arial" w:cs="Arial"/>
          <w:b/>
          <w:sz w:val="24"/>
          <w:szCs w:val="24"/>
        </w:rPr>
        <w:t>i</w:t>
      </w:r>
      <w:r w:rsidR="00113CBB" w:rsidRPr="00B12CDF">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697BEB">
        <w:rPr>
          <w:rFonts w:ascii="Arial" w:hAnsi="Arial" w:cs="Arial"/>
          <w:sz w:val="24"/>
          <w:szCs w:val="24"/>
        </w:rPr>
        <w:t>Beszámoló a H</w:t>
      </w:r>
      <w:r w:rsidR="00061317">
        <w:rPr>
          <w:rFonts w:ascii="Arial" w:hAnsi="Arial" w:cs="Arial"/>
          <w:sz w:val="24"/>
          <w:szCs w:val="24"/>
        </w:rPr>
        <w:t>évízi Polgármesteri Hivatal 2015</w:t>
      </w:r>
      <w:r w:rsidR="00697BEB">
        <w:rPr>
          <w:rFonts w:ascii="Arial" w:hAnsi="Arial" w:cs="Arial"/>
          <w:sz w:val="24"/>
          <w:szCs w:val="24"/>
        </w:rPr>
        <w:t xml:space="preserve">. évi adóigazgatási tevékenységéről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r w:rsidR="00B51EE9">
        <w:rPr>
          <w:rFonts w:ascii="Arial" w:hAnsi="Arial" w:cs="Arial"/>
          <w:sz w:val="24"/>
          <w:szCs w:val="24"/>
        </w:rPr>
        <w:t>Fábiánné Hoffman Márta</w:t>
      </w:r>
      <w:r w:rsidR="00C91785">
        <w:rPr>
          <w:rFonts w:ascii="Arial" w:hAnsi="Arial" w:cs="Arial"/>
          <w:sz w:val="24"/>
          <w:szCs w:val="24"/>
        </w:rPr>
        <w:t xml:space="preserve"> mb.</w:t>
      </w:r>
      <w:r w:rsidR="00B51EE9">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Dr. Vértesaljainé Halami Katalin gépjárműadó és behajtási ügyintéző</w:t>
      </w:r>
    </w:p>
    <w:p w:rsidR="0054315A" w:rsidRDefault="0054315A"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Panka-Kovács Melinda hatósági ügyintéző</w:t>
      </w:r>
    </w:p>
    <w:p w:rsidR="00A66B99" w:rsidRPr="00416625"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Pángerné Toplak Éva idegenforgalmi adóügyintéző</w:t>
      </w:r>
    </w:p>
    <w:p w:rsid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Szörényi László adóügyi és építményadó 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Default="00BD4BD3" w:rsidP="00867227">
      <w:pPr>
        <w:autoSpaceDE w:val="0"/>
        <w:autoSpaceDN w:val="0"/>
        <w:adjustRightInd w:val="0"/>
        <w:spacing w:after="0" w:line="300" w:lineRule="exact"/>
        <w:ind w:left="2124" w:hanging="2124"/>
        <w:jc w:val="both"/>
        <w:rPr>
          <w:rFonts w:ascii="Arial" w:hAnsi="Arial" w:cs="Arial"/>
          <w:sz w:val="24"/>
          <w:szCs w:val="24"/>
        </w:rPr>
      </w:pPr>
    </w:p>
    <w:p w:rsidR="00A101F2" w:rsidRPr="002D4BC8" w:rsidRDefault="008415CA" w:rsidP="00867227">
      <w:pPr>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p>
    <w:p w:rsidR="004D4D8B" w:rsidRDefault="00A101F2" w:rsidP="00867227">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B51EE9">
        <w:rPr>
          <w:rFonts w:ascii="Arial" w:hAnsi="Arial" w:cs="Arial"/>
          <w:sz w:val="24"/>
          <w:szCs w:val="24"/>
        </w:rPr>
        <w:t>Pénzügyi, Turisztikai és Városfejlesztési Bizottság</w:t>
      </w:r>
    </w:p>
    <w:p w:rsidR="00AD759D" w:rsidRDefault="00AD759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p>
    <w:p w:rsidR="0020008B" w:rsidRDefault="0020008B" w:rsidP="00867227">
      <w:pPr>
        <w:autoSpaceDE w:val="0"/>
        <w:autoSpaceDN w:val="0"/>
        <w:adjustRightInd w:val="0"/>
        <w:spacing w:after="0" w:line="300" w:lineRule="exact"/>
        <w:jc w:val="both"/>
        <w:rPr>
          <w:rFonts w:ascii="Arial" w:hAnsi="Arial" w:cs="Arial"/>
          <w:sz w:val="24"/>
          <w:szCs w:val="24"/>
        </w:rPr>
      </w:pPr>
    </w:p>
    <w:p w:rsidR="00A101F2" w:rsidRPr="00227CE7" w:rsidRDefault="00A101F2" w:rsidP="0020008B">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sz w:val="24"/>
          <w:szCs w:val="24"/>
        </w:rPr>
      </w:pPr>
    </w:p>
    <w:p w:rsidR="00BD4BD3" w:rsidRPr="002D4BC8" w:rsidRDefault="00BD4BD3"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BB7DB2">
      <w:pPr>
        <w:tabs>
          <w:tab w:val="center" w:pos="7797"/>
        </w:tabs>
        <w:spacing w:after="0" w:line="240" w:lineRule="auto"/>
        <w:jc w:val="both"/>
        <w:rPr>
          <w:rFonts w:ascii="Arial" w:hAnsi="Arial" w:cs="Arial"/>
          <w:sz w:val="24"/>
          <w:szCs w:val="24"/>
        </w:rPr>
      </w:pPr>
      <w:r>
        <w:rPr>
          <w:rFonts w:ascii="Arial" w:hAnsi="Arial" w:cs="Arial"/>
          <w:sz w:val="24"/>
          <w:szCs w:val="24"/>
        </w:rPr>
        <w:tab/>
      </w:r>
      <w:r w:rsidR="003D5C9B">
        <w:rPr>
          <w:rFonts w:ascii="Arial" w:hAnsi="Arial" w:cs="Arial"/>
          <w:sz w:val="24"/>
          <w:szCs w:val="24"/>
        </w:rPr>
        <w:t>d</w:t>
      </w:r>
      <w:r w:rsidR="00BB7DB2" w:rsidRPr="00BB7DB2">
        <w:rPr>
          <w:rFonts w:ascii="Arial" w:hAnsi="Arial" w:cs="Arial"/>
          <w:sz w:val="24"/>
          <w:szCs w:val="24"/>
        </w:rPr>
        <w:t>r. Tüske Róbert</w:t>
      </w:r>
    </w:p>
    <w:p w:rsidR="00E90B4A" w:rsidRPr="00BB7DB2" w:rsidRDefault="00BB7DB2" w:rsidP="00BB7DB2">
      <w:pPr>
        <w:tabs>
          <w:tab w:val="left" w:pos="7305"/>
        </w:tabs>
        <w:spacing w:after="0" w:line="240" w:lineRule="auto"/>
        <w:rPr>
          <w:rFonts w:ascii="Arial" w:hAnsi="Arial" w:cs="Arial"/>
          <w:sz w:val="24"/>
          <w:szCs w:val="24"/>
        </w:rPr>
      </w:pPr>
      <w:r w:rsidRPr="00BB7DB2">
        <w:rPr>
          <w:rFonts w:ascii="Arial" w:hAnsi="Arial" w:cs="Arial"/>
          <w:sz w:val="24"/>
          <w:szCs w:val="24"/>
        </w:rPr>
        <w:tab/>
      </w:r>
      <w:r>
        <w:rPr>
          <w:rFonts w:ascii="Arial" w:hAnsi="Arial" w:cs="Arial"/>
          <w:sz w:val="24"/>
          <w:szCs w:val="24"/>
        </w:rPr>
        <w:t xml:space="preserve"> </w:t>
      </w:r>
      <w:r w:rsidR="00D17D48">
        <w:rPr>
          <w:rFonts w:ascii="Arial" w:hAnsi="Arial" w:cs="Arial"/>
          <w:sz w:val="24"/>
          <w:szCs w:val="24"/>
        </w:rPr>
        <w:t xml:space="preserve"> </w:t>
      </w:r>
      <w:r w:rsidRPr="00BB7DB2">
        <w:rPr>
          <w:rFonts w:ascii="Arial" w:hAnsi="Arial" w:cs="Arial"/>
          <w:sz w:val="24"/>
          <w:szCs w:val="24"/>
        </w:rPr>
        <w:t>jegyző</w:t>
      </w:r>
    </w:p>
    <w:p w:rsidR="00B12CDF" w:rsidRDefault="00157B65" w:rsidP="00BD4BD3">
      <w:pPr>
        <w:spacing w:after="0" w:line="240" w:lineRule="auto"/>
        <w:rPr>
          <w:rFonts w:ascii="Arial" w:hAnsi="Arial" w:cs="Arial"/>
          <w:sz w:val="24"/>
          <w:szCs w:val="24"/>
        </w:rPr>
      </w:pPr>
      <w:r>
        <w:rPr>
          <w:rFonts w:ascii="Arial" w:hAnsi="Arial" w:cs="Arial"/>
          <w:sz w:val="24"/>
          <w:szCs w:val="24"/>
        </w:rPr>
        <w:br w:type="page"/>
      </w:r>
    </w:p>
    <w:p w:rsidR="00BD6670" w:rsidRDefault="00BD6670" w:rsidP="00BD4BD3">
      <w:pPr>
        <w:spacing w:after="0" w:line="240" w:lineRule="auto"/>
        <w:rPr>
          <w:rFonts w:ascii="Arial" w:hAnsi="Arial" w:cs="Arial"/>
          <w:sz w:val="24"/>
          <w:szCs w:val="24"/>
        </w:rPr>
      </w:pPr>
    </w:p>
    <w:p w:rsidR="00BD6670" w:rsidRDefault="00BD6670" w:rsidP="00BD4BD3">
      <w:pPr>
        <w:spacing w:after="0" w:line="240" w:lineRule="auto"/>
        <w:rPr>
          <w:rFonts w:ascii="Arial" w:hAnsi="Arial" w:cs="Arial"/>
          <w:sz w:val="24"/>
          <w:szCs w:val="24"/>
        </w:rPr>
      </w:pPr>
    </w:p>
    <w:p w:rsidR="000174EF" w:rsidRDefault="00AC481D" w:rsidP="00E90B4A">
      <w:pPr>
        <w:spacing w:after="0" w:line="240" w:lineRule="auto"/>
        <w:jc w:val="center"/>
        <w:rPr>
          <w:rFonts w:ascii="Arial" w:hAnsi="Arial" w:cs="Arial"/>
          <w:b/>
          <w:sz w:val="24"/>
          <w:szCs w:val="24"/>
        </w:rPr>
      </w:pPr>
      <w:r>
        <w:rPr>
          <w:rFonts w:ascii="Arial" w:hAnsi="Arial" w:cs="Arial"/>
          <w:b/>
          <w:sz w:val="24"/>
          <w:szCs w:val="24"/>
        </w:rPr>
        <w:t>1</w:t>
      </w:r>
      <w:r w:rsidR="00E90B4A">
        <w:rPr>
          <w:rFonts w:ascii="Arial" w:hAnsi="Arial" w:cs="Arial"/>
          <w:b/>
          <w:sz w:val="24"/>
          <w:szCs w:val="24"/>
        </w:rPr>
        <w:t>.</w:t>
      </w:r>
    </w:p>
    <w:p w:rsidR="00E90B4A" w:rsidRDefault="00E90B4A" w:rsidP="00E90B4A">
      <w:pPr>
        <w:spacing w:after="0" w:line="240" w:lineRule="auto"/>
        <w:jc w:val="center"/>
        <w:rPr>
          <w:rFonts w:ascii="Arial" w:hAnsi="Arial" w:cs="Arial"/>
          <w:b/>
          <w:sz w:val="24"/>
          <w:szCs w:val="24"/>
        </w:rPr>
      </w:pPr>
    </w:p>
    <w:p w:rsidR="00E90B4A" w:rsidRDefault="00E90B4A" w:rsidP="00E90B4A">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E90B4A" w:rsidRDefault="00E90B4A" w:rsidP="00E90B4A">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Default="006E395B" w:rsidP="006E395B">
      <w:pPr>
        <w:spacing w:after="0" w:line="240" w:lineRule="auto"/>
        <w:jc w:val="both"/>
        <w:rPr>
          <w:rFonts w:ascii="Arial" w:hAnsi="Arial" w:cs="Arial"/>
          <w:b/>
        </w:rPr>
      </w:pPr>
      <w:r w:rsidRPr="006E395B">
        <w:rPr>
          <w:rFonts w:ascii="Arial" w:hAnsi="Arial" w:cs="Arial"/>
          <w:b/>
        </w:rPr>
        <w:t>Tisztelt Képviselő-testület!</w:t>
      </w:r>
    </w:p>
    <w:p w:rsidR="005A4B5C" w:rsidRDefault="005A4B5C" w:rsidP="006E395B">
      <w:pPr>
        <w:spacing w:after="0" w:line="240" w:lineRule="auto"/>
        <w:jc w:val="both"/>
        <w:rPr>
          <w:rFonts w:ascii="Arial" w:hAnsi="Arial" w:cs="Arial"/>
          <w:b/>
        </w:rPr>
      </w:pPr>
    </w:p>
    <w:p w:rsidR="005A4B5C" w:rsidRPr="006E395B" w:rsidRDefault="005A4B5C" w:rsidP="006E395B">
      <w:pPr>
        <w:spacing w:after="0" w:line="240" w:lineRule="auto"/>
        <w:jc w:val="both"/>
        <w:rPr>
          <w:rFonts w:ascii="Arial" w:hAnsi="Arial" w:cs="Arial"/>
          <w:b/>
        </w:rPr>
      </w:pPr>
    </w:p>
    <w:p w:rsidR="00632522" w:rsidRDefault="00632522" w:rsidP="000660BC">
      <w:pPr>
        <w:spacing w:after="0"/>
        <w:jc w:val="both"/>
        <w:rPr>
          <w:rFonts w:ascii="Arial" w:hAnsi="Arial" w:cs="Arial"/>
        </w:rPr>
      </w:pPr>
      <w:r>
        <w:rPr>
          <w:rFonts w:ascii="Arial" w:hAnsi="Arial" w:cs="Arial"/>
        </w:rPr>
        <w:t>A helyi önkormányzatok és szerve</w:t>
      </w:r>
      <w:r w:rsidR="0062074C">
        <w:rPr>
          <w:rFonts w:ascii="Arial" w:hAnsi="Arial" w:cs="Arial"/>
        </w:rPr>
        <w:t>ik, a köztársasági megbízottak,</w:t>
      </w:r>
      <w:r>
        <w:rPr>
          <w:rFonts w:ascii="Arial" w:hAnsi="Arial" w:cs="Arial"/>
        </w:rPr>
        <w:t xml:space="preserve"> valamint egyes centrális alárendeltségű sze</w:t>
      </w:r>
      <w:r w:rsidR="0062074C">
        <w:rPr>
          <w:rFonts w:ascii="Arial" w:hAnsi="Arial" w:cs="Arial"/>
        </w:rPr>
        <w:t>rvek feladat- és hatásköreiről</w:t>
      </w:r>
      <w:r>
        <w:rPr>
          <w:rFonts w:ascii="Arial" w:hAnsi="Arial" w:cs="Arial"/>
        </w:rPr>
        <w:t xml:space="preserve"> szóló 1991. évi XX</w:t>
      </w:r>
      <w:r w:rsidR="006E4422">
        <w:rPr>
          <w:rFonts w:ascii="Arial" w:hAnsi="Arial" w:cs="Arial"/>
        </w:rPr>
        <w:t>.</w:t>
      </w:r>
      <w:r>
        <w:rPr>
          <w:rFonts w:ascii="Arial" w:hAnsi="Arial" w:cs="Arial"/>
        </w:rPr>
        <w:t xml:space="preserve"> törvény </w:t>
      </w:r>
      <w:r w:rsidR="00061317">
        <w:rPr>
          <w:rFonts w:ascii="Arial" w:hAnsi="Arial" w:cs="Arial"/>
        </w:rPr>
        <w:t xml:space="preserve">138. </w:t>
      </w:r>
      <w:r w:rsidR="008F033F">
        <w:rPr>
          <w:rFonts w:ascii="Arial" w:hAnsi="Arial" w:cs="Arial"/>
        </w:rPr>
        <w:t xml:space="preserve">§ (3) bekezdésének </w:t>
      </w:r>
      <w:r w:rsidR="008F033F" w:rsidRPr="00D50ACF">
        <w:rPr>
          <w:rFonts w:ascii="Arial" w:hAnsi="Arial" w:cs="Arial"/>
          <w:i/>
        </w:rPr>
        <w:t>g)</w:t>
      </w:r>
      <w:r w:rsidR="008F033F">
        <w:rPr>
          <w:rFonts w:ascii="Arial" w:hAnsi="Arial" w:cs="Arial"/>
        </w:rPr>
        <w:t xml:space="preserve"> pontja szerint a Képviselő-testület a jegyző beszámoltatása útján </w:t>
      </w:r>
      <w:r w:rsidR="007C6387">
        <w:rPr>
          <w:rFonts w:ascii="Arial" w:hAnsi="Arial" w:cs="Arial"/>
        </w:rPr>
        <w:t>ellenőrzi az adóztatás</w:t>
      </w:r>
      <w:r w:rsidR="00E85B7B">
        <w:rPr>
          <w:rFonts w:ascii="Arial" w:hAnsi="Arial" w:cs="Arial"/>
        </w:rPr>
        <w:t>t</w:t>
      </w:r>
      <w:r w:rsidR="007C6387">
        <w:rPr>
          <w:rFonts w:ascii="Arial" w:hAnsi="Arial" w:cs="Arial"/>
        </w:rPr>
        <w:t xml:space="preserve">, a </w:t>
      </w:r>
      <w:r w:rsidR="007C6387" w:rsidRPr="00D50ACF">
        <w:rPr>
          <w:rFonts w:ascii="Arial" w:hAnsi="Arial" w:cs="Arial"/>
          <w:i/>
        </w:rPr>
        <w:t>h)</w:t>
      </w:r>
      <w:r w:rsidR="007C6387">
        <w:rPr>
          <w:rFonts w:ascii="Arial" w:hAnsi="Arial" w:cs="Arial"/>
        </w:rPr>
        <w:t xml:space="preserve"> pontja alapján tájékoztatja a lakosságot a helyi adókból származó bevételek összegéről.</w:t>
      </w:r>
      <w:r w:rsidR="006E4422">
        <w:rPr>
          <w:rFonts w:ascii="Arial" w:hAnsi="Arial" w:cs="Arial"/>
        </w:rPr>
        <w:t xml:space="preserve"> </w:t>
      </w:r>
    </w:p>
    <w:p w:rsidR="00766746" w:rsidRDefault="00766746" w:rsidP="00CA0EBD">
      <w:pPr>
        <w:spacing w:after="0"/>
        <w:jc w:val="both"/>
        <w:rPr>
          <w:rFonts w:ascii="Arial" w:hAnsi="Arial" w:cs="Arial"/>
        </w:rPr>
      </w:pPr>
    </w:p>
    <w:p w:rsidR="00961F39" w:rsidRDefault="00CA0EBD" w:rsidP="00CA0EBD">
      <w:pPr>
        <w:spacing w:after="0"/>
        <w:jc w:val="both"/>
        <w:rPr>
          <w:rFonts w:ascii="Arial" w:hAnsi="Arial" w:cs="Arial"/>
        </w:rPr>
      </w:pPr>
      <w:r>
        <w:rPr>
          <w:rFonts w:ascii="Arial" w:hAnsi="Arial" w:cs="Arial"/>
        </w:rPr>
        <w:t xml:space="preserve">A fenti jogszabályhelyek </w:t>
      </w:r>
      <w:r w:rsidR="00192550">
        <w:rPr>
          <w:rFonts w:ascii="Arial" w:hAnsi="Arial" w:cs="Arial"/>
        </w:rPr>
        <w:t>alapján</w:t>
      </w:r>
      <w:r>
        <w:rPr>
          <w:rFonts w:ascii="Arial" w:hAnsi="Arial" w:cs="Arial"/>
        </w:rPr>
        <w:t xml:space="preserve"> a 2015. </w:t>
      </w:r>
      <w:r w:rsidR="00A70631">
        <w:rPr>
          <w:rFonts w:ascii="Arial" w:hAnsi="Arial" w:cs="Arial"/>
        </w:rPr>
        <w:t xml:space="preserve">november 26-ai testületi ülésen a 321/2015. (XI. 26.) </w:t>
      </w:r>
      <w:r w:rsidR="007013DE">
        <w:rPr>
          <w:rFonts w:ascii="Arial" w:hAnsi="Arial" w:cs="Arial"/>
        </w:rPr>
        <w:t xml:space="preserve">számú határozattal került </w:t>
      </w:r>
      <w:r>
        <w:rPr>
          <w:rFonts w:ascii="Arial" w:hAnsi="Arial" w:cs="Arial"/>
        </w:rPr>
        <w:t xml:space="preserve">a 2015. évi adóigazgatási beszámoló elfogadásra. </w:t>
      </w:r>
    </w:p>
    <w:p w:rsidR="00CA0EBD" w:rsidRDefault="00CA0EBD" w:rsidP="00CA0EBD">
      <w:pPr>
        <w:spacing w:after="0"/>
        <w:jc w:val="both"/>
        <w:rPr>
          <w:rFonts w:ascii="Arial" w:hAnsi="Arial" w:cs="Arial"/>
        </w:rPr>
      </w:pPr>
      <w:r>
        <w:rPr>
          <w:rFonts w:ascii="Arial" w:hAnsi="Arial" w:cs="Arial"/>
        </w:rPr>
        <w:t>A</w:t>
      </w:r>
      <w:r w:rsidR="009C18EB">
        <w:rPr>
          <w:rFonts w:ascii="Arial" w:hAnsi="Arial" w:cs="Arial"/>
        </w:rPr>
        <w:t xml:space="preserve"> részletes</w:t>
      </w:r>
      <w:r w:rsidR="00961F39">
        <w:rPr>
          <w:rFonts w:ascii="Arial" w:hAnsi="Arial" w:cs="Arial"/>
        </w:rPr>
        <w:t>,</w:t>
      </w:r>
      <w:r w:rsidR="009C18EB">
        <w:rPr>
          <w:rFonts w:ascii="Arial" w:hAnsi="Arial" w:cs="Arial"/>
        </w:rPr>
        <w:t xml:space="preserve"> az adóigazgatási tevékenységet teljes körűen átfogó</w:t>
      </w:r>
      <w:r>
        <w:rPr>
          <w:rFonts w:ascii="Arial" w:hAnsi="Arial" w:cs="Arial"/>
        </w:rPr>
        <w:t xml:space="preserve"> beszámoló tényadatai a 2015</w:t>
      </w:r>
      <w:r w:rsidR="007013DE">
        <w:rPr>
          <w:rFonts w:ascii="Arial" w:hAnsi="Arial" w:cs="Arial"/>
        </w:rPr>
        <w:t>. év I-III</w:t>
      </w:r>
      <w:r>
        <w:rPr>
          <w:rFonts w:ascii="Arial" w:hAnsi="Arial" w:cs="Arial"/>
        </w:rPr>
        <w:t>. negyedévi költségvetési beszámoló</w:t>
      </w:r>
      <w:r w:rsidR="00192550">
        <w:rPr>
          <w:rFonts w:ascii="Arial" w:hAnsi="Arial" w:cs="Arial"/>
        </w:rPr>
        <w:t xml:space="preserve">n </w:t>
      </w:r>
      <w:r>
        <w:rPr>
          <w:rFonts w:ascii="Arial" w:hAnsi="Arial" w:cs="Arial"/>
        </w:rPr>
        <w:t xml:space="preserve">alapultak, illetve – könyvelés függvényében - </w:t>
      </w:r>
      <w:r w:rsidRPr="005F5EBB">
        <w:rPr>
          <w:rFonts w:ascii="Arial" w:hAnsi="Arial" w:cs="Arial"/>
        </w:rPr>
        <w:t>tartalmaz</w:t>
      </w:r>
      <w:r>
        <w:rPr>
          <w:rFonts w:ascii="Arial" w:hAnsi="Arial" w:cs="Arial"/>
        </w:rPr>
        <w:t>tak</w:t>
      </w:r>
      <w:r w:rsidRPr="005F5EBB">
        <w:rPr>
          <w:rFonts w:ascii="Arial" w:hAnsi="Arial" w:cs="Arial"/>
        </w:rPr>
        <w:t xml:space="preserve"> 2015. október 31. napi adatot </w:t>
      </w:r>
      <w:r w:rsidRPr="00A91F5A">
        <w:rPr>
          <w:rFonts w:ascii="Arial" w:hAnsi="Arial" w:cs="Arial"/>
        </w:rPr>
        <w:t xml:space="preserve">is. </w:t>
      </w:r>
      <w:r w:rsidR="002F4C75" w:rsidRPr="00A91F5A">
        <w:rPr>
          <w:rFonts w:ascii="Arial" w:hAnsi="Arial" w:cs="Arial"/>
        </w:rPr>
        <w:t xml:space="preserve">Jelen beszámolóval az az éves adatokkal kiegészítésre került, </w:t>
      </w:r>
      <w:r w:rsidR="00766746" w:rsidRPr="00A91F5A">
        <w:rPr>
          <w:rFonts w:ascii="Arial" w:hAnsi="Arial" w:cs="Arial"/>
        </w:rPr>
        <w:t xml:space="preserve">hogy </w:t>
      </w:r>
      <w:r w:rsidR="00192550" w:rsidRPr="00A91F5A">
        <w:rPr>
          <w:rFonts w:ascii="Arial" w:hAnsi="Arial" w:cs="Arial"/>
        </w:rPr>
        <w:t>a jövő évtől egy</w:t>
      </w:r>
      <w:r w:rsidR="00961F39" w:rsidRPr="00A91F5A">
        <w:rPr>
          <w:rFonts w:ascii="Arial" w:hAnsi="Arial" w:cs="Arial"/>
        </w:rPr>
        <w:t xml:space="preserve"> </w:t>
      </w:r>
      <w:r w:rsidR="00766746" w:rsidRPr="00A91F5A">
        <w:rPr>
          <w:rFonts w:ascii="Arial" w:hAnsi="Arial" w:cs="Arial"/>
        </w:rPr>
        <w:t xml:space="preserve">teljes </w:t>
      </w:r>
      <w:r w:rsidR="007013DE" w:rsidRPr="00A91F5A">
        <w:rPr>
          <w:rFonts w:ascii="Arial" w:hAnsi="Arial" w:cs="Arial"/>
        </w:rPr>
        <w:t>év adóztatási tevékenység</w:t>
      </w:r>
      <w:r w:rsidR="0026024A" w:rsidRPr="00A91F5A">
        <w:rPr>
          <w:rFonts w:ascii="Arial" w:hAnsi="Arial" w:cs="Arial"/>
        </w:rPr>
        <w:t>éről</w:t>
      </w:r>
      <w:r w:rsidR="00766746" w:rsidRPr="00A91F5A">
        <w:rPr>
          <w:rFonts w:ascii="Arial" w:hAnsi="Arial" w:cs="Arial"/>
        </w:rPr>
        <w:t xml:space="preserve"> kerüljön </w:t>
      </w:r>
      <w:r w:rsidR="0026024A" w:rsidRPr="00A91F5A">
        <w:rPr>
          <w:rFonts w:ascii="Arial" w:hAnsi="Arial" w:cs="Arial"/>
        </w:rPr>
        <w:t xml:space="preserve">beszámoló </w:t>
      </w:r>
      <w:r w:rsidR="00766746" w:rsidRPr="00A91F5A">
        <w:rPr>
          <w:rFonts w:ascii="Arial" w:hAnsi="Arial" w:cs="Arial"/>
        </w:rPr>
        <w:t>minden év márciusában a Tisztelt Képviselő-testület elé.</w:t>
      </w:r>
      <w:r w:rsidR="008F656F">
        <w:rPr>
          <w:rFonts w:ascii="Arial" w:hAnsi="Arial" w:cs="Arial"/>
        </w:rPr>
        <w:t xml:space="preserve"> </w:t>
      </w:r>
    </w:p>
    <w:p w:rsidR="00455198" w:rsidRDefault="00455198" w:rsidP="000660BC">
      <w:pPr>
        <w:spacing w:after="0"/>
        <w:ind w:left="720"/>
        <w:jc w:val="both"/>
        <w:rPr>
          <w:rFonts w:ascii="Arial" w:hAnsi="Arial" w:cs="Arial"/>
        </w:rPr>
      </w:pPr>
    </w:p>
    <w:p w:rsidR="00E63E43" w:rsidRDefault="00E63E43" w:rsidP="001A2530">
      <w:pPr>
        <w:tabs>
          <w:tab w:val="center" w:pos="4422"/>
          <w:tab w:val="left" w:pos="6045"/>
        </w:tabs>
        <w:spacing w:after="0" w:line="240" w:lineRule="auto"/>
        <w:rPr>
          <w:rFonts w:ascii="Arial" w:hAnsi="Arial" w:cs="Arial"/>
          <w:b/>
        </w:rPr>
      </w:pPr>
    </w:p>
    <w:p w:rsidR="001A2530" w:rsidRPr="00330E8F" w:rsidRDefault="001A2530" w:rsidP="00330E8F">
      <w:pPr>
        <w:pStyle w:val="Listaszerbekezds"/>
        <w:numPr>
          <w:ilvl w:val="0"/>
          <w:numId w:val="36"/>
        </w:numPr>
        <w:tabs>
          <w:tab w:val="center" w:pos="4422"/>
          <w:tab w:val="left" w:pos="6045"/>
        </w:tabs>
        <w:spacing w:after="0" w:line="240" w:lineRule="auto"/>
        <w:rPr>
          <w:rFonts w:ascii="Arial" w:hAnsi="Arial" w:cs="Arial"/>
          <w:b/>
        </w:rPr>
      </w:pPr>
      <w:r w:rsidRPr="00330E8F">
        <w:rPr>
          <w:rFonts w:ascii="Arial" w:hAnsi="Arial" w:cs="Arial"/>
          <w:b/>
        </w:rPr>
        <w:t>Adóbevételek ala</w:t>
      </w:r>
      <w:r w:rsidR="00067C84" w:rsidRPr="00330E8F">
        <w:rPr>
          <w:rFonts w:ascii="Arial" w:hAnsi="Arial" w:cs="Arial"/>
          <w:b/>
        </w:rPr>
        <w:t>kulás 2015</w:t>
      </w:r>
      <w:r w:rsidRPr="00330E8F">
        <w:rPr>
          <w:rFonts w:ascii="Arial" w:hAnsi="Arial" w:cs="Arial"/>
          <w:b/>
        </w:rPr>
        <w:t>. évben</w:t>
      </w:r>
    </w:p>
    <w:p w:rsidR="00330E8F" w:rsidRPr="00330E8F" w:rsidRDefault="00330E8F" w:rsidP="00330E8F">
      <w:pPr>
        <w:tabs>
          <w:tab w:val="center" w:pos="4422"/>
          <w:tab w:val="left" w:pos="6045"/>
        </w:tabs>
        <w:spacing w:after="0" w:line="240" w:lineRule="auto"/>
        <w:rPr>
          <w:rFonts w:ascii="Arial" w:hAnsi="Arial" w:cs="Arial"/>
          <w:b/>
        </w:rPr>
      </w:pPr>
    </w:p>
    <w:p w:rsidR="00330E8F" w:rsidRDefault="00330E8F" w:rsidP="00330E8F">
      <w:pPr>
        <w:spacing w:after="0"/>
        <w:jc w:val="both"/>
        <w:rPr>
          <w:rFonts w:ascii="Arial" w:hAnsi="Arial" w:cs="Arial"/>
        </w:rPr>
      </w:pPr>
      <w:r>
        <w:rPr>
          <w:rFonts w:ascii="Arial" w:hAnsi="Arial" w:cs="Arial"/>
        </w:rPr>
        <w:t xml:space="preserve">Hévíz Város Önkormányzat működési </w:t>
      </w:r>
      <w:r w:rsidRPr="00127572">
        <w:rPr>
          <w:rFonts w:ascii="Arial" w:hAnsi="Arial" w:cs="Arial"/>
        </w:rPr>
        <w:t xml:space="preserve">bevételeinek </w:t>
      </w:r>
      <w:r w:rsidR="00127572" w:rsidRPr="00127572">
        <w:rPr>
          <w:rFonts w:ascii="Arial" w:hAnsi="Arial" w:cs="Arial"/>
        </w:rPr>
        <w:t xml:space="preserve">43,5 </w:t>
      </w:r>
      <w:r w:rsidRPr="00127572">
        <w:rPr>
          <w:rFonts w:ascii="Arial" w:hAnsi="Arial" w:cs="Arial"/>
        </w:rPr>
        <w:t xml:space="preserve">%-át a közhatalmi bevételek – helyi adók </w:t>
      </w:r>
      <w:r w:rsidR="00127572" w:rsidRPr="00127572">
        <w:rPr>
          <w:rFonts w:ascii="Arial" w:hAnsi="Arial" w:cs="Arial"/>
        </w:rPr>
        <w:t>42</w:t>
      </w:r>
      <w:r w:rsidRPr="00127572">
        <w:rPr>
          <w:rFonts w:ascii="Arial" w:hAnsi="Arial" w:cs="Arial"/>
        </w:rPr>
        <w:t xml:space="preserve">%-át (építményadó, idegenforgalmi adó, iparűzési adó); átengedett központi adók </w:t>
      </w:r>
      <w:r w:rsidR="00127572" w:rsidRPr="00127572">
        <w:rPr>
          <w:rFonts w:ascii="Arial" w:hAnsi="Arial" w:cs="Arial"/>
        </w:rPr>
        <w:t>0,7</w:t>
      </w:r>
      <w:r w:rsidRPr="00127572">
        <w:rPr>
          <w:rFonts w:ascii="Arial" w:hAnsi="Arial" w:cs="Arial"/>
        </w:rPr>
        <w:t xml:space="preserve">% </w:t>
      </w:r>
      <w:r w:rsidR="00192550" w:rsidRPr="00127572">
        <w:rPr>
          <w:rFonts w:ascii="Arial" w:hAnsi="Arial" w:cs="Arial"/>
        </w:rPr>
        <w:t>(gépjármű</w:t>
      </w:r>
      <w:r w:rsidR="00253F1D" w:rsidRPr="00127572">
        <w:rPr>
          <w:rFonts w:ascii="Arial" w:hAnsi="Arial" w:cs="Arial"/>
        </w:rPr>
        <w:t>a</w:t>
      </w:r>
      <w:r w:rsidR="00192550" w:rsidRPr="00127572">
        <w:rPr>
          <w:rFonts w:ascii="Arial" w:hAnsi="Arial" w:cs="Arial"/>
        </w:rPr>
        <w:t xml:space="preserve">dó); </w:t>
      </w:r>
      <w:r w:rsidRPr="00127572">
        <w:rPr>
          <w:rFonts w:ascii="Arial" w:hAnsi="Arial" w:cs="Arial"/>
        </w:rPr>
        <w:t xml:space="preserve">bírságok, pótlékok és egyéb sajátos bevételek </w:t>
      </w:r>
      <w:r w:rsidR="00127572" w:rsidRPr="00127572">
        <w:rPr>
          <w:rFonts w:ascii="Arial" w:hAnsi="Arial" w:cs="Arial"/>
        </w:rPr>
        <w:t>0,8</w:t>
      </w:r>
      <w:r w:rsidRPr="00127572">
        <w:rPr>
          <w:rFonts w:ascii="Arial" w:hAnsi="Arial" w:cs="Arial"/>
        </w:rPr>
        <w:t>% - biztosítják.</w:t>
      </w:r>
    </w:p>
    <w:p w:rsidR="001A2530" w:rsidRDefault="001A2530" w:rsidP="001A2530">
      <w:pPr>
        <w:tabs>
          <w:tab w:val="center" w:pos="4422"/>
          <w:tab w:val="left" w:pos="6045"/>
        </w:tabs>
        <w:spacing w:after="0" w:line="240" w:lineRule="auto"/>
        <w:rPr>
          <w:rFonts w:ascii="Arial" w:hAnsi="Arial" w:cs="Arial"/>
          <w:b/>
          <w:sz w:val="24"/>
          <w:szCs w:val="24"/>
        </w:rPr>
      </w:pPr>
    </w:p>
    <w:p w:rsidR="00775173" w:rsidRDefault="00775173" w:rsidP="002C7472">
      <w:pPr>
        <w:spacing w:after="0"/>
        <w:jc w:val="both"/>
        <w:rPr>
          <w:rFonts w:ascii="Arial" w:hAnsi="Arial" w:cs="Arial"/>
        </w:rPr>
      </w:pPr>
    </w:p>
    <w:tbl>
      <w:tblPr>
        <w:tblW w:w="8960" w:type="dxa"/>
        <w:jc w:val="center"/>
        <w:tblCellMar>
          <w:left w:w="70" w:type="dxa"/>
          <w:right w:w="70" w:type="dxa"/>
        </w:tblCellMar>
        <w:tblLook w:val="04A0" w:firstRow="1" w:lastRow="0" w:firstColumn="1" w:lastColumn="0" w:noHBand="0" w:noVBand="1"/>
      </w:tblPr>
      <w:tblGrid>
        <w:gridCol w:w="3800"/>
        <w:gridCol w:w="1720"/>
        <w:gridCol w:w="3440"/>
      </w:tblGrid>
      <w:tr w:rsidR="00330E8F" w:rsidRPr="00775173" w:rsidTr="00612861">
        <w:trPr>
          <w:trHeight w:val="900"/>
          <w:jc w:val="center"/>
        </w:trPr>
        <w:tc>
          <w:tcPr>
            <w:tcW w:w="5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E8F" w:rsidRPr="00775173" w:rsidRDefault="00330E8F" w:rsidP="00775173">
            <w:pPr>
              <w:spacing w:after="0" w:line="240" w:lineRule="auto"/>
              <w:jc w:val="center"/>
              <w:rPr>
                <w:rFonts w:ascii="Arial" w:eastAsia="Times New Roman" w:hAnsi="Arial" w:cs="Arial"/>
                <w:b/>
                <w:bCs/>
                <w:color w:val="000000"/>
                <w:lang w:eastAsia="hu-HU"/>
              </w:rPr>
            </w:pPr>
            <w:r w:rsidRPr="00775173">
              <w:rPr>
                <w:rFonts w:ascii="Arial" w:eastAsia="Times New Roman" w:hAnsi="Arial" w:cs="Arial"/>
                <w:b/>
                <w:bCs/>
                <w:color w:val="000000"/>
                <w:lang w:eastAsia="hu-HU"/>
              </w:rPr>
              <w:t>2015. évre tervezett helyi adó bevételek</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rsidR="00330E8F" w:rsidRPr="00775173" w:rsidRDefault="00330E8F" w:rsidP="009D3137">
            <w:pPr>
              <w:spacing w:after="0" w:line="240" w:lineRule="auto"/>
              <w:jc w:val="center"/>
              <w:rPr>
                <w:rFonts w:ascii="Arial" w:eastAsia="Times New Roman" w:hAnsi="Arial" w:cs="Arial"/>
                <w:b/>
                <w:bCs/>
                <w:color w:val="000000"/>
                <w:lang w:eastAsia="hu-HU"/>
              </w:rPr>
            </w:pPr>
            <w:r>
              <w:rPr>
                <w:rFonts w:ascii="Arial" w:eastAsia="Times New Roman" w:hAnsi="Arial" w:cs="Arial"/>
                <w:b/>
                <w:bCs/>
                <w:color w:val="000000"/>
                <w:lang w:eastAsia="hu-HU"/>
              </w:rPr>
              <w:t xml:space="preserve">2015. december </w:t>
            </w:r>
            <w:r w:rsidRPr="00775173">
              <w:rPr>
                <w:rFonts w:ascii="Arial" w:eastAsia="Times New Roman" w:hAnsi="Arial" w:cs="Arial"/>
                <w:b/>
                <w:bCs/>
                <w:color w:val="000000"/>
                <w:lang w:eastAsia="hu-HU"/>
              </w:rPr>
              <w:t xml:space="preserve">31. napjáig teljesült </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építményadó</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160.000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 xml:space="preserve">158.447 e </w:t>
            </w:r>
            <w:r w:rsidRPr="00775173">
              <w:rPr>
                <w:rFonts w:ascii="Arial" w:eastAsia="Times New Roman" w:hAnsi="Arial" w:cs="Arial"/>
                <w:color w:val="000000"/>
                <w:lang w:eastAsia="hu-HU"/>
              </w:rPr>
              <w:t>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iparűzési adó</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414.000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445.011 e 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idegenforgalmi adó</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480.000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 xml:space="preserve">464.264 e Ft </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gépjárműadó</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17.926 e 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 xml:space="preserve">bírság </w:t>
            </w:r>
            <w:r w:rsidRPr="00775173">
              <w:rPr>
                <w:rFonts w:ascii="Arial" w:eastAsia="Times New Roman" w:hAnsi="Arial" w:cs="Arial"/>
                <w:color w:val="000000"/>
                <w:sz w:val="16"/>
                <w:szCs w:val="16"/>
                <w:lang w:eastAsia="hu-HU"/>
              </w:rPr>
              <w:t>(eredeti tervezett: 2000 e Ft)</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8.000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1.412 e 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 xml:space="preserve">pótlék </w:t>
            </w:r>
            <w:r w:rsidRPr="00775173">
              <w:rPr>
                <w:rFonts w:ascii="Arial" w:eastAsia="Times New Roman" w:hAnsi="Arial" w:cs="Arial"/>
                <w:color w:val="000000"/>
                <w:sz w:val="16"/>
                <w:szCs w:val="16"/>
                <w:lang w:eastAsia="hu-HU"/>
              </w:rPr>
              <w:t>(eredeti tervezett: 500 e Ft)</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500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8.578 e 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b/>
                <w:bCs/>
                <w:color w:val="000000"/>
                <w:lang w:eastAsia="hu-HU"/>
              </w:rPr>
            </w:pPr>
            <w:r w:rsidRPr="00775173">
              <w:rPr>
                <w:rFonts w:ascii="Arial" w:eastAsia="Times New Roman" w:hAnsi="Arial" w:cs="Arial"/>
                <w:b/>
                <w:bCs/>
                <w:color w:val="000000"/>
                <w:lang w:eastAsia="hu-HU"/>
              </w:rPr>
              <w:t>összesen</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b/>
                <w:bCs/>
                <w:color w:val="000000"/>
                <w:lang w:eastAsia="hu-HU"/>
              </w:rPr>
            </w:pPr>
            <w:r w:rsidRPr="00775173">
              <w:rPr>
                <w:rFonts w:ascii="Arial" w:eastAsia="Times New Roman" w:hAnsi="Arial" w:cs="Arial"/>
                <w:b/>
                <w:bCs/>
                <w:color w:val="000000"/>
                <w:lang w:eastAsia="hu-HU"/>
              </w:rPr>
              <w:t>1.078.500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b/>
                <w:bCs/>
                <w:color w:val="000000"/>
                <w:lang w:eastAsia="hu-HU"/>
              </w:rPr>
            </w:pPr>
            <w:r>
              <w:rPr>
                <w:rFonts w:ascii="Arial" w:eastAsia="Times New Roman" w:hAnsi="Arial" w:cs="Arial"/>
                <w:b/>
                <w:bCs/>
                <w:color w:val="000000"/>
                <w:lang w:eastAsia="hu-HU"/>
              </w:rPr>
              <w:t>1.095.638 e Ft</w:t>
            </w:r>
          </w:p>
        </w:tc>
      </w:tr>
    </w:tbl>
    <w:p w:rsidR="00F50400" w:rsidRDefault="00F50400" w:rsidP="002C7472">
      <w:pPr>
        <w:autoSpaceDE w:val="0"/>
        <w:autoSpaceDN w:val="0"/>
        <w:adjustRightInd w:val="0"/>
        <w:spacing w:after="0"/>
        <w:jc w:val="both"/>
        <w:rPr>
          <w:rFonts w:ascii="Arial" w:hAnsi="Arial" w:cs="Arial"/>
        </w:rPr>
      </w:pPr>
    </w:p>
    <w:p w:rsidR="001A2530" w:rsidRDefault="00DF297C" w:rsidP="002C7472">
      <w:pPr>
        <w:autoSpaceDE w:val="0"/>
        <w:autoSpaceDN w:val="0"/>
        <w:adjustRightInd w:val="0"/>
        <w:spacing w:after="0"/>
        <w:jc w:val="both"/>
        <w:rPr>
          <w:rFonts w:ascii="Arial" w:hAnsi="Arial" w:cs="Arial"/>
        </w:rPr>
      </w:pPr>
      <w:r>
        <w:rPr>
          <w:rFonts w:ascii="Arial" w:hAnsi="Arial" w:cs="Arial"/>
        </w:rPr>
        <w:t xml:space="preserve">A helyi adókról szóló 1990. évi C. törvény (a továbbiakban: </w:t>
      </w:r>
      <w:proofErr w:type="spellStart"/>
      <w:r>
        <w:rPr>
          <w:rFonts w:ascii="Arial" w:hAnsi="Arial" w:cs="Arial"/>
        </w:rPr>
        <w:t>Htv</w:t>
      </w:r>
      <w:proofErr w:type="spellEnd"/>
      <w:r>
        <w:rPr>
          <w:rFonts w:ascii="Arial" w:hAnsi="Arial" w:cs="Arial"/>
        </w:rPr>
        <w:t>.) alapján a helyi adózás struktúrája három fő rendszerelemre épül: vagyoni típusú adók</w:t>
      </w:r>
      <w:r w:rsidR="00592606">
        <w:rPr>
          <w:rFonts w:ascii="Arial" w:hAnsi="Arial" w:cs="Arial"/>
        </w:rPr>
        <w:t xml:space="preserve"> (építményadó)</w:t>
      </w:r>
      <w:r>
        <w:rPr>
          <w:rFonts w:ascii="Arial" w:hAnsi="Arial" w:cs="Arial"/>
        </w:rPr>
        <w:t>, kommunális adó (idegenforgalmi adó) és helyi iparűzési adó.</w:t>
      </w:r>
    </w:p>
    <w:p w:rsidR="00F1750F" w:rsidRPr="00DF297C" w:rsidRDefault="00F1750F" w:rsidP="002C7472">
      <w:pPr>
        <w:autoSpaceDE w:val="0"/>
        <w:autoSpaceDN w:val="0"/>
        <w:adjustRightInd w:val="0"/>
        <w:spacing w:after="0"/>
        <w:jc w:val="both"/>
        <w:rPr>
          <w:rFonts w:ascii="Arial" w:hAnsi="Arial" w:cs="Arial"/>
        </w:rPr>
      </w:pPr>
      <w:r>
        <w:rPr>
          <w:rFonts w:ascii="Arial" w:hAnsi="Arial" w:cs="Arial"/>
        </w:rPr>
        <w:t>2015. évben a helyi adók mérték</w:t>
      </w:r>
      <w:r w:rsidR="00612861">
        <w:rPr>
          <w:rFonts w:ascii="Arial" w:hAnsi="Arial" w:cs="Arial"/>
        </w:rPr>
        <w:t>é</w:t>
      </w:r>
      <w:r>
        <w:rPr>
          <w:rFonts w:ascii="Arial" w:hAnsi="Arial" w:cs="Arial"/>
        </w:rPr>
        <w:t>ben nem történt változás.</w:t>
      </w:r>
    </w:p>
    <w:p w:rsidR="00731291" w:rsidRDefault="00731291" w:rsidP="002C7472">
      <w:pPr>
        <w:spacing w:after="0"/>
        <w:rPr>
          <w:rFonts w:ascii="Arial" w:hAnsi="Arial" w:cs="Arial"/>
        </w:rPr>
      </w:pPr>
    </w:p>
    <w:p w:rsidR="004F761B" w:rsidRPr="004F761B" w:rsidRDefault="00311CFA" w:rsidP="006A1891">
      <w:pPr>
        <w:spacing w:after="0"/>
        <w:jc w:val="both"/>
        <w:rPr>
          <w:rFonts w:ascii="Arial" w:hAnsi="Arial" w:cs="Arial"/>
        </w:rPr>
      </w:pPr>
      <w:r w:rsidRPr="004F761B">
        <w:rPr>
          <w:rFonts w:ascii="Arial" w:hAnsi="Arial" w:cs="Arial"/>
        </w:rPr>
        <w:t>Az önkormányzatot megillető adójellegű bevételek szignifikáns része a</w:t>
      </w:r>
      <w:r w:rsidR="004F761B" w:rsidRPr="004F761B">
        <w:rPr>
          <w:rFonts w:ascii="Arial" w:hAnsi="Arial" w:cs="Arial"/>
        </w:rPr>
        <w:t>z idegenforgalmi adóból befolyó összeg, mely minden beszedett adóforintja után további 1,55 Ft normatív támogatás igényelhető.</w:t>
      </w:r>
      <w:r w:rsidR="007A7944">
        <w:rPr>
          <w:rFonts w:ascii="Arial" w:hAnsi="Arial" w:cs="Arial"/>
        </w:rPr>
        <w:t xml:space="preserve"> A bevételek másik legjelentősebb részét képezi az iparűzési adó, kisebb volument </w:t>
      </w:r>
      <w:r w:rsidR="0043730F">
        <w:rPr>
          <w:rFonts w:ascii="Arial" w:hAnsi="Arial" w:cs="Arial"/>
        </w:rPr>
        <w:t>képvisel az építményadó</w:t>
      </w:r>
      <w:r w:rsidR="007A7944">
        <w:rPr>
          <w:rFonts w:ascii="Arial" w:hAnsi="Arial" w:cs="Arial"/>
        </w:rPr>
        <w:t xml:space="preserve">. </w:t>
      </w:r>
    </w:p>
    <w:p w:rsidR="002B789F" w:rsidRPr="002B789F" w:rsidRDefault="002B789F" w:rsidP="002B789F">
      <w:pPr>
        <w:spacing w:after="0"/>
        <w:jc w:val="both"/>
        <w:rPr>
          <w:rFonts w:ascii="Arial" w:hAnsi="Arial" w:cs="Arial"/>
        </w:rPr>
      </w:pPr>
      <w:r w:rsidRPr="002B789F">
        <w:rPr>
          <w:rFonts w:ascii="Arial" w:hAnsi="Arial" w:cs="Arial"/>
        </w:rPr>
        <w:t>Továbbra is meghatározó az önkormányzati adób</w:t>
      </w:r>
      <w:r>
        <w:rPr>
          <w:rFonts w:ascii="Arial" w:hAnsi="Arial" w:cs="Arial"/>
        </w:rPr>
        <w:t>evételek</w:t>
      </w:r>
      <w:r w:rsidR="00CA3F69">
        <w:rPr>
          <w:rFonts w:ascii="Arial" w:hAnsi="Arial" w:cs="Arial"/>
        </w:rPr>
        <w:t>en</w:t>
      </w:r>
      <w:r>
        <w:rPr>
          <w:rFonts w:ascii="Arial" w:hAnsi="Arial" w:cs="Arial"/>
        </w:rPr>
        <w:t xml:space="preserve"> belül a helyi iparűzés</w:t>
      </w:r>
      <w:r w:rsidRPr="002B789F">
        <w:rPr>
          <w:rFonts w:ascii="Arial" w:hAnsi="Arial" w:cs="Arial"/>
        </w:rPr>
        <w:t xml:space="preserve">i adó súlya és szerepe. </w:t>
      </w:r>
    </w:p>
    <w:p w:rsidR="002B789F" w:rsidRPr="002B789F" w:rsidRDefault="002B789F" w:rsidP="002B789F">
      <w:pPr>
        <w:spacing w:after="120"/>
        <w:jc w:val="both"/>
        <w:rPr>
          <w:rFonts w:ascii="Arial" w:hAnsi="Arial" w:cs="Arial"/>
        </w:rPr>
      </w:pPr>
      <w:r w:rsidRPr="002B789F">
        <w:rPr>
          <w:rFonts w:ascii="Arial" w:hAnsi="Arial" w:cs="Arial"/>
        </w:rPr>
        <w:t>Az önkormányzatnál maradó adóbevételek beérkezéseinek zöme az első és harmadik negyedévhez köthetőek, hiszen a március 15-i é szeptember 15-i befizetési határi</w:t>
      </w:r>
      <w:r w:rsidR="00A9448E">
        <w:rPr>
          <w:rFonts w:ascii="Arial" w:hAnsi="Arial" w:cs="Arial"/>
        </w:rPr>
        <w:t>dők ekkor járnak le. E</w:t>
      </w:r>
      <w:r w:rsidRPr="002B789F">
        <w:rPr>
          <w:rFonts w:ascii="Arial" w:hAnsi="Arial" w:cs="Arial"/>
        </w:rPr>
        <w:t xml:space="preserve">ddig kell megfizetni az adózóknak a helyi építményadó és a gépjárműadók éves előírásainak 50-50 %-át, valamint az esedékes iparűzési adóelőlegeket. </w:t>
      </w:r>
    </w:p>
    <w:p w:rsidR="002B789F" w:rsidRPr="002B789F" w:rsidRDefault="002B789F" w:rsidP="002B789F">
      <w:pPr>
        <w:spacing w:after="120"/>
        <w:jc w:val="both"/>
        <w:rPr>
          <w:rFonts w:ascii="Arial" w:hAnsi="Arial" w:cs="Arial"/>
        </w:rPr>
      </w:pPr>
      <w:r w:rsidRPr="002B789F">
        <w:rPr>
          <w:rFonts w:ascii="Arial" w:hAnsi="Arial" w:cs="Arial"/>
        </w:rPr>
        <w:t xml:space="preserve">Jellemzően a követeléskezelési és végrehajtási eljárások eredményei is a második félévben jelennek meg a teljesülések között. </w:t>
      </w:r>
    </w:p>
    <w:p w:rsidR="002B789F" w:rsidRPr="002B789F" w:rsidRDefault="002B789F" w:rsidP="002B789F">
      <w:pPr>
        <w:spacing w:after="120"/>
        <w:jc w:val="both"/>
        <w:rPr>
          <w:rFonts w:ascii="Arial" w:hAnsi="Arial" w:cs="Arial"/>
        </w:rPr>
      </w:pPr>
      <w:r w:rsidRPr="002B789F">
        <w:rPr>
          <w:rFonts w:ascii="Arial" w:hAnsi="Arial" w:cs="Arial"/>
        </w:rPr>
        <w:t>Az adóév végén (december 20-i</w:t>
      </w:r>
      <w:r w:rsidR="00CA3F69">
        <w:rPr>
          <w:rFonts w:ascii="Arial" w:hAnsi="Arial" w:cs="Arial"/>
        </w:rPr>
        <w:t>g</w:t>
      </w:r>
      <w:r w:rsidRPr="002B789F">
        <w:rPr>
          <w:rFonts w:ascii="Arial" w:hAnsi="Arial" w:cs="Arial"/>
        </w:rPr>
        <w:t xml:space="preserve">) egészítik </w:t>
      </w:r>
      <w:r w:rsidR="00CA3F69">
        <w:rPr>
          <w:rFonts w:ascii="Arial" w:hAnsi="Arial" w:cs="Arial"/>
        </w:rPr>
        <w:t>k</w:t>
      </w:r>
      <w:r w:rsidRPr="002B789F">
        <w:rPr>
          <w:rFonts w:ascii="Arial" w:hAnsi="Arial" w:cs="Arial"/>
        </w:rPr>
        <w:t xml:space="preserve">i a vállalkozások az iparűzési adóelőlegeket, így ekkor is jelentős befizetések érkezhetnek – iparűzési adóbevételként – az önkormányzat számlájára. Ennek tervezése azonban gyakorlatilag lehetetlen. </w:t>
      </w:r>
    </w:p>
    <w:p w:rsidR="00085129" w:rsidRPr="004F761B" w:rsidRDefault="002B789F" w:rsidP="002C7472">
      <w:pPr>
        <w:spacing w:after="0"/>
        <w:jc w:val="both"/>
        <w:rPr>
          <w:rFonts w:ascii="Arial" w:hAnsi="Arial" w:cs="Arial"/>
        </w:rPr>
      </w:pPr>
      <w:r>
        <w:rPr>
          <w:rFonts w:ascii="Arial" w:hAnsi="Arial" w:cs="Arial"/>
        </w:rPr>
        <w:t xml:space="preserve">Adóbevételeink a tervezetthez képest 101,6 %-ban teljesültek, azonban a tényszerűséghez hozzátartozik, hogy azt </w:t>
      </w:r>
      <w:r w:rsidR="005D2532">
        <w:rPr>
          <w:rFonts w:ascii="Arial" w:hAnsi="Arial" w:cs="Arial"/>
        </w:rPr>
        <w:t>egy több éve húzódó perben született Kúriai ítélet le</w:t>
      </w:r>
      <w:r w:rsidR="0043730F">
        <w:rPr>
          <w:rFonts w:ascii="Arial" w:hAnsi="Arial" w:cs="Arial"/>
        </w:rPr>
        <w:t xml:space="preserve">zárása miatt 19 millió </w:t>
      </w:r>
      <w:r w:rsidR="005D2532">
        <w:rPr>
          <w:rFonts w:ascii="Arial" w:hAnsi="Arial" w:cs="Arial"/>
        </w:rPr>
        <w:t xml:space="preserve">Ft iparűzési </w:t>
      </w:r>
      <w:r w:rsidR="00866749">
        <w:rPr>
          <w:rFonts w:ascii="Arial" w:hAnsi="Arial" w:cs="Arial"/>
        </w:rPr>
        <w:t xml:space="preserve">adó </w:t>
      </w:r>
      <w:r w:rsidR="005D2532">
        <w:rPr>
          <w:rFonts w:ascii="Arial" w:hAnsi="Arial" w:cs="Arial"/>
        </w:rPr>
        <w:t xml:space="preserve">és 6.334 millió Ft késedelmi pótlék </w:t>
      </w:r>
      <w:r w:rsidR="00F1750F">
        <w:rPr>
          <w:rFonts w:ascii="Arial" w:hAnsi="Arial" w:cs="Arial"/>
        </w:rPr>
        <w:t xml:space="preserve">egyszeri bevétel </w:t>
      </w:r>
      <w:r w:rsidR="00866749">
        <w:rPr>
          <w:rFonts w:ascii="Arial" w:hAnsi="Arial" w:cs="Arial"/>
        </w:rPr>
        <w:t>növelte meg.</w:t>
      </w:r>
    </w:p>
    <w:p w:rsidR="002B789F" w:rsidRDefault="002B789F" w:rsidP="007A7944">
      <w:pPr>
        <w:spacing w:after="120"/>
        <w:jc w:val="both"/>
        <w:rPr>
          <w:rFonts w:ascii="Arial" w:hAnsi="Arial" w:cs="Arial"/>
          <w:b/>
        </w:rPr>
      </w:pPr>
    </w:p>
    <w:p w:rsidR="00C90C8F" w:rsidRDefault="00C90C8F" w:rsidP="00C90C8F">
      <w:pPr>
        <w:pStyle w:val="Listaszerbekezds"/>
        <w:numPr>
          <w:ilvl w:val="0"/>
          <w:numId w:val="33"/>
        </w:numPr>
        <w:spacing w:after="120"/>
        <w:jc w:val="both"/>
        <w:rPr>
          <w:rFonts w:ascii="Arial" w:hAnsi="Arial" w:cs="Arial"/>
          <w:b/>
        </w:rPr>
      </w:pPr>
      <w:r w:rsidRPr="000308A1">
        <w:rPr>
          <w:rFonts w:ascii="Arial" w:hAnsi="Arial" w:cs="Arial"/>
          <w:b/>
        </w:rPr>
        <w:t>Adóigazgatási feladatok</w:t>
      </w:r>
    </w:p>
    <w:p w:rsidR="00C90C8F" w:rsidRPr="000308A1" w:rsidRDefault="00C90C8F" w:rsidP="00C90C8F">
      <w:pPr>
        <w:pStyle w:val="Listaszerbekezds"/>
        <w:spacing w:after="120"/>
        <w:ind w:left="360"/>
        <w:jc w:val="both"/>
        <w:rPr>
          <w:rFonts w:ascii="Arial" w:hAnsi="Arial" w:cs="Arial"/>
          <w:b/>
        </w:rPr>
      </w:pPr>
    </w:p>
    <w:p w:rsidR="00C90C8F" w:rsidRPr="004C125B" w:rsidRDefault="001C4CAE" w:rsidP="00C90C8F">
      <w:pPr>
        <w:autoSpaceDE w:val="0"/>
        <w:autoSpaceDN w:val="0"/>
        <w:adjustRightInd w:val="0"/>
        <w:jc w:val="both"/>
        <w:rPr>
          <w:rFonts w:ascii="Arial" w:hAnsi="Arial" w:cs="Arial"/>
        </w:rPr>
      </w:pPr>
      <w:r>
        <w:rPr>
          <w:rFonts w:ascii="Arial" w:hAnsi="Arial" w:cs="Arial"/>
        </w:rPr>
        <w:t xml:space="preserve">A települési önkormányzat </w:t>
      </w:r>
      <w:r w:rsidR="00C90C8F" w:rsidRPr="004C125B">
        <w:rPr>
          <w:rFonts w:ascii="Arial" w:hAnsi="Arial" w:cs="Arial"/>
        </w:rPr>
        <w:t xml:space="preserve">hatáskörébe tartozó adók és </w:t>
      </w:r>
      <w:r w:rsidR="004C125B">
        <w:rPr>
          <w:rFonts w:ascii="Arial" w:hAnsi="Arial" w:cs="Arial"/>
        </w:rPr>
        <w:t>a</w:t>
      </w:r>
      <w:r w:rsidR="00C90C8F" w:rsidRPr="004C125B">
        <w:rPr>
          <w:rFonts w:ascii="Arial" w:hAnsi="Arial" w:cs="Arial"/>
        </w:rPr>
        <w:t>dók módjára behajtandó köztartozások nyilvántartásá</w:t>
      </w:r>
      <w:r>
        <w:rPr>
          <w:rFonts w:ascii="Arial" w:hAnsi="Arial" w:cs="Arial"/>
        </w:rPr>
        <w:t>ról, kezeléséről és elszámolásáról szóló 13/1991. (V. 21.) PM rendelet az</w:t>
      </w:r>
      <w:r w:rsidR="00C90C8F" w:rsidRPr="004C125B">
        <w:rPr>
          <w:rFonts w:ascii="Arial" w:hAnsi="Arial" w:cs="Arial"/>
        </w:rPr>
        <w:t xml:space="preserve"> önkormányzati adóhatóság adatszolgáltatás feladatait szabályozza. Ez alapján az önkormányzati adóhatóság hatáskörébe tartozó helyi adókra, jövedéki adóra, az önkormányzati adóhatóságnál adóüggyel összefüggésben fizetendő közigazgatási hatósági eljárási illetékekre vonatkozó nyilvántartásait, kezelését és elszámolását, és az ezzel kapcsolatos adatszolgáltatást is ellátja. </w:t>
      </w:r>
    </w:p>
    <w:p w:rsidR="00C90C8F" w:rsidRPr="004C125B" w:rsidRDefault="00C90C8F" w:rsidP="00C90C8F">
      <w:pPr>
        <w:autoSpaceDE w:val="0"/>
        <w:autoSpaceDN w:val="0"/>
        <w:adjustRightInd w:val="0"/>
        <w:jc w:val="both"/>
        <w:rPr>
          <w:rFonts w:ascii="Arial" w:hAnsi="Arial" w:cs="Arial"/>
        </w:rPr>
      </w:pPr>
      <w:r w:rsidRPr="004C125B">
        <w:rPr>
          <w:rFonts w:ascii="Arial" w:hAnsi="Arial" w:cs="Arial"/>
        </w:rPr>
        <w:t xml:space="preserve">Fenti rendelet szabályainak megfelelően, adóigazgatásban negyedéves, féléves zárásokat kell teljesíteni és továbbítani a Magyar Államkincstár illetékes igazgatósága részére. Az adatszolgáltatás a következőkre terjed ki: </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az adófelfüggesztést igénybevevő adózókról (február 15.)</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az önkormányzati adóhatóság által kivetéssel megállapított adókról (április 1.)</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az idegenforgalmi adóról (március 1.)</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 xml:space="preserve">adatszolgáltatás az állandó jellegű helyi iparűzési adóról (július 31.) </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adóelőleg kiegészítés beérkezéséről (január 15.)</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az ideiglenes jellegű iparűzési adóról (január 31. és március 1.)</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 talajterhelési díjról (április 30.)</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adóhatósági zárási összesítők</w:t>
      </w:r>
      <w:r w:rsidR="009D3137">
        <w:rPr>
          <w:rFonts w:ascii="Arial" w:hAnsi="Arial" w:cs="Arial"/>
        </w:rPr>
        <w:t xml:space="preserve"> (június 30-i állapot július 31.</w:t>
      </w:r>
      <w:r w:rsidRPr="004C125B">
        <w:rPr>
          <w:rFonts w:ascii="Arial" w:hAnsi="Arial" w:cs="Arial"/>
        </w:rPr>
        <w:t>; december 31-i állapot február 1.)</w:t>
      </w:r>
    </w:p>
    <w:p w:rsidR="00C90C8F" w:rsidRDefault="00C90C8F" w:rsidP="00C90C8F">
      <w:pPr>
        <w:autoSpaceDE w:val="0"/>
        <w:autoSpaceDN w:val="0"/>
        <w:adjustRightInd w:val="0"/>
        <w:jc w:val="both"/>
        <w:rPr>
          <w:rFonts w:ascii="Arial" w:hAnsi="Arial" w:cs="Arial"/>
          <w:i/>
        </w:rPr>
      </w:pPr>
    </w:p>
    <w:p w:rsidR="00C90C8F" w:rsidRPr="004F7B96" w:rsidRDefault="00C90C8F" w:rsidP="00C90C8F">
      <w:pPr>
        <w:autoSpaceDE w:val="0"/>
        <w:autoSpaceDN w:val="0"/>
        <w:adjustRightInd w:val="0"/>
        <w:jc w:val="both"/>
        <w:rPr>
          <w:rFonts w:ascii="Arial" w:hAnsi="Arial" w:cs="Arial"/>
          <w:i/>
        </w:rPr>
      </w:pPr>
    </w:p>
    <w:p w:rsidR="00C90C8F" w:rsidRPr="000308A1" w:rsidRDefault="00C90C8F" w:rsidP="00C90C8F">
      <w:pPr>
        <w:spacing w:after="120"/>
        <w:jc w:val="both"/>
        <w:rPr>
          <w:rFonts w:ascii="Arial" w:hAnsi="Arial" w:cs="Arial"/>
          <w:i/>
        </w:rPr>
      </w:pPr>
    </w:p>
    <w:p w:rsidR="00CA3F69" w:rsidRDefault="00CA3F69" w:rsidP="00CA3F69">
      <w:pPr>
        <w:spacing w:before="240" w:after="240"/>
        <w:jc w:val="both"/>
        <w:rPr>
          <w:rFonts w:ascii="Arial" w:hAnsi="Arial" w:cs="Arial"/>
          <w:b/>
        </w:rPr>
      </w:pPr>
    </w:p>
    <w:p w:rsidR="00C90C8F" w:rsidRDefault="00C90C8F" w:rsidP="00C90C8F">
      <w:pPr>
        <w:numPr>
          <w:ilvl w:val="1"/>
          <w:numId w:val="33"/>
        </w:numPr>
        <w:spacing w:before="240" w:after="240"/>
        <w:jc w:val="both"/>
        <w:rPr>
          <w:rFonts w:ascii="Arial" w:hAnsi="Arial" w:cs="Arial"/>
          <w:b/>
        </w:rPr>
      </w:pPr>
      <w:r w:rsidRPr="00FB0978">
        <w:rPr>
          <w:rFonts w:ascii="Arial" w:hAnsi="Arial" w:cs="Arial"/>
          <w:b/>
        </w:rPr>
        <w:lastRenderedPageBreak/>
        <w:t>Építményadó</w:t>
      </w:r>
    </w:p>
    <w:p w:rsidR="00C90C8F" w:rsidRPr="004C125B" w:rsidRDefault="00C90C8F" w:rsidP="00C90C8F">
      <w:pPr>
        <w:spacing w:after="240"/>
        <w:jc w:val="both"/>
        <w:rPr>
          <w:rFonts w:ascii="Arial" w:hAnsi="Arial" w:cs="Arial"/>
        </w:rPr>
      </w:pPr>
      <w:r w:rsidRPr="004C125B">
        <w:rPr>
          <w:rFonts w:ascii="Arial" w:hAnsi="Arial" w:cs="Arial"/>
        </w:rPr>
        <w:t>Építményadó esetében az adó mértéke 2008. január 1. napjától 600,- Ft/m</w:t>
      </w:r>
      <w:r w:rsidRPr="004C125B">
        <w:rPr>
          <w:rFonts w:ascii="Arial" w:hAnsi="Arial" w:cs="Arial"/>
          <w:vertAlign w:val="superscript"/>
        </w:rPr>
        <w:t>2</w:t>
      </w:r>
      <w:r w:rsidRPr="004C125B">
        <w:rPr>
          <w:rFonts w:ascii="Arial" w:hAnsi="Arial" w:cs="Arial"/>
        </w:rPr>
        <w:t>, a törvény által megengedett maximum 2015. évben 1852,1 Ft/m</w:t>
      </w:r>
      <w:r w:rsidRPr="004C125B">
        <w:rPr>
          <w:rFonts w:ascii="Arial" w:hAnsi="Arial" w:cs="Arial"/>
          <w:vertAlign w:val="superscript"/>
        </w:rPr>
        <w:t>2</w:t>
      </w:r>
      <w:r w:rsidRPr="004C125B">
        <w:rPr>
          <w:rFonts w:ascii="Arial" w:hAnsi="Arial" w:cs="Arial"/>
        </w:rPr>
        <w:t xml:space="preserve">. </w:t>
      </w:r>
    </w:p>
    <w:p w:rsidR="00C90C8F" w:rsidRPr="004C125B" w:rsidRDefault="00C90C8F" w:rsidP="00C90C8F">
      <w:pPr>
        <w:spacing w:before="240" w:after="120"/>
        <w:jc w:val="both"/>
        <w:rPr>
          <w:rFonts w:ascii="Arial" w:hAnsi="Arial" w:cs="Arial"/>
        </w:rPr>
      </w:pPr>
      <w:r w:rsidRPr="004C125B">
        <w:rPr>
          <w:rFonts w:ascii="Arial" w:hAnsi="Arial" w:cs="Arial"/>
        </w:rPr>
        <w:t xml:space="preserve">Az adóbevallások alapján jelenleg adókötelezettség alá eső </w:t>
      </w:r>
      <w:r w:rsidR="00CA3F69">
        <w:rPr>
          <w:rFonts w:ascii="Arial" w:hAnsi="Arial" w:cs="Arial"/>
        </w:rPr>
        <w:t xml:space="preserve"> terület </w:t>
      </w:r>
      <w:r w:rsidRPr="004C125B">
        <w:rPr>
          <w:rFonts w:ascii="Arial" w:hAnsi="Arial" w:cs="Arial"/>
        </w:rPr>
        <w:t>542.679 m</w:t>
      </w:r>
      <w:r w:rsidRPr="004C125B">
        <w:rPr>
          <w:rFonts w:ascii="Arial" w:hAnsi="Arial" w:cs="Arial"/>
          <w:vertAlign w:val="superscript"/>
        </w:rPr>
        <w:t>2</w:t>
      </w:r>
      <w:r w:rsidR="00CA3F69">
        <w:rPr>
          <w:rFonts w:ascii="Arial" w:hAnsi="Arial" w:cs="Arial"/>
        </w:rPr>
        <w:t>.</w:t>
      </w:r>
    </w:p>
    <w:p w:rsidR="00C90C8F" w:rsidRPr="004C125B" w:rsidRDefault="00C90C8F" w:rsidP="00C90C8F">
      <w:pPr>
        <w:spacing w:after="120"/>
        <w:jc w:val="both"/>
        <w:rPr>
          <w:rFonts w:ascii="Arial" w:hAnsi="Arial" w:cs="Arial"/>
        </w:rPr>
      </w:pPr>
      <w:r w:rsidRPr="004C125B">
        <w:rPr>
          <w:rFonts w:ascii="Arial" w:hAnsi="Arial" w:cs="Arial"/>
        </w:rPr>
        <w:t>A hatályos 4/2010. (II.10.) önkormányzati rendelet</w:t>
      </w:r>
      <w:r w:rsidR="004C125B">
        <w:rPr>
          <w:rFonts w:ascii="Arial" w:hAnsi="Arial" w:cs="Arial"/>
        </w:rPr>
        <w:t xml:space="preserve"> – a továbbiakban: </w:t>
      </w:r>
      <w:proofErr w:type="spellStart"/>
      <w:r w:rsidR="004C125B">
        <w:rPr>
          <w:rFonts w:ascii="Arial" w:hAnsi="Arial" w:cs="Arial"/>
        </w:rPr>
        <w:t>Ör</w:t>
      </w:r>
      <w:proofErr w:type="spellEnd"/>
      <w:r w:rsidR="004C125B">
        <w:rPr>
          <w:rFonts w:ascii="Arial" w:hAnsi="Arial" w:cs="Arial"/>
        </w:rPr>
        <w:t>. -</w:t>
      </w:r>
      <w:r w:rsidRPr="004C125B">
        <w:rPr>
          <w:rFonts w:ascii="Arial" w:hAnsi="Arial" w:cs="Arial"/>
        </w:rPr>
        <w:t xml:space="preserve"> 5. § (1) bekezdése adókedvezményt biztosít a magánszemély tulajdonosoknak, (illetve a </w:t>
      </w:r>
      <w:proofErr w:type="spellStart"/>
      <w:r w:rsidRPr="004C125B">
        <w:rPr>
          <w:rFonts w:ascii="Arial" w:hAnsi="Arial" w:cs="Arial"/>
        </w:rPr>
        <w:t>Htv</w:t>
      </w:r>
      <w:proofErr w:type="spellEnd"/>
      <w:r w:rsidRPr="004C125B">
        <w:rPr>
          <w:rFonts w:ascii="Arial" w:hAnsi="Arial" w:cs="Arial"/>
        </w:rPr>
        <w:t>. szerint az ingatlanra bejegyzett vagyoni értékű jog jogosultjainak) – tulajdonuk arányában – a lakásul szolgáló ingatlanuk, és a lakáshoz tartozó rendeltetésszerűen használt gépjárműtároló után.</w:t>
      </w:r>
    </w:p>
    <w:p w:rsidR="00C90C8F" w:rsidRPr="004C125B" w:rsidRDefault="00C90C8F" w:rsidP="00C90C8F">
      <w:pPr>
        <w:spacing w:after="240"/>
        <w:jc w:val="both"/>
        <w:rPr>
          <w:rFonts w:ascii="Arial" w:hAnsi="Arial" w:cs="Arial"/>
        </w:rPr>
      </w:pPr>
      <w:r w:rsidRPr="004C125B">
        <w:rPr>
          <w:rFonts w:ascii="Arial" w:hAnsi="Arial" w:cs="Arial"/>
        </w:rPr>
        <w:t>Az ilyen jogcímen illetve a törvény által egyéb jogcímen igénybe vett kedvezmény összege 177.265 e Ft volt.</w:t>
      </w:r>
    </w:p>
    <w:p w:rsidR="00C90C8F" w:rsidRPr="004C125B" w:rsidRDefault="00C90C8F" w:rsidP="00C90C8F">
      <w:pPr>
        <w:spacing w:before="240" w:after="240"/>
        <w:jc w:val="both"/>
        <w:rPr>
          <w:rFonts w:ascii="Arial" w:hAnsi="Arial" w:cs="Arial"/>
        </w:rPr>
      </w:pPr>
      <w:r w:rsidRPr="004C125B">
        <w:rPr>
          <w:rFonts w:ascii="Arial" w:hAnsi="Arial" w:cs="Arial"/>
        </w:rPr>
        <w:t>Építményadó hatálya alá tartozó adózók száma 4.043 fő. Az adótárgyak száma 6.311 db.</w:t>
      </w:r>
    </w:p>
    <w:p w:rsidR="00C90C8F" w:rsidRPr="004C125B" w:rsidRDefault="00C90C8F" w:rsidP="00C90C8F">
      <w:pPr>
        <w:spacing w:before="240" w:after="240"/>
        <w:jc w:val="both"/>
        <w:rPr>
          <w:rFonts w:ascii="Arial" w:hAnsi="Arial" w:cs="Arial"/>
        </w:rPr>
      </w:pPr>
      <w:r w:rsidRPr="004C125B">
        <w:rPr>
          <w:rFonts w:ascii="Arial" w:hAnsi="Arial" w:cs="Arial"/>
        </w:rPr>
        <w:t>2015. évre az előirányzat 160 millió Ft, ebből ténylegesen kivetett adó 163,5 millió Ft. A befolyt közel 158,4 millió Ft a kivetett összeg 97 %-a, mely az előirányzat 99 %-a.</w:t>
      </w:r>
    </w:p>
    <w:tbl>
      <w:tblPr>
        <w:tblW w:w="7040" w:type="dxa"/>
        <w:jc w:val="center"/>
        <w:tblCellMar>
          <w:left w:w="70" w:type="dxa"/>
          <w:right w:w="70" w:type="dxa"/>
        </w:tblCellMar>
        <w:tblLook w:val="04A0" w:firstRow="1" w:lastRow="0" w:firstColumn="1" w:lastColumn="0" w:noHBand="0" w:noVBand="1"/>
      </w:tblPr>
      <w:tblGrid>
        <w:gridCol w:w="1720"/>
        <w:gridCol w:w="2000"/>
        <w:gridCol w:w="1960"/>
        <w:gridCol w:w="1360"/>
      </w:tblGrid>
      <w:tr w:rsidR="004C125B" w:rsidRPr="004C125B" w:rsidTr="00354A1C">
        <w:trPr>
          <w:trHeight w:val="600"/>
          <w:jc w:val="cent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C8F" w:rsidRPr="004C125B" w:rsidRDefault="00C90C8F" w:rsidP="00354A1C">
            <w:pPr>
              <w:spacing w:after="0" w:line="240" w:lineRule="auto"/>
              <w:jc w:val="center"/>
              <w:rPr>
                <w:rFonts w:ascii="Arial" w:eastAsia="Times New Roman" w:hAnsi="Arial" w:cs="Arial"/>
                <w:b/>
                <w:bCs/>
                <w:lang w:eastAsia="hu-HU"/>
              </w:rPr>
            </w:pPr>
            <w:r w:rsidRPr="004C125B">
              <w:rPr>
                <w:rFonts w:ascii="Arial" w:eastAsia="Times New Roman" w:hAnsi="Arial" w:cs="Arial"/>
                <w:b/>
                <w:bCs/>
                <w:lang w:eastAsia="hu-HU"/>
              </w:rPr>
              <w:t>dátum</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C90C8F" w:rsidRPr="004C125B" w:rsidRDefault="00C90C8F" w:rsidP="00354A1C">
            <w:pPr>
              <w:spacing w:after="0" w:line="240" w:lineRule="auto"/>
              <w:jc w:val="center"/>
              <w:rPr>
                <w:rFonts w:ascii="Arial" w:eastAsia="Times New Roman" w:hAnsi="Arial" w:cs="Arial"/>
                <w:b/>
                <w:bCs/>
                <w:lang w:eastAsia="hu-HU"/>
              </w:rPr>
            </w:pPr>
            <w:r w:rsidRPr="004C125B">
              <w:rPr>
                <w:rFonts w:ascii="Arial" w:eastAsia="Times New Roman" w:hAnsi="Arial" w:cs="Arial"/>
                <w:b/>
                <w:bCs/>
                <w:lang w:eastAsia="hu-HU"/>
              </w:rPr>
              <w:t>kivetett adó (Ft)</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C90C8F" w:rsidRPr="004C125B" w:rsidRDefault="00C90C8F" w:rsidP="00354A1C">
            <w:pPr>
              <w:spacing w:after="0" w:line="240" w:lineRule="auto"/>
              <w:jc w:val="center"/>
              <w:rPr>
                <w:rFonts w:ascii="Arial" w:eastAsia="Times New Roman" w:hAnsi="Arial" w:cs="Arial"/>
                <w:b/>
                <w:bCs/>
                <w:lang w:eastAsia="hu-HU"/>
              </w:rPr>
            </w:pPr>
            <w:r w:rsidRPr="004C125B">
              <w:rPr>
                <w:rFonts w:ascii="Arial" w:eastAsia="Times New Roman" w:hAnsi="Arial" w:cs="Arial"/>
                <w:b/>
                <w:bCs/>
                <w:lang w:eastAsia="hu-HU"/>
              </w:rPr>
              <w:t>befolyt adó (Ft)</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90C8F" w:rsidRPr="004C125B" w:rsidRDefault="00C90C8F" w:rsidP="00354A1C">
            <w:pPr>
              <w:spacing w:after="0" w:line="240" w:lineRule="auto"/>
              <w:jc w:val="center"/>
              <w:rPr>
                <w:rFonts w:ascii="Arial" w:eastAsia="Times New Roman" w:hAnsi="Arial" w:cs="Arial"/>
                <w:b/>
                <w:bCs/>
                <w:lang w:eastAsia="hu-HU"/>
              </w:rPr>
            </w:pPr>
            <w:r w:rsidRPr="004C125B">
              <w:rPr>
                <w:rFonts w:ascii="Arial" w:eastAsia="Times New Roman" w:hAnsi="Arial" w:cs="Arial"/>
                <w:b/>
                <w:bCs/>
                <w:lang w:eastAsia="hu-HU"/>
              </w:rPr>
              <w:t>%</w:t>
            </w:r>
          </w:p>
        </w:tc>
      </w:tr>
      <w:tr w:rsidR="004C125B" w:rsidRPr="004C125B" w:rsidTr="00354A1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center"/>
              <w:rPr>
                <w:rFonts w:ascii="Arial" w:eastAsia="Times New Roman" w:hAnsi="Arial" w:cs="Arial"/>
                <w:lang w:eastAsia="hu-HU"/>
              </w:rPr>
            </w:pPr>
            <w:r w:rsidRPr="004C125B">
              <w:rPr>
                <w:rFonts w:ascii="Arial" w:eastAsia="Times New Roman" w:hAnsi="Arial" w:cs="Arial"/>
                <w:lang w:eastAsia="hu-HU"/>
              </w:rPr>
              <w:t xml:space="preserve"> 2014.09.30</w:t>
            </w:r>
          </w:p>
        </w:tc>
        <w:tc>
          <w:tcPr>
            <w:tcW w:w="200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161 664 000</w:t>
            </w:r>
          </w:p>
        </w:tc>
        <w:tc>
          <w:tcPr>
            <w:tcW w:w="196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163 654 499</w:t>
            </w:r>
          </w:p>
        </w:tc>
        <w:tc>
          <w:tcPr>
            <w:tcW w:w="136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101,23%</w:t>
            </w:r>
          </w:p>
        </w:tc>
      </w:tr>
      <w:tr w:rsidR="004C125B" w:rsidRPr="004C125B" w:rsidTr="00354A1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center"/>
              <w:rPr>
                <w:rFonts w:ascii="Arial" w:eastAsia="Times New Roman" w:hAnsi="Arial" w:cs="Arial"/>
                <w:lang w:eastAsia="hu-HU"/>
              </w:rPr>
            </w:pPr>
            <w:r w:rsidRPr="004C125B">
              <w:rPr>
                <w:rFonts w:ascii="Arial" w:eastAsia="Times New Roman" w:hAnsi="Arial" w:cs="Arial"/>
                <w:lang w:eastAsia="hu-HU"/>
              </w:rPr>
              <w:t>2015.09.30</w:t>
            </w:r>
          </w:p>
        </w:tc>
        <w:tc>
          <w:tcPr>
            <w:tcW w:w="200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148 379 088</w:t>
            </w:r>
          </w:p>
        </w:tc>
        <w:tc>
          <w:tcPr>
            <w:tcW w:w="196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149 995 548</w:t>
            </w:r>
          </w:p>
        </w:tc>
        <w:tc>
          <w:tcPr>
            <w:tcW w:w="136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101,09%</w:t>
            </w:r>
          </w:p>
        </w:tc>
      </w:tr>
      <w:tr w:rsidR="004C125B" w:rsidRPr="004C125B" w:rsidTr="00354A1C">
        <w:trPr>
          <w:trHeight w:val="300"/>
          <w:jc w:val="center"/>
        </w:trPr>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center"/>
              <w:rPr>
                <w:rFonts w:ascii="Arial" w:eastAsia="Times New Roman" w:hAnsi="Arial" w:cs="Arial"/>
                <w:lang w:eastAsia="hu-HU"/>
              </w:rPr>
            </w:pPr>
            <w:r w:rsidRPr="004C125B">
              <w:rPr>
                <w:rFonts w:ascii="Arial" w:eastAsia="Times New Roman" w:hAnsi="Arial" w:cs="Arial"/>
                <w:lang w:eastAsia="hu-HU"/>
              </w:rPr>
              <w:t>2015.10.31</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148 379 088</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153 721 909</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103,60%</w:t>
            </w:r>
          </w:p>
        </w:tc>
      </w:tr>
      <w:tr w:rsidR="004C125B" w:rsidRPr="004C125B" w:rsidTr="00354A1C">
        <w:trPr>
          <w:trHeight w:val="300"/>
          <w:jc w:val="center"/>
        </w:trPr>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C8F" w:rsidRPr="004C125B" w:rsidRDefault="00C90C8F" w:rsidP="00354A1C">
            <w:pPr>
              <w:spacing w:after="0" w:line="240" w:lineRule="auto"/>
              <w:jc w:val="center"/>
              <w:rPr>
                <w:rFonts w:ascii="Arial" w:eastAsia="Times New Roman" w:hAnsi="Arial" w:cs="Arial"/>
                <w:lang w:eastAsia="hu-HU"/>
              </w:rPr>
            </w:pPr>
            <w:r w:rsidRPr="004C125B">
              <w:rPr>
                <w:rFonts w:ascii="Arial" w:eastAsia="Times New Roman" w:hAnsi="Arial" w:cs="Arial"/>
                <w:lang w:eastAsia="hu-HU"/>
              </w:rPr>
              <w:t>2015.12.31.</w:t>
            </w:r>
          </w:p>
        </w:tc>
        <w:tc>
          <w:tcPr>
            <w:tcW w:w="2000" w:type="dxa"/>
            <w:tcBorders>
              <w:top w:val="single" w:sz="4" w:space="0" w:color="auto"/>
              <w:left w:val="nil"/>
              <w:bottom w:val="single" w:sz="4" w:space="0" w:color="auto"/>
              <w:right w:val="single" w:sz="4" w:space="0" w:color="auto"/>
            </w:tcBorders>
            <w:shd w:val="clear" w:color="auto" w:fill="auto"/>
            <w:noWrap/>
            <w:vAlign w:val="center"/>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163 522 362</w:t>
            </w:r>
          </w:p>
        </w:tc>
        <w:tc>
          <w:tcPr>
            <w:tcW w:w="1960" w:type="dxa"/>
            <w:tcBorders>
              <w:top w:val="single" w:sz="4" w:space="0" w:color="auto"/>
              <w:left w:val="nil"/>
              <w:bottom w:val="single" w:sz="4" w:space="0" w:color="auto"/>
              <w:right w:val="single" w:sz="4" w:space="0" w:color="auto"/>
            </w:tcBorders>
            <w:shd w:val="clear" w:color="auto" w:fill="auto"/>
            <w:noWrap/>
            <w:vAlign w:val="center"/>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 xml:space="preserve">158 446 537 </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99 %</w:t>
            </w:r>
          </w:p>
        </w:tc>
      </w:tr>
    </w:tbl>
    <w:p w:rsidR="00C90C8F" w:rsidRPr="00D4302A" w:rsidRDefault="00C90C8F" w:rsidP="00C90C8F">
      <w:pPr>
        <w:spacing w:after="120"/>
        <w:jc w:val="both"/>
        <w:rPr>
          <w:rFonts w:ascii="Arial" w:hAnsi="Arial" w:cs="Arial"/>
          <w:i/>
          <w:color w:val="C00000"/>
        </w:rPr>
      </w:pPr>
    </w:p>
    <w:p w:rsidR="00C90C8F" w:rsidRPr="00D4302A" w:rsidRDefault="00C90C8F" w:rsidP="00C90C8F">
      <w:pPr>
        <w:spacing w:after="120"/>
        <w:jc w:val="both"/>
        <w:rPr>
          <w:rFonts w:ascii="Arial" w:hAnsi="Arial" w:cs="Arial"/>
          <w:i/>
          <w:strike/>
          <w:color w:val="C00000"/>
        </w:rPr>
      </w:pPr>
      <w:r>
        <w:rPr>
          <w:rFonts w:ascii="Arial" w:hAnsi="Arial" w:cs="Arial"/>
          <w:i/>
          <w:color w:val="C00000"/>
        </w:rPr>
        <w:t xml:space="preserve"> </w:t>
      </w:r>
    </w:p>
    <w:p w:rsidR="00C90C8F" w:rsidRPr="00A9448E" w:rsidRDefault="00C90C8F" w:rsidP="00C90C8F">
      <w:pPr>
        <w:pStyle w:val="Cmsor1"/>
        <w:jc w:val="both"/>
        <w:rPr>
          <w:rFonts w:ascii="Arial" w:hAnsi="Arial" w:cs="Arial"/>
          <w:sz w:val="22"/>
          <w:szCs w:val="22"/>
        </w:rPr>
      </w:pPr>
      <w:r w:rsidRPr="00A9448E">
        <w:rPr>
          <w:rFonts w:ascii="Arial" w:hAnsi="Arial" w:cs="Arial"/>
          <w:sz w:val="22"/>
          <w:szCs w:val="22"/>
        </w:rPr>
        <w:t>A</w:t>
      </w:r>
      <w:r w:rsidR="004C125B" w:rsidRPr="00A9448E">
        <w:rPr>
          <w:rFonts w:ascii="Arial" w:hAnsi="Arial" w:cs="Arial"/>
          <w:sz w:val="22"/>
          <w:szCs w:val="22"/>
        </w:rPr>
        <w:t xml:space="preserve">z </w:t>
      </w:r>
      <w:proofErr w:type="spellStart"/>
      <w:r w:rsidR="004C125B" w:rsidRPr="00A9448E">
        <w:rPr>
          <w:rFonts w:ascii="Arial" w:hAnsi="Arial" w:cs="Arial"/>
          <w:sz w:val="22"/>
          <w:szCs w:val="22"/>
        </w:rPr>
        <w:t>Ör</w:t>
      </w:r>
      <w:proofErr w:type="spellEnd"/>
      <w:r w:rsidR="004C125B" w:rsidRPr="00A9448E">
        <w:rPr>
          <w:rFonts w:ascii="Arial" w:hAnsi="Arial" w:cs="Arial"/>
          <w:sz w:val="22"/>
          <w:szCs w:val="22"/>
        </w:rPr>
        <w:t>.</w:t>
      </w:r>
      <w:r w:rsidRPr="00A9448E">
        <w:rPr>
          <w:rFonts w:ascii="Arial" w:hAnsi="Arial" w:cs="Arial"/>
          <w:sz w:val="22"/>
          <w:szCs w:val="22"/>
        </w:rPr>
        <w:t xml:space="preserve"> </w:t>
      </w:r>
      <w:r w:rsidR="004C125B" w:rsidRPr="00A9448E">
        <w:rPr>
          <w:rFonts w:ascii="Arial" w:hAnsi="Arial" w:cs="Arial"/>
          <w:sz w:val="22"/>
          <w:szCs w:val="22"/>
        </w:rPr>
        <w:t xml:space="preserve">az </w:t>
      </w:r>
      <w:r w:rsidRPr="00A9448E">
        <w:rPr>
          <w:rFonts w:ascii="Arial" w:hAnsi="Arial" w:cs="Arial"/>
          <w:sz w:val="22"/>
          <w:szCs w:val="22"/>
        </w:rPr>
        <w:t>építményadó mértékének vonatkozásában 2016. január 1. napi hatállyal módosításra került.</w:t>
      </w:r>
    </w:p>
    <w:p w:rsidR="00C90C8F" w:rsidRDefault="00C90C8F" w:rsidP="00C90C8F">
      <w:pPr>
        <w:spacing w:after="120"/>
        <w:rPr>
          <w:rFonts w:ascii="Arial" w:hAnsi="Arial" w:cs="Arial"/>
          <w:b/>
        </w:rPr>
      </w:pPr>
    </w:p>
    <w:p w:rsidR="00C90C8F" w:rsidRDefault="00C90C8F" w:rsidP="00C90C8F">
      <w:pPr>
        <w:spacing w:after="120"/>
        <w:rPr>
          <w:rFonts w:ascii="Arial" w:hAnsi="Arial" w:cs="Arial"/>
          <w:b/>
        </w:rPr>
      </w:pPr>
      <w:r>
        <w:rPr>
          <w:rFonts w:ascii="Arial" w:hAnsi="Arial" w:cs="Arial"/>
          <w:b/>
        </w:rPr>
        <w:t>2</w:t>
      </w:r>
      <w:r w:rsidRPr="00861CAB">
        <w:rPr>
          <w:rFonts w:ascii="Arial" w:hAnsi="Arial" w:cs="Arial"/>
          <w:b/>
        </w:rPr>
        <w:t xml:space="preserve">.2 Helyi iparűzési adó </w:t>
      </w:r>
    </w:p>
    <w:p w:rsidR="00C90C8F" w:rsidRPr="004C125B" w:rsidRDefault="00C90C8F" w:rsidP="00C90C8F">
      <w:pPr>
        <w:spacing w:after="120"/>
        <w:jc w:val="both"/>
        <w:rPr>
          <w:rFonts w:ascii="Arial" w:hAnsi="Arial" w:cs="Arial"/>
        </w:rPr>
      </w:pPr>
      <w:r w:rsidRPr="004C125B">
        <w:rPr>
          <w:rFonts w:ascii="Arial" w:hAnsi="Arial" w:cs="Arial"/>
        </w:rPr>
        <w:t xml:space="preserve">Adóköteles az önkormányzat illetékességi területén állandó vagy ideiglenes jelleggel végzett vállalkozási tevékenység. Az adó alanya a vállalkozó. Az adókötelezettség a tevékenység megkezdésének napjával keletkezik és a tevékenység megszűntetésének napjával szűnik meg. Adóköteles iparűzési tevékenység alatt a vállalkozó e minőségében végzett nyereség-, illetőleg jövedelemszerzésre irányuló tevékenysége értendő. Ha a vállalkozó több önkormányzat illetékességi területén vagy külföldön végez állandó jellegű iparűzési tevékenységet, akkor az adó alapján – a tevékenység sajátosságaira leginkább jellemzően – a vállalkozónak kell az előírásoknak megfelelően megosztania. </w:t>
      </w: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t xml:space="preserve">Hévíz város területén önkormányzati rendelet alapján az iparűzési adó mértéke az állandó jelleggel végzett iparűzési tevékenység esetén az adóalap 2%-a, amely megfelel a törvényben előírt maximumnak. </w:t>
      </w: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t xml:space="preserve">Az adó ideiglenes jelleggel végzett iparűzési tevékenység esetében naptári naponként 3000,- forint. Ideiglenes tevékenység esetében a törvény szerinti maximum érték naptári naponként 5000,- forint. A törvényi maximum kihasználtsága 60 %. </w:t>
      </w:r>
    </w:p>
    <w:p w:rsidR="00C90C8F" w:rsidRPr="004C125B" w:rsidRDefault="00C90C8F" w:rsidP="00C90C8F">
      <w:pPr>
        <w:spacing w:after="0"/>
        <w:jc w:val="both"/>
        <w:rPr>
          <w:rFonts w:ascii="Arial" w:eastAsia="Times New Roman" w:hAnsi="Arial" w:cs="Arial"/>
          <w:lang w:eastAsia="hu-HU"/>
        </w:rPr>
      </w:pP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t xml:space="preserve">Az iparűzési adó megfizetés sajátossága, hogy az éves bevallás során számolnak el az adózók az előző évben befizetett előleggel (március 15; szeptember 15; valamint december 20. és végül május 31.) szemben. </w:t>
      </w:r>
    </w:p>
    <w:p w:rsidR="00A9448E" w:rsidRDefault="00A9448E" w:rsidP="00C90C8F">
      <w:pPr>
        <w:spacing w:after="0"/>
        <w:jc w:val="both"/>
        <w:rPr>
          <w:rFonts w:ascii="Arial" w:eastAsia="Times New Roman" w:hAnsi="Arial" w:cs="Arial"/>
          <w:lang w:eastAsia="hu-HU"/>
        </w:rPr>
      </w:pP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lastRenderedPageBreak/>
        <w:t xml:space="preserve">A 2015. év bevallási adatai: </w:t>
      </w: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t xml:space="preserve">1301 db bevallás került benyújtásra, melyek feldolgozása és ellenőrzése megtörtént. </w:t>
      </w:r>
    </w:p>
    <w:p w:rsidR="00F409E3" w:rsidRPr="004C125B" w:rsidRDefault="00C90C8F" w:rsidP="00F409E3">
      <w:pPr>
        <w:spacing w:after="120"/>
        <w:jc w:val="both"/>
        <w:rPr>
          <w:rFonts w:ascii="Arial" w:hAnsi="Arial" w:cs="Arial"/>
        </w:rPr>
      </w:pPr>
      <w:r w:rsidRPr="004C125B">
        <w:rPr>
          <w:rFonts w:ascii="Arial" w:hAnsi="Arial" w:cs="Arial"/>
        </w:rPr>
        <w:t>A bevallást elmulasztók részére 2015. szeptember 15-én 259</w:t>
      </w:r>
      <w:r w:rsidRPr="004C125B">
        <w:rPr>
          <w:rFonts w:ascii="Arial" w:hAnsi="Arial" w:cs="Arial"/>
          <w:b/>
        </w:rPr>
        <w:t xml:space="preserve"> </w:t>
      </w:r>
      <w:r w:rsidRPr="004C125B">
        <w:rPr>
          <w:rFonts w:ascii="Arial" w:hAnsi="Arial" w:cs="Arial"/>
        </w:rPr>
        <w:t xml:space="preserve">db kötelezettségük teljesítésére felszólító értesítés került kiküldésre - 2010. adóévig </w:t>
      </w:r>
      <w:r w:rsidR="00F409E3" w:rsidRPr="004C125B">
        <w:rPr>
          <w:rFonts w:ascii="Arial" w:hAnsi="Arial" w:cs="Arial"/>
        </w:rPr>
        <w:t>visszamenőlegesen - amelynek nagy számban eleget tettek az adózók. E felszólítások eredmén</w:t>
      </w:r>
      <w:r w:rsidR="00CA3F69">
        <w:rPr>
          <w:rFonts w:ascii="Arial" w:hAnsi="Arial" w:cs="Arial"/>
        </w:rPr>
        <w:t>yeképpen a bevallások benyújtását</w:t>
      </w:r>
      <w:r w:rsidR="00F409E3" w:rsidRPr="004C125B">
        <w:rPr>
          <w:rFonts w:ascii="Arial" w:hAnsi="Arial" w:cs="Arial"/>
        </w:rPr>
        <w:t xml:space="preserve"> és feldolgozását követően 8.835.000,- Ft iparűzési adó került megállapításra. </w:t>
      </w:r>
    </w:p>
    <w:p w:rsidR="00F409E3" w:rsidRPr="004C125B" w:rsidRDefault="00F409E3" w:rsidP="00F409E3">
      <w:pPr>
        <w:spacing w:after="120"/>
        <w:jc w:val="both"/>
        <w:rPr>
          <w:rFonts w:ascii="Arial" w:hAnsi="Arial" w:cs="Arial"/>
        </w:rPr>
      </w:pPr>
      <w:r w:rsidRPr="004C125B">
        <w:rPr>
          <w:rFonts w:ascii="Arial" w:hAnsi="Arial" w:cs="Arial"/>
        </w:rPr>
        <w:t xml:space="preserve">Volt olyan adózó, akinek több éves bevallási elmaradása most került feldolgozásra. </w:t>
      </w:r>
    </w:p>
    <w:p w:rsidR="00F409E3" w:rsidRPr="004C125B" w:rsidRDefault="00F409E3" w:rsidP="00F409E3">
      <w:pPr>
        <w:spacing w:after="120"/>
        <w:jc w:val="both"/>
        <w:rPr>
          <w:rFonts w:ascii="Arial" w:hAnsi="Arial" w:cs="Arial"/>
        </w:rPr>
      </w:pPr>
      <w:r w:rsidRPr="004C125B">
        <w:rPr>
          <w:rFonts w:ascii="Arial" w:hAnsi="Arial" w:cs="Arial"/>
        </w:rPr>
        <w:t>Azoknak a vállalkozások</w:t>
      </w:r>
      <w:r w:rsidR="009D3137">
        <w:rPr>
          <w:rFonts w:ascii="Arial" w:hAnsi="Arial" w:cs="Arial"/>
        </w:rPr>
        <w:t>,</w:t>
      </w:r>
      <w:r w:rsidRPr="004C125B">
        <w:rPr>
          <w:rFonts w:ascii="Arial" w:hAnsi="Arial" w:cs="Arial"/>
        </w:rPr>
        <w:t xml:space="preserve"> (29 db) </w:t>
      </w:r>
      <w:r w:rsidR="009D3137">
        <w:rPr>
          <w:rFonts w:ascii="Arial" w:hAnsi="Arial" w:cs="Arial"/>
        </w:rPr>
        <w:t>a</w:t>
      </w:r>
      <w:r w:rsidRPr="004C125B">
        <w:rPr>
          <w:rFonts w:ascii="Arial" w:hAnsi="Arial" w:cs="Arial"/>
        </w:rPr>
        <w:t>kik az ismételt felszólítás ellenére sem pótolták hiányzó bevallásaikat mulasztási bírságot szabtunk ki, mely</w:t>
      </w:r>
      <w:r w:rsidR="009D3137">
        <w:rPr>
          <w:rFonts w:ascii="Arial" w:hAnsi="Arial" w:cs="Arial"/>
        </w:rPr>
        <w:t xml:space="preserve">nek együttes összege 1.060.000 </w:t>
      </w:r>
      <w:r w:rsidRPr="004C125B">
        <w:rPr>
          <w:rFonts w:ascii="Arial" w:hAnsi="Arial" w:cs="Arial"/>
        </w:rPr>
        <w:t>Ft.</w:t>
      </w:r>
    </w:p>
    <w:p w:rsidR="00F409E3" w:rsidRPr="004C125B" w:rsidRDefault="00F409E3" w:rsidP="00F409E3">
      <w:pPr>
        <w:spacing w:after="120"/>
        <w:jc w:val="both"/>
        <w:rPr>
          <w:rFonts w:ascii="Arial" w:hAnsi="Arial" w:cs="Arial"/>
        </w:rPr>
      </w:pPr>
      <w:r w:rsidRPr="004C125B">
        <w:rPr>
          <w:rFonts w:ascii="Arial" w:hAnsi="Arial" w:cs="Arial"/>
        </w:rPr>
        <w:t>Előlegcsökkentési kérelemmel – 2015. évben – 128 vállalkozás élt. Erre az adóeljárásról szóló törvény rendelkezése ad felhatalmazást</w:t>
      </w:r>
      <w:r w:rsidR="00CA3F69">
        <w:rPr>
          <w:rFonts w:ascii="Arial" w:hAnsi="Arial" w:cs="Arial"/>
        </w:rPr>
        <w:t xml:space="preserve"> a</w:t>
      </w:r>
      <w:r w:rsidRPr="004C125B">
        <w:rPr>
          <w:rFonts w:ascii="Arial" w:hAnsi="Arial" w:cs="Arial"/>
        </w:rPr>
        <w:t xml:space="preserve"> vállalkozásoknak, így az adózó akkor kérheti az adóelőleg módosítását, ha előlegét az előző időszak (év, negyedév, félév) adatai alapján fizeti és számításai szerint adója nem éri el az előző időszak adatai alapján fizetendő adóelőleg összegét, azaz ha adóalapja csökkenést mutat. </w:t>
      </w:r>
    </w:p>
    <w:p w:rsidR="00F409E3" w:rsidRPr="004C125B" w:rsidRDefault="00F409E3" w:rsidP="00F409E3">
      <w:pPr>
        <w:spacing w:after="120"/>
        <w:jc w:val="both"/>
        <w:rPr>
          <w:rFonts w:ascii="Arial" w:hAnsi="Arial" w:cs="Arial"/>
        </w:rPr>
      </w:pPr>
      <w:r w:rsidRPr="004C125B">
        <w:rPr>
          <w:rFonts w:ascii="Arial" w:hAnsi="Arial" w:cs="Arial"/>
        </w:rPr>
        <w:t xml:space="preserve">A társasági adóelőlegnek az adóévi várható fizetendő adó összegére történő kiegészítésére kötelezett vállalkozónak az iparűzési adóelőleget a várható éves fizetendő adó összegére az adóév december 20. napjáig kell kiegészítenie. </w:t>
      </w:r>
    </w:p>
    <w:p w:rsidR="00F409E3" w:rsidRDefault="00F409E3" w:rsidP="00F409E3">
      <w:pPr>
        <w:spacing w:after="120"/>
        <w:jc w:val="both"/>
        <w:rPr>
          <w:rFonts w:ascii="Arial" w:hAnsi="Arial" w:cs="Arial"/>
        </w:rPr>
      </w:pPr>
      <w:r w:rsidRPr="004C125B">
        <w:rPr>
          <w:rFonts w:ascii="Arial" w:hAnsi="Arial" w:cs="Arial"/>
        </w:rPr>
        <w:t>A feltöltési kötelezettség teljesítésre 2015. december elején 57 db felhívást bocsájtottunk ki azon vállalkozások részére, akik előző évben csak részben vagy egyáltalán nem tettek eleget feltöltési kötelezettségüknek, a</w:t>
      </w:r>
      <w:r w:rsidR="009D3137">
        <w:rPr>
          <w:rFonts w:ascii="Arial" w:hAnsi="Arial" w:cs="Arial"/>
        </w:rPr>
        <w:t xml:space="preserve">z így befolyt összeg 7.818.500 </w:t>
      </w:r>
      <w:r w:rsidRPr="004C125B">
        <w:rPr>
          <w:rFonts w:ascii="Arial" w:hAnsi="Arial" w:cs="Arial"/>
        </w:rPr>
        <w:t xml:space="preserve">Ft. </w:t>
      </w:r>
    </w:p>
    <w:p w:rsidR="00A9448E" w:rsidRPr="004C125B" w:rsidRDefault="00A9448E" w:rsidP="00F409E3">
      <w:pPr>
        <w:spacing w:after="120"/>
        <w:jc w:val="both"/>
        <w:rPr>
          <w:rFonts w:ascii="Arial" w:hAnsi="Arial" w:cs="Arial"/>
        </w:rPr>
      </w:pPr>
    </w:p>
    <w:p w:rsidR="0039063E" w:rsidRDefault="000660BC" w:rsidP="004C125B">
      <w:pPr>
        <w:pStyle w:val="Listaszerbekezds"/>
        <w:numPr>
          <w:ilvl w:val="1"/>
          <w:numId w:val="38"/>
        </w:numPr>
        <w:spacing w:after="120"/>
        <w:jc w:val="both"/>
        <w:rPr>
          <w:rFonts w:ascii="Arial" w:hAnsi="Arial" w:cs="Arial"/>
          <w:b/>
        </w:rPr>
      </w:pPr>
      <w:r w:rsidRPr="004C125B">
        <w:rPr>
          <w:rFonts w:ascii="Arial" w:hAnsi="Arial" w:cs="Arial"/>
          <w:b/>
        </w:rPr>
        <w:t>I</w:t>
      </w:r>
      <w:r w:rsidR="0039063E" w:rsidRPr="004C125B">
        <w:rPr>
          <w:rFonts w:ascii="Arial" w:hAnsi="Arial" w:cs="Arial"/>
          <w:b/>
        </w:rPr>
        <w:t>degenforgalmi adó</w:t>
      </w:r>
    </w:p>
    <w:p w:rsidR="00A9448E" w:rsidRPr="004C125B" w:rsidRDefault="00A9448E" w:rsidP="00A9448E">
      <w:pPr>
        <w:pStyle w:val="Listaszerbekezds"/>
        <w:spacing w:after="120"/>
        <w:jc w:val="both"/>
        <w:rPr>
          <w:rFonts w:ascii="Arial" w:hAnsi="Arial" w:cs="Arial"/>
          <w:b/>
        </w:rPr>
      </w:pPr>
    </w:p>
    <w:p w:rsidR="001234F3" w:rsidRPr="00EF47ED" w:rsidRDefault="001234F3" w:rsidP="001234F3">
      <w:pPr>
        <w:spacing w:before="120" w:after="120"/>
        <w:jc w:val="both"/>
        <w:rPr>
          <w:rFonts w:ascii="Arial" w:hAnsi="Arial" w:cs="Arial"/>
        </w:rPr>
      </w:pPr>
      <w:r w:rsidRPr="00EF47ED">
        <w:rPr>
          <w:rFonts w:ascii="Arial" w:hAnsi="Arial" w:cs="Arial"/>
        </w:rPr>
        <w:t>Az idegenforgalmi adó kötelezettség az önkormányzat illetékességi területén legalább egy vendégéjszakát eltöltő magánszemélyt</w:t>
      </w:r>
      <w:r w:rsidR="001C4CAE">
        <w:rPr>
          <w:rFonts w:ascii="Arial" w:hAnsi="Arial" w:cs="Arial"/>
        </w:rPr>
        <w:t xml:space="preserve"> terheli. Az adó mértéke 2015-be</w:t>
      </w:r>
      <w:r w:rsidRPr="00EF47ED">
        <w:rPr>
          <w:rFonts w:ascii="Arial" w:hAnsi="Arial" w:cs="Arial"/>
        </w:rPr>
        <w:t>n az előző évihez képest nem változott, 450 Ft/vendégéjszaka, a lehetséges maximális mérték 505.1 Ft.</w:t>
      </w:r>
    </w:p>
    <w:p w:rsidR="001234F3" w:rsidRDefault="001234F3" w:rsidP="001234F3">
      <w:pPr>
        <w:spacing w:before="120" w:after="120"/>
        <w:jc w:val="both"/>
        <w:rPr>
          <w:rFonts w:ascii="Arial" w:hAnsi="Arial" w:cs="Arial"/>
        </w:rPr>
      </w:pPr>
      <w:r w:rsidRPr="00EF47ED">
        <w:rPr>
          <w:rFonts w:ascii="Arial" w:hAnsi="Arial" w:cs="Arial"/>
        </w:rPr>
        <w:t xml:space="preserve">2015. </w:t>
      </w:r>
      <w:r>
        <w:rPr>
          <w:rFonts w:ascii="Arial" w:hAnsi="Arial" w:cs="Arial"/>
        </w:rPr>
        <w:t xml:space="preserve">december </w:t>
      </w:r>
      <w:r w:rsidRPr="00EF47ED">
        <w:rPr>
          <w:rFonts w:ascii="Arial" w:hAnsi="Arial" w:cs="Arial"/>
        </w:rPr>
        <w:t xml:space="preserve">31-ig </w:t>
      </w:r>
      <w:r w:rsidRPr="001234F3">
        <w:rPr>
          <w:rFonts w:ascii="Arial" w:hAnsi="Arial" w:cs="Arial"/>
        </w:rPr>
        <w:t>464 264</w:t>
      </w:r>
      <w:r w:rsidRPr="00EF47ED">
        <w:rPr>
          <w:rFonts w:ascii="Arial" w:hAnsi="Arial" w:cs="Arial"/>
        </w:rPr>
        <w:t xml:space="preserve"> e Ft adóbevétel folyt be, az előző év azonos időszakában </w:t>
      </w:r>
      <w:r w:rsidRPr="001234F3">
        <w:rPr>
          <w:rFonts w:ascii="Arial" w:hAnsi="Arial" w:cs="Arial"/>
        </w:rPr>
        <w:t>482 296</w:t>
      </w:r>
      <w:r w:rsidRPr="00EF47ED">
        <w:rPr>
          <w:rFonts w:ascii="Arial" w:hAnsi="Arial" w:cs="Arial"/>
        </w:rPr>
        <w:t xml:space="preserve"> e Ft volt a bevétel. Az éves előirányzat 480 000 ezer Ft, melynek </w:t>
      </w:r>
      <w:r w:rsidRPr="001234F3">
        <w:rPr>
          <w:rFonts w:ascii="Arial" w:hAnsi="Arial" w:cs="Arial"/>
        </w:rPr>
        <w:t>97 %</w:t>
      </w:r>
      <w:r w:rsidRPr="00EF47ED">
        <w:rPr>
          <w:rFonts w:ascii="Arial" w:hAnsi="Arial" w:cs="Arial"/>
        </w:rPr>
        <w:t>-a teljesült</w:t>
      </w:r>
      <w:r>
        <w:rPr>
          <w:rFonts w:ascii="Arial" w:hAnsi="Arial" w:cs="Arial"/>
        </w:rPr>
        <w:t>.</w:t>
      </w:r>
    </w:p>
    <w:p w:rsidR="00A9448E" w:rsidRDefault="00A9448E" w:rsidP="001234F3">
      <w:pPr>
        <w:spacing w:before="120" w:after="120"/>
        <w:jc w:val="both"/>
        <w:rPr>
          <w:rFonts w:ascii="Arial" w:hAnsi="Arial" w:cs="Arial"/>
        </w:rPr>
      </w:pPr>
    </w:p>
    <w:p w:rsidR="001234F3" w:rsidRDefault="001234F3" w:rsidP="001234F3">
      <w:pPr>
        <w:spacing w:before="120" w:after="120"/>
        <w:ind w:left="360"/>
        <w:jc w:val="center"/>
      </w:pPr>
      <w:r>
        <w:t>Befizetett idegenforgalmi adó havi megoszlása</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5"/>
        <w:gridCol w:w="791"/>
        <w:gridCol w:w="714"/>
        <w:gridCol w:w="709"/>
        <w:gridCol w:w="709"/>
        <w:gridCol w:w="709"/>
        <w:gridCol w:w="708"/>
        <w:gridCol w:w="709"/>
        <w:gridCol w:w="709"/>
        <w:gridCol w:w="709"/>
        <w:gridCol w:w="708"/>
        <w:gridCol w:w="709"/>
        <w:gridCol w:w="709"/>
        <w:gridCol w:w="850"/>
      </w:tblGrid>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Times New Roman" w:eastAsia="Times New Roman" w:hAnsi="Times New Roman"/>
                <w:sz w:val="18"/>
                <w:szCs w:val="18"/>
                <w:lang w:eastAsia="hu-HU"/>
              </w:rPr>
            </w:pPr>
          </w:p>
        </w:tc>
        <w:tc>
          <w:tcPr>
            <w:tcW w:w="791"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jan.</w:t>
            </w:r>
          </w:p>
        </w:tc>
        <w:tc>
          <w:tcPr>
            <w:tcW w:w="714"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febr.</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márc.</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ápr.</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máj.</w:t>
            </w:r>
          </w:p>
        </w:tc>
        <w:tc>
          <w:tcPr>
            <w:tcW w:w="708"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jún.</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júl.</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aug.</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szept.</w:t>
            </w:r>
          </w:p>
        </w:tc>
        <w:tc>
          <w:tcPr>
            <w:tcW w:w="708"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okt.</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nov.</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dec.</w:t>
            </w:r>
          </w:p>
        </w:tc>
        <w:tc>
          <w:tcPr>
            <w:tcW w:w="850"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b/>
                <w:bCs/>
                <w:sz w:val="18"/>
                <w:szCs w:val="18"/>
                <w:lang w:eastAsia="hu-HU"/>
              </w:rPr>
            </w:pPr>
            <w:proofErr w:type="spellStart"/>
            <w:r w:rsidRPr="001E6D84">
              <w:rPr>
                <w:rFonts w:ascii="Arial" w:eastAsia="Times New Roman" w:hAnsi="Arial" w:cs="Arial"/>
                <w:b/>
                <w:bCs/>
                <w:sz w:val="18"/>
                <w:szCs w:val="18"/>
                <w:lang w:eastAsia="hu-HU"/>
              </w:rPr>
              <w:t>össz</w:t>
            </w:r>
            <w:proofErr w:type="spellEnd"/>
            <w:r w:rsidRPr="00B03B76">
              <w:rPr>
                <w:rFonts w:ascii="Arial" w:eastAsia="Times New Roman" w:hAnsi="Arial" w:cs="Arial"/>
                <w:b/>
                <w:bCs/>
                <w:sz w:val="18"/>
                <w:szCs w:val="18"/>
                <w:lang w:eastAsia="hu-HU"/>
              </w:rPr>
              <w:t>.</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2010</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18 862</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25 006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27 876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33 156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27 884</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33 767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33 015</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43 533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47 094</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45 827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38 666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33 306</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407 992</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2011</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17 005</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24 400</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26 599</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29 266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31 688</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39 607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37 443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50 573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60 846</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46 412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41 815</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35 267</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440 921</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2012</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22 174</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27 463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25 396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32 631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32 940</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40 371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41 958</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45 766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53 588</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50 700</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44 622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35 252</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452 861</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2013</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23 573</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27 581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27 205</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36 481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32 883</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47 163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45 777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48 604</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56 230</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52 220</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53 150</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36 654</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487 521</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2014</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25 085</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31 056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26 602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30 147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40 694</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44 214</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43 841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51 712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59 748</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48 493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42 443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38 251</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482 286</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2015</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23 226</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24 996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24 358</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31 098</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33 605</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44 395</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45 689</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52 203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60 456</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47 592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43 181</w:t>
            </w:r>
          </w:p>
        </w:tc>
        <w:tc>
          <w:tcPr>
            <w:tcW w:w="709" w:type="dxa"/>
            <w:shd w:val="clear" w:color="auto" w:fill="auto"/>
            <w:noWrap/>
            <w:vAlign w:val="bottom"/>
            <w:hideMark/>
          </w:tcPr>
          <w:p w:rsidR="001234F3" w:rsidRPr="0080553A" w:rsidRDefault="001234F3" w:rsidP="00354A1C">
            <w:pPr>
              <w:spacing w:after="0" w:line="240" w:lineRule="auto"/>
              <w:rPr>
                <w:rFonts w:ascii="Arial" w:eastAsia="Times New Roman" w:hAnsi="Arial" w:cs="Arial"/>
                <w:sz w:val="18"/>
                <w:szCs w:val="18"/>
                <w:lang w:eastAsia="hu-HU"/>
              </w:rPr>
            </w:pPr>
            <w:r w:rsidRPr="0080553A">
              <w:rPr>
                <w:rFonts w:ascii="Arial" w:eastAsia="Times New Roman" w:hAnsi="Arial" w:cs="Arial"/>
                <w:sz w:val="18"/>
                <w:szCs w:val="18"/>
                <w:lang w:eastAsia="hu-HU"/>
              </w:rPr>
              <w:t>33</w:t>
            </w:r>
            <w:r>
              <w:rPr>
                <w:rFonts w:ascii="Arial" w:eastAsia="Times New Roman" w:hAnsi="Arial" w:cs="Arial"/>
                <w:sz w:val="18"/>
                <w:szCs w:val="18"/>
                <w:lang w:eastAsia="hu-HU"/>
              </w:rPr>
              <w:t xml:space="preserve"> 4</w:t>
            </w:r>
            <w:r w:rsidRPr="0080553A">
              <w:rPr>
                <w:rFonts w:ascii="Arial" w:eastAsia="Times New Roman" w:hAnsi="Arial" w:cs="Arial"/>
                <w:sz w:val="18"/>
                <w:szCs w:val="18"/>
                <w:lang w:eastAsia="hu-HU"/>
              </w:rPr>
              <w:t>65</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Pr>
                <w:rFonts w:ascii="Arial" w:eastAsia="Times New Roman" w:hAnsi="Arial" w:cs="Arial"/>
                <w:b/>
                <w:bCs/>
                <w:sz w:val="18"/>
                <w:szCs w:val="18"/>
                <w:lang w:eastAsia="hu-HU"/>
              </w:rPr>
              <w:t>464</w:t>
            </w:r>
            <w:r w:rsidRPr="001E6D84">
              <w:rPr>
                <w:rFonts w:ascii="Arial" w:eastAsia="Times New Roman" w:hAnsi="Arial" w:cs="Arial"/>
                <w:b/>
                <w:bCs/>
                <w:sz w:val="18"/>
                <w:szCs w:val="18"/>
                <w:lang w:eastAsia="hu-HU"/>
              </w:rPr>
              <w:t xml:space="preserve"> </w:t>
            </w:r>
            <w:r>
              <w:rPr>
                <w:rFonts w:ascii="Arial" w:eastAsia="Times New Roman" w:hAnsi="Arial" w:cs="Arial"/>
                <w:b/>
                <w:bCs/>
                <w:sz w:val="18"/>
                <w:szCs w:val="18"/>
                <w:lang w:eastAsia="hu-HU"/>
              </w:rPr>
              <w:t>264</w:t>
            </w:r>
          </w:p>
        </w:tc>
      </w:tr>
    </w:tbl>
    <w:p w:rsidR="001234F3" w:rsidRDefault="001234F3" w:rsidP="001234F3">
      <w:pPr>
        <w:spacing w:before="120" w:after="120"/>
        <w:ind w:left="360"/>
      </w:pPr>
    </w:p>
    <w:p w:rsidR="001234F3" w:rsidRDefault="001234F3" w:rsidP="001234F3">
      <w:pPr>
        <w:spacing w:after="120"/>
        <w:jc w:val="center"/>
        <w:rPr>
          <w:rFonts w:ascii="Arial" w:hAnsi="Arial" w:cs="Arial"/>
        </w:rPr>
      </w:pPr>
      <w:r>
        <w:rPr>
          <w:noProof/>
          <w:lang w:eastAsia="hu-HU"/>
        </w:rPr>
        <w:lastRenderedPageBreak/>
        <w:drawing>
          <wp:inline distT="0" distB="0" distL="0" distR="0" wp14:anchorId="65D1E5F5" wp14:editId="406FCCDC">
            <wp:extent cx="5276850" cy="3095625"/>
            <wp:effectExtent l="0" t="0" r="0" b="9525"/>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234F3" w:rsidRPr="0033152D" w:rsidRDefault="001234F3" w:rsidP="001234F3">
      <w:pPr>
        <w:spacing w:after="120"/>
        <w:jc w:val="both"/>
        <w:rPr>
          <w:rFonts w:ascii="Arial" w:hAnsi="Arial" w:cs="Arial"/>
        </w:rPr>
      </w:pPr>
      <w:r w:rsidRPr="00B64A66">
        <w:rPr>
          <w:rFonts w:ascii="Arial" w:hAnsi="Arial" w:cs="Arial"/>
        </w:rPr>
        <w:t xml:space="preserve">Az adónem kintlévősége 2015. </w:t>
      </w:r>
      <w:r>
        <w:rPr>
          <w:rFonts w:ascii="Arial" w:hAnsi="Arial" w:cs="Arial"/>
        </w:rPr>
        <w:t>december 31</w:t>
      </w:r>
      <w:r w:rsidRPr="00B64A66">
        <w:rPr>
          <w:rFonts w:ascii="Arial" w:hAnsi="Arial" w:cs="Arial"/>
        </w:rPr>
        <w:t xml:space="preserve">. napján </w:t>
      </w:r>
      <w:r w:rsidRPr="001234F3">
        <w:rPr>
          <w:rFonts w:ascii="Arial" w:hAnsi="Arial" w:cs="Arial"/>
        </w:rPr>
        <w:t>4.138 ezer Ft, az előző év ugyanezen időpontjához képest - 7.117 e Ft - csökkent.</w:t>
      </w:r>
      <w:r>
        <w:rPr>
          <w:rFonts w:ascii="Arial" w:hAnsi="Arial" w:cs="Arial"/>
        </w:rPr>
        <w:t xml:space="preserve"> </w:t>
      </w:r>
    </w:p>
    <w:p w:rsidR="001234F3" w:rsidRDefault="001234F3" w:rsidP="001234F3">
      <w:pPr>
        <w:spacing w:after="0"/>
        <w:jc w:val="both"/>
        <w:rPr>
          <w:rFonts w:ascii="Arial" w:hAnsi="Arial" w:cs="Arial"/>
        </w:rPr>
      </w:pPr>
      <w:r>
        <w:rPr>
          <w:rFonts w:ascii="Arial" w:hAnsi="Arial" w:cs="Arial"/>
        </w:rPr>
        <w:t>Az idegenforgalmi adó mértékéről 2015. évben a Képviselő-testület rendeletmódosítást fogadott el, miszerint 2016. január 1. napjától a</w:t>
      </w:r>
      <w:r w:rsidRPr="00271552">
        <w:rPr>
          <w:rFonts w:ascii="Arial" w:hAnsi="Arial" w:cs="Arial"/>
        </w:rPr>
        <w:t>z adó mértéke személyenké</w:t>
      </w:r>
      <w:r>
        <w:rPr>
          <w:rFonts w:ascii="Arial" w:hAnsi="Arial" w:cs="Arial"/>
        </w:rPr>
        <w:t>nt és vendégéjs</w:t>
      </w:r>
      <w:r w:rsidR="004C125B">
        <w:rPr>
          <w:rFonts w:ascii="Arial" w:hAnsi="Arial" w:cs="Arial"/>
        </w:rPr>
        <w:t>zakánként 500 forintra változott.</w:t>
      </w:r>
    </w:p>
    <w:p w:rsidR="00546EBF" w:rsidRPr="00F26987" w:rsidRDefault="004C125B" w:rsidP="006833A9">
      <w:pPr>
        <w:spacing w:before="360"/>
        <w:jc w:val="both"/>
        <w:rPr>
          <w:rFonts w:ascii="Arial" w:hAnsi="Arial" w:cs="Arial"/>
          <w:b/>
        </w:rPr>
      </w:pPr>
      <w:r>
        <w:rPr>
          <w:rFonts w:ascii="Arial" w:hAnsi="Arial" w:cs="Arial"/>
          <w:b/>
        </w:rPr>
        <w:t>2.4</w:t>
      </w:r>
      <w:r w:rsidR="00E9139C">
        <w:rPr>
          <w:rFonts w:ascii="Arial" w:hAnsi="Arial" w:cs="Arial"/>
          <w:b/>
        </w:rPr>
        <w:t xml:space="preserve">. </w:t>
      </w:r>
      <w:r>
        <w:rPr>
          <w:rFonts w:ascii="Arial" w:hAnsi="Arial" w:cs="Arial"/>
          <w:b/>
        </w:rPr>
        <w:t xml:space="preserve">     </w:t>
      </w:r>
      <w:r w:rsidR="00E9139C">
        <w:rPr>
          <w:rFonts w:ascii="Arial" w:hAnsi="Arial" w:cs="Arial"/>
          <w:b/>
        </w:rPr>
        <w:t>A gépjármű</w:t>
      </w:r>
      <w:r w:rsidR="00447CC7" w:rsidRPr="00F26987">
        <w:rPr>
          <w:rFonts w:ascii="Arial" w:hAnsi="Arial" w:cs="Arial"/>
          <w:b/>
        </w:rPr>
        <w:t xml:space="preserve"> adó</w:t>
      </w:r>
    </w:p>
    <w:p w:rsidR="004C125B" w:rsidRDefault="00ED6AEE" w:rsidP="004C125B">
      <w:pPr>
        <w:jc w:val="both"/>
        <w:rPr>
          <w:rFonts w:ascii="Arial" w:hAnsi="Arial" w:cs="Arial"/>
        </w:rPr>
      </w:pPr>
      <w:r>
        <w:rPr>
          <w:rFonts w:ascii="Arial" w:hAnsi="Arial" w:cs="Arial"/>
        </w:rPr>
        <w:t xml:space="preserve">A gépjárműadó nem tartozik a helyi adók körébe, de a befolyt összeg 40%-a helyi önkormányzat bevétele, függetlenül attól, hogy előző évekről áthúzódó követeléskezelés, végrehajtás eredményeként sikerült-e beszedni, illetve az adózó fizetési könnyítés során részletekben fizette-e meg. A gépjárműadóról szóló 1991. évi LXXXII. törvény írja elő a gépjárművek adóztatásának szabályait, melyek </w:t>
      </w:r>
      <w:r w:rsidRPr="00B64A66">
        <w:rPr>
          <w:rFonts w:ascii="Arial" w:hAnsi="Arial" w:cs="Arial"/>
        </w:rPr>
        <w:t>2015</w:t>
      </w:r>
      <w:r>
        <w:rPr>
          <w:rFonts w:ascii="Arial" w:hAnsi="Arial" w:cs="Arial"/>
        </w:rPr>
        <w:t xml:space="preserve">-re nem változtak. </w:t>
      </w:r>
    </w:p>
    <w:p w:rsidR="004C47AE" w:rsidRDefault="004C47AE" w:rsidP="004C47AE">
      <w:pPr>
        <w:jc w:val="both"/>
        <w:rPr>
          <w:rFonts w:ascii="Arial" w:hAnsi="Arial" w:cs="Arial"/>
        </w:rPr>
      </w:pPr>
      <w:r w:rsidRPr="00B659B1">
        <w:rPr>
          <w:rFonts w:ascii="Arial" w:hAnsi="Arial" w:cs="Arial"/>
        </w:rPr>
        <w:t xml:space="preserve">A 2015. évre vonatkozóan </w:t>
      </w:r>
      <w:r w:rsidR="00662300" w:rsidRPr="00B659B1">
        <w:rPr>
          <w:rFonts w:ascii="Arial" w:hAnsi="Arial" w:cs="Arial"/>
        </w:rPr>
        <w:t xml:space="preserve">2576 </w:t>
      </w:r>
      <w:r w:rsidRPr="00B659B1">
        <w:rPr>
          <w:rFonts w:ascii="Arial" w:hAnsi="Arial" w:cs="Arial"/>
        </w:rPr>
        <w:t xml:space="preserve">db gépjárműre, </w:t>
      </w:r>
      <w:r w:rsidR="00F820C8" w:rsidRPr="00B659B1">
        <w:rPr>
          <w:rFonts w:ascii="Arial" w:hAnsi="Arial" w:cs="Arial"/>
        </w:rPr>
        <w:t xml:space="preserve">1952 </w:t>
      </w:r>
      <w:r w:rsidRPr="00B659B1">
        <w:rPr>
          <w:rFonts w:ascii="Arial" w:hAnsi="Arial" w:cs="Arial"/>
        </w:rPr>
        <w:t>adóalany terhére került gépjárműadó előírásra.</w:t>
      </w:r>
    </w:p>
    <w:p w:rsidR="004C47AE" w:rsidRPr="00854726" w:rsidRDefault="004C47AE" w:rsidP="004C125B">
      <w:pPr>
        <w:jc w:val="both"/>
        <w:rPr>
          <w:rFonts w:ascii="Arial" w:hAnsi="Arial" w:cs="Arial"/>
          <w:i/>
          <w:color w:val="0070C0"/>
        </w:rPr>
      </w:pPr>
    </w:p>
    <w:p w:rsidR="00861CAB" w:rsidRPr="004C125B" w:rsidRDefault="00861CAB" w:rsidP="004C125B">
      <w:pPr>
        <w:pStyle w:val="Listaszerbekezds"/>
        <w:numPr>
          <w:ilvl w:val="1"/>
          <w:numId w:val="39"/>
        </w:numPr>
        <w:jc w:val="both"/>
        <w:rPr>
          <w:rFonts w:ascii="Arial" w:hAnsi="Arial" w:cs="Arial"/>
        </w:rPr>
      </w:pPr>
      <w:r w:rsidRPr="004C125B">
        <w:rPr>
          <w:rFonts w:ascii="Arial" w:hAnsi="Arial" w:cs="Arial"/>
          <w:b/>
        </w:rPr>
        <w:t>Helyi jövedéki adó</w:t>
      </w:r>
    </w:p>
    <w:p w:rsidR="00A70631" w:rsidRDefault="00A70631" w:rsidP="00A70631">
      <w:pPr>
        <w:pStyle w:val="Listaszerbekezds"/>
        <w:spacing w:before="360" w:after="120" w:line="300" w:lineRule="exact"/>
        <w:jc w:val="both"/>
        <w:rPr>
          <w:rFonts w:ascii="Arial" w:hAnsi="Arial" w:cs="Arial"/>
          <w:b/>
        </w:rPr>
      </w:pPr>
    </w:p>
    <w:p w:rsidR="00056345" w:rsidRPr="00056345" w:rsidRDefault="00056345" w:rsidP="00056345">
      <w:pPr>
        <w:spacing w:after="120"/>
        <w:jc w:val="both"/>
        <w:rPr>
          <w:rFonts w:ascii="Arial" w:hAnsi="Arial" w:cs="Arial"/>
          <w:bCs/>
        </w:rPr>
      </w:pPr>
      <w:r w:rsidRPr="00056345">
        <w:rPr>
          <w:rFonts w:ascii="Arial" w:hAnsi="Arial" w:cs="Arial"/>
          <w:bCs/>
        </w:rPr>
        <w:t>2015. január 1-jei hatállyal nagymértékben módosultak a magánfőzés szabályai, melynek következtében a jogalkotó a magánfőzésre vonatkozó adóbevallással, az átalányadó befizetésével, továbbá a magánfőző által birtokolt desztillálóberendezéssel kapcsolatos eljárás lefolytatását az önkormányzati adóhatóságokhoz rendelte.</w:t>
      </w:r>
    </w:p>
    <w:p w:rsidR="00056345" w:rsidRPr="00056345" w:rsidRDefault="00056345" w:rsidP="00056345">
      <w:pPr>
        <w:spacing w:after="120"/>
        <w:jc w:val="both"/>
        <w:rPr>
          <w:rFonts w:ascii="Arial" w:eastAsia="Times New Roman" w:hAnsi="Arial" w:cs="Arial"/>
          <w:lang w:eastAsia="hu-HU"/>
        </w:rPr>
      </w:pPr>
      <w:r w:rsidRPr="00056345">
        <w:rPr>
          <w:rFonts w:ascii="Arial" w:eastAsia="Times New Roman" w:hAnsi="Arial" w:cs="Arial"/>
          <w:lang w:eastAsia="hu-HU"/>
        </w:rPr>
        <w:t xml:space="preserve">A </w:t>
      </w:r>
      <w:r w:rsidRPr="00056345">
        <w:rPr>
          <w:rFonts w:ascii="Arial" w:eastAsia="Times New Roman" w:hAnsi="Arial" w:cs="Arial"/>
          <w:iCs/>
          <w:lang w:eastAsia="hu-HU"/>
        </w:rPr>
        <w:t>jövedéki adóról</w:t>
      </w:r>
      <w:r w:rsidRPr="00056345">
        <w:rPr>
          <w:rFonts w:ascii="Arial" w:eastAsia="Times New Roman" w:hAnsi="Arial" w:cs="Arial"/>
          <w:lang w:eastAsia="hu-HU"/>
        </w:rPr>
        <w:t xml:space="preserve"> </w:t>
      </w:r>
      <w:r w:rsidRPr="00056345">
        <w:rPr>
          <w:rFonts w:ascii="Arial" w:eastAsia="Times New Roman" w:hAnsi="Arial" w:cs="Arial"/>
          <w:iCs/>
          <w:lang w:eastAsia="hu-HU"/>
        </w:rPr>
        <w:t xml:space="preserve">és a jövedéki termékek forgalmazásának különös szabályairól szóló 2003. évi CXXVII. törvény 63.§ (1) bekezdés 12. pontja alapján </w:t>
      </w:r>
      <w:r w:rsidRPr="00056345">
        <w:rPr>
          <w:rFonts w:ascii="Arial" w:eastAsia="Times New Roman" w:hAnsi="Arial" w:cs="Arial"/>
          <w:lang w:eastAsia="hu-HU"/>
        </w:rPr>
        <w:t xml:space="preserve">a magánfőző az a 18. életévét betöltött </w:t>
      </w:r>
      <w:r w:rsidRPr="00056345">
        <w:rPr>
          <w:rFonts w:ascii="Arial" w:eastAsia="Times New Roman" w:hAnsi="Arial" w:cs="Arial"/>
          <w:bCs/>
          <w:lang w:eastAsia="hu-HU"/>
        </w:rPr>
        <w:t>gyümölcstermesztő</w:t>
      </w:r>
      <w:r w:rsidRPr="00056345">
        <w:rPr>
          <w:rFonts w:ascii="Arial" w:eastAsia="Times New Roman" w:hAnsi="Arial" w:cs="Arial"/>
          <w:lang w:eastAsia="hu-HU"/>
        </w:rPr>
        <w:t xml:space="preserve"> személy, aki </w:t>
      </w:r>
      <w:r w:rsidRPr="00056345">
        <w:rPr>
          <w:rFonts w:ascii="Arial" w:eastAsia="Times New Roman" w:hAnsi="Arial" w:cs="Arial"/>
          <w:bCs/>
          <w:lang w:eastAsia="hu-HU"/>
        </w:rPr>
        <w:t>saját tulajdonú gyümölccsel</w:t>
      </w:r>
      <w:r w:rsidRPr="00056345">
        <w:rPr>
          <w:rFonts w:ascii="Arial" w:eastAsia="Times New Roman" w:hAnsi="Arial" w:cs="Arial"/>
          <w:lang w:eastAsia="hu-HU"/>
        </w:rPr>
        <w:t xml:space="preserve">, gyümölcsből származó </w:t>
      </w:r>
      <w:r w:rsidRPr="00056345">
        <w:rPr>
          <w:rFonts w:ascii="Arial" w:eastAsia="Times New Roman" w:hAnsi="Arial" w:cs="Arial"/>
          <w:bCs/>
          <w:lang w:eastAsia="hu-HU"/>
        </w:rPr>
        <w:t>alapanyaggal és párlat készítésére alkalmas</w:t>
      </w:r>
      <w:r w:rsidRPr="00056345">
        <w:rPr>
          <w:rFonts w:ascii="Arial" w:eastAsia="Times New Roman" w:hAnsi="Arial" w:cs="Arial"/>
          <w:lang w:eastAsia="hu-HU"/>
        </w:rPr>
        <w:t xml:space="preserve"> saját tulajdonú desztillálóberendezéssel rendelkezik.</w:t>
      </w:r>
    </w:p>
    <w:p w:rsidR="00056345" w:rsidRPr="00056345" w:rsidRDefault="00056345" w:rsidP="00056345">
      <w:pPr>
        <w:spacing w:after="120"/>
        <w:jc w:val="both"/>
        <w:rPr>
          <w:rFonts w:ascii="Arial" w:eastAsia="Times New Roman" w:hAnsi="Arial" w:cs="Arial"/>
          <w:lang w:eastAsia="hu-HU"/>
        </w:rPr>
      </w:pPr>
      <w:r w:rsidRPr="00056345">
        <w:rPr>
          <w:rFonts w:ascii="Arial" w:eastAsia="Times New Roman" w:hAnsi="Arial" w:cs="Arial"/>
          <w:bCs/>
          <w:lang w:eastAsia="hu-HU"/>
        </w:rPr>
        <w:t xml:space="preserve">Adóhatóságunkhoz 2015. évben 20 bejelentés érkezett. </w:t>
      </w:r>
    </w:p>
    <w:p w:rsidR="00056345" w:rsidRPr="00B659B1" w:rsidRDefault="00056345" w:rsidP="00056345">
      <w:pPr>
        <w:spacing w:after="120"/>
        <w:jc w:val="both"/>
        <w:rPr>
          <w:rFonts w:ascii="Arial" w:eastAsia="Times New Roman" w:hAnsi="Arial" w:cs="Arial"/>
          <w:lang w:eastAsia="hu-HU"/>
        </w:rPr>
      </w:pPr>
      <w:r w:rsidRPr="00056345">
        <w:rPr>
          <w:rFonts w:ascii="Arial" w:eastAsia="Times New Roman" w:hAnsi="Arial" w:cs="Arial"/>
          <w:lang w:eastAsia="hu-HU"/>
        </w:rPr>
        <w:t xml:space="preserve">A saját fogyasztás céljából előállított magánfőzött párlat adómentessége 2015. január 1-jétől megszűnt és amennyiben tárgyévben a magánfőző előállít párlatot, </w:t>
      </w:r>
      <w:r w:rsidRPr="00056345">
        <w:rPr>
          <w:rFonts w:ascii="Arial" w:eastAsia="Times New Roman" w:hAnsi="Arial" w:cs="Arial"/>
          <w:bCs/>
          <w:lang w:eastAsia="hu-HU"/>
        </w:rPr>
        <w:t>1000 forint/év átalányadó-</w:t>
      </w:r>
      <w:r w:rsidRPr="00056345">
        <w:rPr>
          <w:rFonts w:ascii="Arial" w:eastAsia="Times New Roman" w:hAnsi="Arial" w:cs="Arial"/>
          <w:bCs/>
          <w:lang w:eastAsia="hu-HU"/>
        </w:rPr>
        <w:lastRenderedPageBreak/>
        <w:t xml:space="preserve">fizetési kötelezettsége keletkezik. </w:t>
      </w:r>
      <w:r w:rsidRPr="00056345">
        <w:rPr>
          <w:rFonts w:ascii="Arial" w:eastAsia="Times New Roman" w:hAnsi="Arial" w:cs="Arial"/>
          <w:lang w:eastAsia="hu-HU"/>
        </w:rPr>
        <w:t>Az átalánydíjat a magánfőző fizet meg, az önkormányzat jövedéki adó számlájá</w:t>
      </w:r>
      <w:r w:rsidR="00C90A6B">
        <w:rPr>
          <w:rFonts w:ascii="Arial" w:eastAsia="Times New Roman" w:hAnsi="Arial" w:cs="Arial"/>
          <w:lang w:eastAsia="hu-HU"/>
        </w:rPr>
        <w:t>ra</w:t>
      </w:r>
      <w:r w:rsidR="00B659B1">
        <w:rPr>
          <w:rFonts w:ascii="Arial" w:eastAsia="Times New Roman" w:hAnsi="Arial" w:cs="Arial"/>
          <w:lang w:eastAsia="hu-HU"/>
        </w:rPr>
        <w:t xml:space="preserve">, a beérkezett bevétel 15.000 </w:t>
      </w:r>
      <w:r w:rsidR="00C90A6B" w:rsidRPr="00B659B1">
        <w:rPr>
          <w:rFonts w:ascii="Arial" w:eastAsia="Times New Roman" w:hAnsi="Arial" w:cs="Arial"/>
          <w:lang w:eastAsia="hu-HU"/>
        </w:rPr>
        <w:t xml:space="preserve">Ft. </w:t>
      </w:r>
    </w:p>
    <w:p w:rsidR="00056345" w:rsidRPr="00056345" w:rsidRDefault="00056345" w:rsidP="00056345">
      <w:pPr>
        <w:spacing w:after="120"/>
        <w:jc w:val="both"/>
        <w:rPr>
          <w:rFonts w:ascii="Arial" w:eastAsia="Times New Roman" w:hAnsi="Arial" w:cs="Arial"/>
          <w:lang w:eastAsia="hu-HU"/>
        </w:rPr>
      </w:pPr>
      <w:r w:rsidRPr="00056345">
        <w:rPr>
          <w:rFonts w:ascii="Arial" w:eastAsia="Times New Roman" w:hAnsi="Arial" w:cs="Arial"/>
          <w:lang w:eastAsia="hu-HU"/>
        </w:rPr>
        <w:t>Az önkormányzati adóhatóság értesíti a desztillálóberendezés bejelentéséről, valamint a magánfőző adóbevallásáról a vámhatóságot és a bejelentéssel, bevallással érintett – más – önkormányzati adóhatóságokat. Az önkormányzati adóhatóság az értesítést a teljesítést követő hónap 15. napjáig küldi meg az illetékes vámhatóság részére.</w:t>
      </w:r>
    </w:p>
    <w:p w:rsidR="006D0C2A" w:rsidRDefault="00E9139C" w:rsidP="006833A9">
      <w:pPr>
        <w:spacing w:before="360"/>
        <w:jc w:val="both"/>
        <w:rPr>
          <w:rFonts w:ascii="Arial" w:hAnsi="Arial" w:cs="Arial"/>
          <w:b/>
        </w:rPr>
      </w:pPr>
      <w:r>
        <w:rPr>
          <w:rFonts w:ascii="Arial" w:hAnsi="Arial" w:cs="Arial"/>
          <w:b/>
        </w:rPr>
        <w:t>2</w:t>
      </w:r>
      <w:r w:rsidR="004C125B">
        <w:rPr>
          <w:rFonts w:ascii="Arial" w:hAnsi="Arial" w:cs="Arial"/>
          <w:b/>
        </w:rPr>
        <w:t>.6</w:t>
      </w:r>
      <w:r w:rsidR="00FC64A8">
        <w:rPr>
          <w:rFonts w:ascii="Arial" w:hAnsi="Arial" w:cs="Arial"/>
          <w:b/>
        </w:rPr>
        <w:t>.</w:t>
      </w:r>
      <w:r w:rsidR="006D0C2A">
        <w:rPr>
          <w:rFonts w:ascii="Arial" w:hAnsi="Arial" w:cs="Arial"/>
          <w:b/>
        </w:rPr>
        <w:t xml:space="preserve"> Talajterhelési díj</w:t>
      </w:r>
    </w:p>
    <w:p w:rsidR="00E9139C" w:rsidRPr="006D0C2A" w:rsidRDefault="00E9139C" w:rsidP="00B839F0">
      <w:pPr>
        <w:jc w:val="both"/>
        <w:rPr>
          <w:rFonts w:ascii="Arial" w:hAnsi="Arial" w:cs="Arial"/>
        </w:rPr>
      </w:pPr>
      <w:r w:rsidRPr="006D0C2A">
        <w:rPr>
          <w:rFonts w:ascii="Arial" w:hAnsi="Arial" w:cs="Arial"/>
        </w:rPr>
        <w:t>A talajterhelési díj törvényi előírás alapján kerül beszedésre, mértéke 1 200 Ft/m</w:t>
      </w:r>
      <w:r w:rsidRPr="006833A9">
        <w:rPr>
          <w:rFonts w:ascii="Arial" w:hAnsi="Arial" w:cs="Arial"/>
          <w:vertAlign w:val="superscript"/>
        </w:rPr>
        <w:t>3</w:t>
      </w:r>
      <w:r w:rsidRPr="006D0C2A">
        <w:rPr>
          <w:rFonts w:ascii="Arial" w:hAnsi="Arial" w:cs="Arial"/>
        </w:rPr>
        <w:t>. Talajterhelési díjfizetési kötelezettség azt a kibocsátót terheli, aki a műszakilag rendelkezésre álló közcsatornára nem köt rá.</w:t>
      </w:r>
    </w:p>
    <w:p w:rsidR="00E9139C" w:rsidRPr="006D0C2A" w:rsidRDefault="00E9139C" w:rsidP="00B839F0">
      <w:pPr>
        <w:jc w:val="both"/>
        <w:rPr>
          <w:rFonts w:ascii="Arial" w:hAnsi="Arial" w:cs="Arial"/>
        </w:rPr>
      </w:pPr>
      <w:r w:rsidRPr="006D0C2A">
        <w:rPr>
          <w:rFonts w:ascii="Arial" w:hAnsi="Arial" w:cs="Arial"/>
        </w:rPr>
        <w:t xml:space="preserve">A DRV-től kapott lista elavult, pontatlan volt, emiatt </w:t>
      </w:r>
      <w:r w:rsidR="004C125B">
        <w:rPr>
          <w:rFonts w:ascii="Arial" w:hAnsi="Arial" w:cs="Arial"/>
        </w:rPr>
        <w:t xml:space="preserve">felülvizsgálata </w:t>
      </w:r>
      <w:r w:rsidRPr="006D0C2A">
        <w:rPr>
          <w:rFonts w:ascii="Arial" w:hAnsi="Arial" w:cs="Arial"/>
        </w:rPr>
        <w:t xml:space="preserve">aránytalanul nagy adminisztrációs terhet jelentett a realizálható bevételhez képest. 105 címet kellett megvizsgálni, melyhez a Városfejlesztési Osztály segítségét is kikértük. </w:t>
      </w:r>
    </w:p>
    <w:p w:rsidR="00E9139C" w:rsidRDefault="00E9139C" w:rsidP="00B839F0">
      <w:pPr>
        <w:jc w:val="both"/>
        <w:rPr>
          <w:rFonts w:ascii="Arial" w:hAnsi="Arial" w:cs="Arial"/>
        </w:rPr>
      </w:pPr>
      <w:r w:rsidRPr="006D0C2A">
        <w:rPr>
          <w:rFonts w:ascii="Arial" w:hAnsi="Arial" w:cs="Arial"/>
        </w:rPr>
        <w:t xml:space="preserve">Talajterhelési díjjal kapcsolatosan 2015. évben 2 db határozatban 62 ezer Ft került kivetésre. </w:t>
      </w:r>
    </w:p>
    <w:p w:rsidR="00F409E3" w:rsidRPr="00D70B40" w:rsidRDefault="004C125B" w:rsidP="00F409E3">
      <w:pPr>
        <w:spacing w:before="360" w:after="240"/>
        <w:jc w:val="both"/>
        <w:rPr>
          <w:rFonts w:ascii="Arial" w:hAnsi="Arial" w:cs="Arial"/>
          <w:b/>
        </w:rPr>
      </w:pPr>
      <w:r>
        <w:rPr>
          <w:rFonts w:ascii="Arial" w:hAnsi="Arial" w:cs="Arial"/>
          <w:b/>
        </w:rPr>
        <w:t>2.7</w:t>
      </w:r>
      <w:r w:rsidR="00F409E3" w:rsidRPr="00D70B40">
        <w:rPr>
          <w:rFonts w:ascii="Arial" w:hAnsi="Arial" w:cs="Arial"/>
          <w:b/>
        </w:rPr>
        <w:t xml:space="preserve">. </w:t>
      </w:r>
      <w:r>
        <w:rPr>
          <w:rFonts w:ascii="Arial" w:hAnsi="Arial" w:cs="Arial"/>
          <w:b/>
        </w:rPr>
        <w:t xml:space="preserve"> </w:t>
      </w:r>
      <w:r w:rsidR="00F409E3" w:rsidRPr="00D70B40">
        <w:rPr>
          <w:rFonts w:ascii="Arial" w:hAnsi="Arial" w:cs="Arial"/>
          <w:b/>
        </w:rPr>
        <w:t>Adók módjára behajtandó köztartozások</w:t>
      </w:r>
    </w:p>
    <w:p w:rsidR="00F409E3" w:rsidRDefault="00F409E3" w:rsidP="00F409E3">
      <w:pPr>
        <w:spacing w:after="120"/>
        <w:jc w:val="both"/>
        <w:rPr>
          <w:rFonts w:ascii="Arial" w:hAnsi="Arial" w:cs="Arial"/>
        </w:rPr>
      </w:pPr>
      <w:r w:rsidRPr="003A0B42">
        <w:rPr>
          <w:rFonts w:ascii="Arial" w:hAnsi="Arial" w:cs="Arial"/>
        </w:rPr>
        <w:t>A</w:t>
      </w:r>
      <w:r>
        <w:rPr>
          <w:rFonts w:ascii="Arial" w:hAnsi="Arial" w:cs="Arial"/>
        </w:rPr>
        <w:t xml:space="preserve"> helyi </w:t>
      </w:r>
      <w:r w:rsidRPr="003A0B42">
        <w:rPr>
          <w:rFonts w:ascii="Arial" w:hAnsi="Arial" w:cs="Arial"/>
        </w:rPr>
        <w:t>adóhatóság szedi be a külső szervek megkeresése alapján az adók módjára behajtható köztartozásokat.</w:t>
      </w:r>
      <w:r>
        <w:rPr>
          <w:rFonts w:ascii="Arial" w:hAnsi="Arial" w:cs="Arial"/>
        </w:rPr>
        <w:t xml:space="preserve"> 2015. évben 82 db megkeresés érkezett, melyből elintézésre került 4</w:t>
      </w:r>
      <w:r w:rsidRPr="004021D0">
        <w:rPr>
          <w:rFonts w:ascii="Arial" w:hAnsi="Arial" w:cs="Arial"/>
        </w:rPr>
        <w:t>9</w:t>
      </w:r>
      <w:r>
        <w:rPr>
          <w:rFonts w:ascii="Arial" w:hAnsi="Arial" w:cs="Arial"/>
        </w:rPr>
        <w:t xml:space="preserve"> db. </w:t>
      </w:r>
      <w:r w:rsidRPr="00157B65">
        <w:rPr>
          <w:rFonts w:ascii="Arial" w:hAnsi="Arial" w:cs="Arial"/>
        </w:rPr>
        <w:t xml:space="preserve">A beszedett köztartozás </w:t>
      </w:r>
      <w:r>
        <w:rPr>
          <w:rFonts w:ascii="Arial" w:hAnsi="Arial" w:cs="Arial"/>
        </w:rPr>
        <w:t xml:space="preserve">december </w:t>
      </w:r>
      <w:r w:rsidRPr="00BA0409">
        <w:rPr>
          <w:rFonts w:ascii="Arial" w:hAnsi="Arial" w:cs="Arial"/>
        </w:rPr>
        <w:t>31.</w:t>
      </w:r>
      <w:r>
        <w:rPr>
          <w:rFonts w:ascii="Arial" w:hAnsi="Arial" w:cs="Arial"/>
        </w:rPr>
        <w:t xml:space="preserve"> napjáig 1.094.138 </w:t>
      </w:r>
      <w:r w:rsidRPr="00157B65">
        <w:rPr>
          <w:rFonts w:ascii="Arial" w:hAnsi="Arial" w:cs="Arial"/>
        </w:rPr>
        <w:t xml:space="preserve">Ft, melyből az önkormányzatnál marad </w:t>
      </w:r>
      <w:r>
        <w:rPr>
          <w:rFonts w:ascii="Arial" w:hAnsi="Arial" w:cs="Arial"/>
        </w:rPr>
        <w:t xml:space="preserve">91.033 </w:t>
      </w:r>
      <w:r w:rsidRPr="00157B65">
        <w:rPr>
          <w:rFonts w:ascii="Arial" w:hAnsi="Arial" w:cs="Arial"/>
        </w:rPr>
        <w:t>Ft</w:t>
      </w:r>
      <w:r>
        <w:rPr>
          <w:rFonts w:ascii="Arial" w:hAnsi="Arial" w:cs="Arial"/>
        </w:rPr>
        <w:t>.</w:t>
      </w:r>
    </w:p>
    <w:p w:rsidR="00F409E3" w:rsidRPr="00FB0978" w:rsidRDefault="00F409E3" w:rsidP="00F409E3">
      <w:pPr>
        <w:spacing w:before="360" w:after="120"/>
        <w:jc w:val="both"/>
        <w:rPr>
          <w:rFonts w:ascii="Arial" w:hAnsi="Arial" w:cs="Arial"/>
          <w:b/>
        </w:rPr>
      </w:pPr>
      <w:r>
        <w:rPr>
          <w:rFonts w:ascii="Arial" w:hAnsi="Arial" w:cs="Arial"/>
          <w:b/>
        </w:rPr>
        <w:t>3</w:t>
      </w:r>
      <w:r w:rsidRPr="00FB0978">
        <w:rPr>
          <w:rFonts w:ascii="Arial" w:hAnsi="Arial" w:cs="Arial"/>
          <w:b/>
        </w:rPr>
        <w:t>. Adó-és értékbizonyítványok kiállítása</w:t>
      </w:r>
    </w:p>
    <w:p w:rsidR="00F409E3" w:rsidRPr="004C125B" w:rsidRDefault="00F409E3" w:rsidP="00F409E3">
      <w:pPr>
        <w:spacing w:after="120"/>
        <w:jc w:val="both"/>
        <w:rPr>
          <w:rFonts w:ascii="Arial" w:hAnsi="Arial" w:cs="Arial"/>
        </w:rPr>
      </w:pPr>
      <w:r w:rsidRPr="004C125B">
        <w:rPr>
          <w:rFonts w:ascii="Arial" w:hAnsi="Arial" w:cs="Arial"/>
        </w:rPr>
        <w:t xml:space="preserve">Az adóhatóság kérelemre, törvényben előírt esetekben (hagyatéki eljáráshoz, gyámhatósági ügyekhez, földterület felajánlásához életjáradék ellenében, bírósági végrehajtói ügyekhez, NAV végrehajtási ügyekhez) az illetékességi területén fekvő ingatlan fekvéséről, értékéről és adójáról adó- és értékbizonyítványt állít ki, amely tartalmazza az ingatlan és az ingatlanszerzők (tulajdonosok) adatait, az érték megállapításánál figyelembe vett tényezőket, továbbá az ingatlannak az adott időpontban fennálló forgalmi értékét. </w:t>
      </w:r>
    </w:p>
    <w:p w:rsidR="00F409E3" w:rsidRPr="004C125B" w:rsidRDefault="00F409E3" w:rsidP="00F409E3">
      <w:pPr>
        <w:spacing w:after="120"/>
        <w:jc w:val="both"/>
        <w:rPr>
          <w:rFonts w:ascii="Arial" w:hAnsi="Arial" w:cs="Arial"/>
        </w:rPr>
      </w:pPr>
      <w:r w:rsidRPr="004C125B">
        <w:rPr>
          <w:rFonts w:ascii="Arial" w:hAnsi="Arial" w:cs="Arial"/>
        </w:rPr>
        <w:t xml:space="preserve">Adó-és értékbizonyítvány kiadására 2015. évben 121 esetben került sor, melyet megelőzött helyszíni szemle és felmérés. </w:t>
      </w:r>
    </w:p>
    <w:p w:rsidR="00F409E3" w:rsidRDefault="00F409E3" w:rsidP="00F409E3">
      <w:pPr>
        <w:autoSpaceDE w:val="0"/>
        <w:autoSpaceDN w:val="0"/>
        <w:adjustRightInd w:val="0"/>
        <w:spacing w:after="0"/>
        <w:jc w:val="both"/>
        <w:rPr>
          <w:rFonts w:ascii="Arial" w:hAnsi="Arial" w:cs="Arial"/>
          <w:b/>
        </w:rPr>
      </w:pPr>
    </w:p>
    <w:p w:rsidR="00F409E3" w:rsidRDefault="00F409E3" w:rsidP="00F409E3">
      <w:pPr>
        <w:autoSpaceDE w:val="0"/>
        <w:autoSpaceDN w:val="0"/>
        <w:adjustRightInd w:val="0"/>
        <w:spacing w:after="0"/>
        <w:jc w:val="both"/>
        <w:rPr>
          <w:rFonts w:ascii="Arial" w:hAnsi="Arial" w:cs="Arial"/>
          <w:b/>
        </w:rPr>
      </w:pPr>
      <w:r>
        <w:rPr>
          <w:rFonts w:ascii="Arial" w:hAnsi="Arial" w:cs="Arial"/>
          <w:b/>
        </w:rPr>
        <w:t xml:space="preserve">4. Hátralékok csökkentésére tett </w:t>
      </w:r>
      <w:r w:rsidRPr="00447CC7">
        <w:rPr>
          <w:rFonts w:ascii="Arial" w:hAnsi="Arial" w:cs="Arial"/>
          <w:b/>
        </w:rPr>
        <w:t>intézkedések</w:t>
      </w:r>
    </w:p>
    <w:p w:rsidR="00FC59A0" w:rsidRPr="00447CC7" w:rsidRDefault="00FC59A0" w:rsidP="00F409E3">
      <w:pPr>
        <w:autoSpaceDE w:val="0"/>
        <w:autoSpaceDN w:val="0"/>
        <w:adjustRightInd w:val="0"/>
        <w:spacing w:after="0"/>
        <w:jc w:val="both"/>
        <w:rPr>
          <w:rFonts w:ascii="Arial" w:hAnsi="Arial" w:cs="Arial"/>
          <w:b/>
        </w:rPr>
      </w:pPr>
    </w:p>
    <w:p w:rsidR="00FC59A0" w:rsidRDefault="00FC59A0" w:rsidP="00FC59A0">
      <w:pPr>
        <w:autoSpaceDE w:val="0"/>
        <w:autoSpaceDN w:val="0"/>
        <w:adjustRightInd w:val="0"/>
        <w:spacing w:after="0"/>
        <w:jc w:val="both"/>
        <w:rPr>
          <w:rFonts w:ascii="Arial" w:hAnsi="Arial" w:cs="Arial"/>
        </w:rPr>
      </w:pPr>
      <w:r>
        <w:rPr>
          <w:rFonts w:ascii="Arial" w:hAnsi="Arial" w:cs="Arial"/>
        </w:rPr>
        <w:t xml:space="preserve">Az évek során az adó fizetési morál romlása, a fizetési nehézségek következtében bekövetkezett fizetési készség és az egyéb tényezők miatt, megnövekedett a kintlévőségek nagysága. </w:t>
      </w:r>
    </w:p>
    <w:p w:rsidR="00FC59A0" w:rsidRDefault="00FC59A0" w:rsidP="00FC59A0">
      <w:pPr>
        <w:autoSpaceDE w:val="0"/>
        <w:autoSpaceDN w:val="0"/>
        <w:adjustRightInd w:val="0"/>
        <w:spacing w:after="0"/>
        <w:jc w:val="both"/>
        <w:rPr>
          <w:rFonts w:ascii="Arial" w:hAnsi="Arial" w:cs="Arial"/>
        </w:rPr>
      </w:pPr>
    </w:p>
    <w:p w:rsidR="00FC59A0" w:rsidRDefault="00FC59A0" w:rsidP="00FC59A0">
      <w:pPr>
        <w:autoSpaceDE w:val="0"/>
        <w:autoSpaceDN w:val="0"/>
        <w:adjustRightInd w:val="0"/>
        <w:spacing w:after="0"/>
        <w:jc w:val="both"/>
        <w:rPr>
          <w:rFonts w:ascii="Arial" w:hAnsi="Arial" w:cs="Arial"/>
        </w:rPr>
      </w:pPr>
      <w:r>
        <w:rPr>
          <w:rFonts w:ascii="Arial" w:hAnsi="Arial" w:cs="Arial"/>
        </w:rPr>
        <w:t>A hátralékállomány az elévülési időszak (öt év) hátralékállományát tartalmazza. A gazdálkodó vagyonát sok esetben meghaladja tartozásaik összege, kötelezettségeik rendezésére nincs pénzügyi fedezetük. A felszámolás alá kerülő cégek esetében még megfelelő időben történő hitelezői igénybejelentés alapján is csekély az esély a követelések egy részének megtérülésére</w:t>
      </w:r>
      <w:r w:rsidR="00EA59A4">
        <w:rPr>
          <w:rFonts w:ascii="Arial" w:hAnsi="Arial" w:cs="Arial"/>
        </w:rPr>
        <w:t>.</w:t>
      </w:r>
    </w:p>
    <w:p w:rsidR="00EA59A4" w:rsidRDefault="00EA59A4" w:rsidP="00FC59A0">
      <w:pPr>
        <w:autoSpaceDE w:val="0"/>
        <w:autoSpaceDN w:val="0"/>
        <w:adjustRightInd w:val="0"/>
        <w:spacing w:after="0"/>
        <w:jc w:val="both"/>
        <w:rPr>
          <w:rFonts w:ascii="Arial" w:hAnsi="Arial" w:cs="Arial"/>
        </w:rPr>
      </w:pPr>
    </w:p>
    <w:p w:rsidR="00EA59A4" w:rsidRDefault="00EA59A4" w:rsidP="00FC59A0">
      <w:pPr>
        <w:autoSpaceDE w:val="0"/>
        <w:autoSpaceDN w:val="0"/>
        <w:adjustRightInd w:val="0"/>
        <w:spacing w:after="0"/>
        <w:jc w:val="both"/>
        <w:rPr>
          <w:rFonts w:ascii="Arial" w:hAnsi="Arial" w:cs="Arial"/>
        </w:rPr>
      </w:pPr>
    </w:p>
    <w:p w:rsidR="00EA59A4" w:rsidRPr="00FC59A0" w:rsidRDefault="00EA59A4" w:rsidP="00FC59A0">
      <w:pPr>
        <w:autoSpaceDE w:val="0"/>
        <w:autoSpaceDN w:val="0"/>
        <w:adjustRightInd w:val="0"/>
        <w:spacing w:after="0"/>
        <w:jc w:val="both"/>
        <w:rPr>
          <w:rFonts w:ascii="Arial" w:hAnsi="Arial" w:cs="Arial"/>
          <w:b/>
          <w:i/>
          <w:color w:val="0070C0"/>
        </w:rPr>
      </w:pPr>
    </w:p>
    <w:p w:rsidR="00FC7402" w:rsidRDefault="00FC7402" w:rsidP="00F409E3">
      <w:pPr>
        <w:autoSpaceDE w:val="0"/>
        <w:autoSpaceDN w:val="0"/>
        <w:adjustRightInd w:val="0"/>
        <w:spacing w:after="0"/>
        <w:jc w:val="both"/>
        <w:rPr>
          <w:rFonts w:ascii="Arial" w:hAnsi="Arial" w:cs="Arial"/>
          <w:i/>
          <w:color w:val="0070C0"/>
        </w:rPr>
      </w:pPr>
    </w:p>
    <w:p w:rsidR="00EA59A4" w:rsidRPr="00EA59A4" w:rsidRDefault="00EA59A4" w:rsidP="00EA59A4">
      <w:pPr>
        <w:autoSpaceDE w:val="0"/>
        <w:autoSpaceDN w:val="0"/>
        <w:adjustRightInd w:val="0"/>
        <w:spacing w:after="0"/>
        <w:jc w:val="center"/>
        <w:rPr>
          <w:rFonts w:ascii="Arial" w:hAnsi="Arial" w:cs="Arial"/>
          <w:b/>
          <w:u w:val="single"/>
        </w:rPr>
      </w:pPr>
      <w:r w:rsidRPr="00EA59A4">
        <w:rPr>
          <w:rFonts w:ascii="Arial" w:hAnsi="Arial" w:cs="Arial"/>
          <w:b/>
          <w:u w:val="single"/>
        </w:rPr>
        <w:lastRenderedPageBreak/>
        <w:t xml:space="preserve">Hátralékok kimutatása </w:t>
      </w:r>
    </w:p>
    <w:p w:rsidR="00EA59A4" w:rsidRPr="00FC7402" w:rsidRDefault="00EA59A4" w:rsidP="00F409E3">
      <w:pPr>
        <w:autoSpaceDE w:val="0"/>
        <w:autoSpaceDN w:val="0"/>
        <w:adjustRightInd w:val="0"/>
        <w:spacing w:after="0"/>
        <w:jc w:val="both"/>
        <w:rPr>
          <w:rFonts w:ascii="Arial" w:hAnsi="Arial" w:cs="Arial"/>
          <w:i/>
          <w:color w:val="0070C0"/>
        </w:rPr>
      </w:pPr>
    </w:p>
    <w:p w:rsidR="00FC7402" w:rsidRDefault="00FC7402" w:rsidP="00F409E3">
      <w:pPr>
        <w:autoSpaceDE w:val="0"/>
        <w:autoSpaceDN w:val="0"/>
        <w:adjustRightInd w:val="0"/>
        <w:spacing w:after="0"/>
        <w:jc w:val="both"/>
        <w:rPr>
          <w:rFonts w:ascii="Arial" w:hAnsi="Arial" w:cs="Arial"/>
          <w:i/>
          <w:color w:val="0070C0"/>
        </w:rPr>
      </w:pPr>
    </w:p>
    <w:tbl>
      <w:tblPr>
        <w:tblW w:w="10490" w:type="dxa"/>
        <w:jc w:val="center"/>
        <w:tblCellMar>
          <w:left w:w="70" w:type="dxa"/>
          <w:right w:w="70" w:type="dxa"/>
        </w:tblCellMar>
        <w:tblLook w:val="04A0" w:firstRow="1" w:lastRow="0" w:firstColumn="1" w:lastColumn="0" w:noHBand="0" w:noVBand="1"/>
      </w:tblPr>
      <w:tblGrid>
        <w:gridCol w:w="2127"/>
        <w:gridCol w:w="1418"/>
        <w:gridCol w:w="1559"/>
        <w:gridCol w:w="1417"/>
        <w:gridCol w:w="1418"/>
        <w:gridCol w:w="1276"/>
        <w:gridCol w:w="1275"/>
      </w:tblGrid>
      <w:tr w:rsidR="00372231" w:rsidRPr="00FC59A0" w:rsidTr="00372231">
        <w:trPr>
          <w:trHeight w:val="315"/>
          <w:jc w:val="center"/>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adónem</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összes hátralék</w:t>
            </w:r>
          </w:p>
        </w:tc>
        <w:tc>
          <w:tcPr>
            <w:tcW w:w="2835" w:type="dxa"/>
            <w:gridSpan w:val="2"/>
            <w:tcBorders>
              <w:top w:val="single" w:sz="4" w:space="0" w:color="auto"/>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nem esedékes hátralék</w:t>
            </w:r>
          </w:p>
        </w:tc>
        <w:tc>
          <w:tcPr>
            <w:tcW w:w="2551" w:type="dxa"/>
            <w:gridSpan w:val="2"/>
            <w:tcBorders>
              <w:top w:val="single" w:sz="4" w:space="0" w:color="auto"/>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túlfizetés</w:t>
            </w:r>
          </w:p>
        </w:tc>
      </w:tr>
      <w:tr w:rsidR="00372231" w:rsidRPr="00FC59A0" w:rsidTr="00372231">
        <w:trPr>
          <w:trHeight w:val="315"/>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2014.12.31.</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2015.12.31</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2014.12.31.</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2015.12.31.</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2014.12.31.</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2015.12.31.</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építményadó</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46 196 266</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41 905 138</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329 796</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2 226 765</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1 438 996</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1 826 861</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idegenforgalmi adó</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7 116 869</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4 138 346</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iparűzési adó</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33 849 682</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39 219 465</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139 047</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1 167 590</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3 772 253</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4 704 781</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gépjárműadó</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6 295 689</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4 543 040</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92 683</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68 170</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3 174</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22 244</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késedelmi pótlék</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24 877 174</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18 783 629</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12 657</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2 994</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3 209</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bírság és végrehajtási költség</w:t>
            </w:r>
          </w:p>
        </w:tc>
        <w:tc>
          <w:tcPr>
            <w:tcW w:w="1418"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1 145 203</w:t>
            </w:r>
          </w:p>
        </w:tc>
        <w:tc>
          <w:tcPr>
            <w:tcW w:w="1559"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1 128 823</w:t>
            </w:r>
          </w:p>
        </w:tc>
        <w:tc>
          <w:tcPr>
            <w:tcW w:w="1417"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25 000</w:t>
            </w:r>
          </w:p>
        </w:tc>
        <w:tc>
          <w:tcPr>
            <w:tcW w:w="1418"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5 000</w:t>
            </w:r>
          </w:p>
        </w:tc>
        <w:tc>
          <w:tcPr>
            <w:tcW w:w="1276"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275"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összesen:</w:t>
            </w:r>
          </w:p>
        </w:tc>
        <w:tc>
          <w:tcPr>
            <w:tcW w:w="1418" w:type="dxa"/>
            <w:tcBorders>
              <w:top w:val="nil"/>
              <w:left w:val="nil"/>
              <w:bottom w:val="single" w:sz="4" w:space="0" w:color="auto"/>
              <w:right w:val="single" w:sz="4" w:space="0" w:color="auto"/>
            </w:tcBorders>
            <w:shd w:val="clear" w:color="auto" w:fill="auto"/>
            <w:noWrap/>
            <w:vAlign w:val="bottom"/>
          </w:tcPr>
          <w:p w:rsidR="00372231" w:rsidRPr="00FC59A0" w:rsidRDefault="00FC59A0" w:rsidP="00372231">
            <w:pPr>
              <w:spacing w:after="0" w:line="240" w:lineRule="auto"/>
              <w:jc w:val="right"/>
              <w:rPr>
                <w:rFonts w:ascii="Arial" w:eastAsia="Times New Roman" w:hAnsi="Arial" w:cs="Arial"/>
                <w:color w:val="000000"/>
                <w:sz w:val="18"/>
                <w:szCs w:val="18"/>
                <w:lang w:eastAsia="hu-HU"/>
              </w:rPr>
            </w:pPr>
            <w:r>
              <w:rPr>
                <w:rFonts w:ascii="Arial" w:eastAsia="Times New Roman" w:hAnsi="Arial" w:cs="Arial"/>
                <w:color w:val="000000"/>
                <w:sz w:val="18"/>
                <w:szCs w:val="18"/>
                <w:lang w:eastAsia="hu-HU"/>
              </w:rPr>
              <w:t>11</w:t>
            </w:r>
            <w:r w:rsidR="00372231" w:rsidRPr="00FC59A0">
              <w:rPr>
                <w:rFonts w:ascii="Arial" w:eastAsia="Times New Roman" w:hAnsi="Arial" w:cs="Arial"/>
                <w:color w:val="000000"/>
                <w:sz w:val="18"/>
                <w:szCs w:val="18"/>
                <w:lang w:eastAsia="hu-HU"/>
              </w:rPr>
              <w:t>9</w:t>
            </w:r>
            <w:r>
              <w:rPr>
                <w:rFonts w:ascii="Arial" w:eastAsia="Times New Roman" w:hAnsi="Arial" w:cs="Arial"/>
                <w:color w:val="000000"/>
                <w:sz w:val="18"/>
                <w:szCs w:val="18"/>
                <w:lang w:eastAsia="hu-HU"/>
              </w:rPr>
              <w:t xml:space="preserve"> </w:t>
            </w:r>
            <w:r w:rsidR="00372231" w:rsidRPr="00FC59A0">
              <w:rPr>
                <w:rFonts w:ascii="Arial" w:eastAsia="Times New Roman" w:hAnsi="Arial" w:cs="Arial"/>
                <w:color w:val="000000"/>
                <w:sz w:val="18"/>
                <w:szCs w:val="18"/>
                <w:lang w:eastAsia="hu-HU"/>
              </w:rPr>
              <w:t>480 883</w:t>
            </w:r>
          </w:p>
        </w:tc>
        <w:tc>
          <w:tcPr>
            <w:tcW w:w="1559"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109 718 441</w:t>
            </w:r>
          </w:p>
        </w:tc>
        <w:tc>
          <w:tcPr>
            <w:tcW w:w="1417"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586 526</w:t>
            </w:r>
          </w:p>
        </w:tc>
        <w:tc>
          <w:tcPr>
            <w:tcW w:w="1418"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3 480 182</w:t>
            </w:r>
          </w:p>
        </w:tc>
        <w:tc>
          <w:tcPr>
            <w:tcW w:w="1276"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5 217 367</w:t>
            </w:r>
          </w:p>
        </w:tc>
        <w:tc>
          <w:tcPr>
            <w:tcW w:w="1275"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6 557 095</w:t>
            </w:r>
          </w:p>
        </w:tc>
      </w:tr>
    </w:tbl>
    <w:p w:rsidR="00372231" w:rsidRPr="00056E5B" w:rsidRDefault="00372231" w:rsidP="00372231">
      <w:pPr>
        <w:autoSpaceDE w:val="0"/>
        <w:autoSpaceDN w:val="0"/>
        <w:adjustRightInd w:val="0"/>
        <w:spacing w:after="0"/>
        <w:jc w:val="both"/>
        <w:rPr>
          <w:rFonts w:ascii="Arial" w:hAnsi="Arial" w:cs="Arial"/>
          <w:sz w:val="18"/>
          <w:szCs w:val="18"/>
        </w:rPr>
      </w:pPr>
      <w:r w:rsidRPr="00FC59A0">
        <w:rPr>
          <w:rFonts w:ascii="Arial" w:hAnsi="Arial" w:cs="Arial"/>
          <w:sz w:val="18"/>
          <w:szCs w:val="18"/>
        </w:rPr>
        <w:t>(hátralék összege tartalmazza a már nem működő, felszámolás alatti gazdasági társaságok adótartozását is)</w:t>
      </w:r>
    </w:p>
    <w:p w:rsidR="00372231" w:rsidRPr="00FC7402" w:rsidRDefault="00372231" w:rsidP="00F409E3">
      <w:pPr>
        <w:autoSpaceDE w:val="0"/>
        <w:autoSpaceDN w:val="0"/>
        <w:adjustRightInd w:val="0"/>
        <w:spacing w:after="0"/>
        <w:jc w:val="both"/>
        <w:rPr>
          <w:rFonts w:ascii="Arial" w:hAnsi="Arial" w:cs="Arial"/>
          <w:i/>
          <w:color w:val="0070C0"/>
        </w:rPr>
      </w:pPr>
    </w:p>
    <w:p w:rsidR="00FC59A0" w:rsidRPr="000710C8" w:rsidRDefault="00EA59A4" w:rsidP="00FC59A0">
      <w:pPr>
        <w:autoSpaceDE w:val="0"/>
        <w:autoSpaceDN w:val="0"/>
        <w:adjustRightInd w:val="0"/>
        <w:spacing w:after="0"/>
        <w:jc w:val="both"/>
        <w:rPr>
          <w:rFonts w:ascii="Arial" w:hAnsi="Arial" w:cs="Arial"/>
        </w:rPr>
      </w:pPr>
      <w:r w:rsidRPr="000710C8">
        <w:rPr>
          <w:rFonts w:ascii="Arial" w:hAnsi="Arial" w:cs="Arial"/>
        </w:rPr>
        <w:t>2016. évre vonatkozóan</w:t>
      </w:r>
      <w:r w:rsidR="00FC59A0" w:rsidRPr="000710C8">
        <w:rPr>
          <w:rFonts w:ascii="Arial" w:hAnsi="Arial" w:cs="Arial"/>
        </w:rPr>
        <w:t xml:space="preserve"> megvizsgáljuk az ingóság és ingatlan végrehajthatóság hatékonyságát, lehetőségét</w:t>
      </w:r>
      <w:r w:rsidRPr="000710C8">
        <w:rPr>
          <w:rFonts w:ascii="Arial" w:hAnsi="Arial" w:cs="Arial"/>
        </w:rPr>
        <w:t xml:space="preserve">, amelyhez </w:t>
      </w:r>
      <w:r w:rsidR="00FC59A0" w:rsidRPr="000710C8">
        <w:rPr>
          <w:rFonts w:ascii="Arial" w:hAnsi="Arial" w:cs="Arial"/>
        </w:rPr>
        <w:t>végrehajtó bevonását tart</w:t>
      </w:r>
      <w:r w:rsidRPr="000710C8">
        <w:rPr>
          <w:rFonts w:ascii="Arial" w:hAnsi="Arial" w:cs="Arial"/>
        </w:rPr>
        <w:t>anánk  szükségesnek.</w:t>
      </w:r>
      <w:r w:rsidR="00FC59A0" w:rsidRPr="000710C8">
        <w:rPr>
          <w:rFonts w:ascii="Arial" w:hAnsi="Arial" w:cs="Arial"/>
        </w:rPr>
        <w:t xml:space="preserve"> </w:t>
      </w:r>
    </w:p>
    <w:p w:rsidR="00F409E3" w:rsidRDefault="00F409E3" w:rsidP="00F409E3">
      <w:pPr>
        <w:autoSpaceDE w:val="0"/>
        <w:autoSpaceDN w:val="0"/>
        <w:adjustRightInd w:val="0"/>
        <w:spacing w:after="0"/>
        <w:jc w:val="both"/>
        <w:rPr>
          <w:rFonts w:ascii="Arial" w:hAnsi="Arial" w:cs="Arial"/>
        </w:rPr>
      </w:pPr>
    </w:p>
    <w:p w:rsidR="00F409E3" w:rsidRDefault="00F409E3" w:rsidP="00F409E3">
      <w:pPr>
        <w:autoSpaceDE w:val="0"/>
        <w:autoSpaceDN w:val="0"/>
        <w:adjustRightInd w:val="0"/>
        <w:spacing w:after="0"/>
        <w:jc w:val="both"/>
        <w:rPr>
          <w:rFonts w:ascii="Arial" w:hAnsi="Arial" w:cs="Arial"/>
        </w:rPr>
      </w:pPr>
      <w:r w:rsidRPr="00B64A66">
        <w:rPr>
          <w:rFonts w:ascii="Arial" w:hAnsi="Arial" w:cs="Arial"/>
        </w:rPr>
        <w:t xml:space="preserve">Hitelező igényt 2015. </w:t>
      </w:r>
      <w:r>
        <w:rPr>
          <w:rFonts w:ascii="Arial" w:hAnsi="Arial" w:cs="Arial"/>
        </w:rPr>
        <w:t>december</w:t>
      </w:r>
      <w:r w:rsidRPr="00B64A66">
        <w:rPr>
          <w:rFonts w:ascii="Arial" w:hAnsi="Arial" w:cs="Arial"/>
        </w:rPr>
        <w:t xml:space="preserve"> 31-ig</w:t>
      </w:r>
      <w:r>
        <w:rPr>
          <w:rFonts w:ascii="Arial" w:hAnsi="Arial" w:cs="Arial"/>
        </w:rPr>
        <w:t xml:space="preserve"> </w:t>
      </w:r>
      <w:r w:rsidRPr="00503F37">
        <w:rPr>
          <w:rFonts w:ascii="Arial" w:hAnsi="Arial" w:cs="Arial"/>
        </w:rPr>
        <w:t>9 esetben nyújtottuk be 4.555.075,- Ft összegre, melyből teljesült 169.843,- Ft. Az eljárás több évre is elhúzódhat, az ilyen kintlévőségek majd</w:t>
      </w:r>
      <w:r>
        <w:rPr>
          <w:rFonts w:ascii="Arial" w:hAnsi="Arial" w:cs="Arial"/>
        </w:rPr>
        <w:t xml:space="preserve"> leírásra kerülnek, azonban az eljárás teljes lezárásáig, illetve az elévülésig az önkormányzati adóban nyilván kell tartani.</w:t>
      </w:r>
    </w:p>
    <w:p w:rsidR="00F409E3" w:rsidRDefault="00F409E3" w:rsidP="00F409E3">
      <w:pPr>
        <w:autoSpaceDE w:val="0"/>
        <w:autoSpaceDN w:val="0"/>
        <w:adjustRightInd w:val="0"/>
        <w:spacing w:after="0" w:line="240" w:lineRule="auto"/>
        <w:jc w:val="both"/>
        <w:rPr>
          <w:rFonts w:ascii="Arial" w:hAnsi="Arial" w:cs="Arial"/>
        </w:rPr>
      </w:pPr>
    </w:p>
    <w:p w:rsidR="00F409E3" w:rsidRPr="00727C43" w:rsidRDefault="00F409E3" w:rsidP="00F409E3">
      <w:pPr>
        <w:autoSpaceDE w:val="0"/>
        <w:autoSpaceDN w:val="0"/>
        <w:adjustRightInd w:val="0"/>
        <w:spacing w:after="0" w:line="240" w:lineRule="auto"/>
        <w:jc w:val="both"/>
        <w:rPr>
          <w:rFonts w:ascii="Arial" w:hAnsi="Arial" w:cs="Arial"/>
          <w:color w:val="FF0000"/>
        </w:rPr>
      </w:pPr>
      <w:r>
        <w:rPr>
          <w:rFonts w:ascii="Arial" w:hAnsi="Arial" w:cs="Arial"/>
          <w:color w:val="FF0000"/>
        </w:rPr>
        <w:t xml:space="preserve"> </w:t>
      </w:r>
    </w:p>
    <w:p w:rsidR="00F409E3" w:rsidRDefault="00F409E3" w:rsidP="00F409E3">
      <w:pPr>
        <w:autoSpaceDE w:val="0"/>
        <w:autoSpaceDN w:val="0"/>
        <w:adjustRightInd w:val="0"/>
        <w:spacing w:after="0" w:line="240" w:lineRule="auto"/>
        <w:jc w:val="center"/>
        <w:rPr>
          <w:rFonts w:ascii="Arial" w:hAnsi="Arial" w:cs="Arial"/>
        </w:rPr>
      </w:pPr>
      <w:r>
        <w:rPr>
          <w:noProof/>
          <w:lang w:eastAsia="hu-HU"/>
        </w:rPr>
        <w:drawing>
          <wp:inline distT="0" distB="0" distL="0" distR="0" wp14:anchorId="7583B011" wp14:editId="5806787B">
            <wp:extent cx="5210175" cy="2743200"/>
            <wp:effectExtent l="0" t="0" r="9525" b="0"/>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409E3" w:rsidRDefault="00F409E3" w:rsidP="00F409E3">
      <w:pPr>
        <w:autoSpaceDE w:val="0"/>
        <w:autoSpaceDN w:val="0"/>
        <w:adjustRightInd w:val="0"/>
        <w:spacing w:after="0" w:line="240" w:lineRule="auto"/>
        <w:jc w:val="both"/>
        <w:rPr>
          <w:rFonts w:ascii="Arial" w:hAnsi="Arial" w:cs="Arial"/>
        </w:rPr>
      </w:pPr>
    </w:p>
    <w:p w:rsidR="00F409E3" w:rsidRDefault="00F409E3" w:rsidP="00F409E3">
      <w:pPr>
        <w:autoSpaceDE w:val="0"/>
        <w:autoSpaceDN w:val="0"/>
        <w:adjustRightInd w:val="0"/>
        <w:spacing w:after="0" w:line="240" w:lineRule="auto"/>
        <w:jc w:val="both"/>
        <w:rPr>
          <w:rFonts w:ascii="Arial" w:hAnsi="Arial" w:cs="Arial"/>
        </w:rPr>
      </w:pPr>
    </w:p>
    <w:p w:rsidR="00F409E3" w:rsidRPr="006D2283" w:rsidRDefault="00F409E3" w:rsidP="00F409E3">
      <w:pPr>
        <w:autoSpaceDE w:val="0"/>
        <w:autoSpaceDN w:val="0"/>
        <w:adjustRightInd w:val="0"/>
        <w:spacing w:after="0" w:line="240" w:lineRule="auto"/>
        <w:jc w:val="both"/>
        <w:rPr>
          <w:rFonts w:ascii="Arial" w:hAnsi="Arial" w:cs="Arial"/>
          <w:b/>
        </w:rPr>
      </w:pPr>
      <w:r w:rsidRPr="006D2283">
        <w:rPr>
          <w:rFonts w:ascii="Arial" w:hAnsi="Arial" w:cs="Arial"/>
          <w:b/>
        </w:rPr>
        <w:t>A hátralékok 43%-a a már nem működő, illetve többnyire felszámolás alatt lévő társaságoknál van felhalmozva, ezek megtérülése nem valószínűsíthető.</w:t>
      </w:r>
    </w:p>
    <w:p w:rsidR="00F409E3" w:rsidRDefault="00F409E3" w:rsidP="00F409E3">
      <w:pPr>
        <w:autoSpaceDE w:val="0"/>
        <w:autoSpaceDN w:val="0"/>
        <w:adjustRightInd w:val="0"/>
        <w:spacing w:after="0" w:line="240" w:lineRule="auto"/>
        <w:jc w:val="both"/>
        <w:rPr>
          <w:rFonts w:ascii="Arial" w:hAnsi="Arial" w:cs="Arial"/>
        </w:rPr>
      </w:pPr>
    </w:p>
    <w:p w:rsidR="00F409E3" w:rsidRDefault="00F409E3" w:rsidP="00F409E3">
      <w:pPr>
        <w:autoSpaceDE w:val="0"/>
        <w:autoSpaceDN w:val="0"/>
        <w:adjustRightInd w:val="0"/>
        <w:spacing w:after="0"/>
        <w:jc w:val="both"/>
        <w:rPr>
          <w:rFonts w:ascii="Arial" w:hAnsi="Arial" w:cs="Arial"/>
        </w:rPr>
      </w:pPr>
      <w:r>
        <w:rPr>
          <w:rFonts w:ascii="Arial" w:hAnsi="Arial" w:cs="Arial"/>
        </w:rPr>
        <w:t xml:space="preserve">A végrehajtás eredményességét és annak folyamatát jelentősen befolyásolja az adós személyének felkutatása, a munkahelyi adatok lekérdezése, és a bankszámlaszámok lekérése. A behajtás sikerességét jelentősen meghatározza, hogy adó személy rendelkezik-e rendszeres jövedelemmel. </w:t>
      </w:r>
      <w:r w:rsidRPr="005E3988">
        <w:rPr>
          <w:rFonts w:ascii="Arial" w:hAnsi="Arial" w:cs="Arial"/>
        </w:rPr>
        <w:t>Egyre</w:t>
      </w:r>
      <w:r>
        <w:rPr>
          <w:rFonts w:ascii="Arial" w:hAnsi="Arial" w:cs="Arial"/>
        </w:rPr>
        <w:t xml:space="preserve"> többen vannak azok, akiknek nincs nyilvántartott jogviszonya, vagyis munkanélküli, feketén foglalkoztatják, illetve külföldön vállalt munkát. </w:t>
      </w:r>
    </w:p>
    <w:p w:rsidR="00F409E3" w:rsidRDefault="00F409E3" w:rsidP="00F409E3">
      <w:pPr>
        <w:autoSpaceDE w:val="0"/>
        <w:autoSpaceDN w:val="0"/>
        <w:adjustRightInd w:val="0"/>
        <w:spacing w:after="0" w:line="240" w:lineRule="auto"/>
        <w:jc w:val="both"/>
        <w:rPr>
          <w:rFonts w:ascii="Arial" w:hAnsi="Arial" w:cs="Arial"/>
        </w:rPr>
      </w:pPr>
    </w:p>
    <w:p w:rsidR="00F409E3" w:rsidRDefault="00F409E3" w:rsidP="00F409E3">
      <w:pPr>
        <w:autoSpaceDE w:val="0"/>
        <w:autoSpaceDN w:val="0"/>
        <w:adjustRightInd w:val="0"/>
        <w:spacing w:after="0" w:line="240" w:lineRule="auto"/>
        <w:jc w:val="both"/>
        <w:rPr>
          <w:rFonts w:ascii="Arial" w:hAnsi="Arial" w:cs="Arial"/>
        </w:rPr>
      </w:pPr>
    </w:p>
    <w:tbl>
      <w:tblPr>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993"/>
        <w:gridCol w:w="2693"/>
        <w:gridCol w:w="2266"/>
      </w:tblGrid>
      <w:tr w:rsidR="00F409E3" w:rsidRPr="00F77459" w:rsidTr="00354A1C">
        <w:tc>
          <w:tcPr>
            <w:tcW w:w="3397" w:type="dxa"/>
            <w:shd w:val="clear" w:color="auto" w:fill="auto"/>
            <w:vAlign w:val="center"/>
          </w:tcPr>
          <w:p w:rsidR="00F409E3" w:rsidRPr="00323106" w:rsidRDefault="00F409E3" w:rsidP="00354A1C">
            <w:pPr>
              <w:autoSpaceDE w:val="0"/>
              <w:autoSpaceDN w:val="0"/>
              <w:adjustRightInd w:val="0"/>
              <w:jc w:val="center"/>
              <w:rPr>
                <w:rFonts w:ascii="Arial" w:hAnsi="Arial" w:cs="Arial"/>
                <w:b/>
              </w:rPr>
            </w:pPr>
            <w:r w:rsidRPr="00323106">
              <w:rPr>
                <w:rFonts w:ascii="Arial" w:hAnsi="Arial" w:cs="Arial"/>
                <w:b/>
              </w:rPr>
              <w:lastRenderedPageBreak/>
              <w:t>végrehajtási mód</w:t>
            </w:r>
          </w:p>
        </w:tc>
        <w:tc>
          <w:tcPr>
            <w:tcW w:w="993" w:type="dxa"/>
            <w:shd w:val="clear" w:color="auto" w:fill="auto"/>
            <w:vAlign w:val="center"/>
          </w:tcPr>
          <w:p w:rsidR="00F409E3" w:rsidRPr="00323106" w:rsidRDefault="00F409E3" w:rsidP="00354A1C">
            <w:pPr>
              <w:autoSpaceDE w:val="0"/>
              <w:autoSpaceDN w:val="0"/>
              <w:adjustRightInd w:val="0"/>
              <w:jc w:val="center"/>
              <w:rPr>
                <w:rFonts w:ascii="Arial" w:hAnsi="Arial" w:cs="Arial"/>
                <w:b/>
              </w:rPr>
            </w:pPr>
            <w:r w:rsidRPr="00323106">
              <w:rPr>
                <w:rFonts w:ascii="Arial" w:hAnsi="Arial" w:cs="Arial"/>
                <w:b/>
              </w:rPr>
              <w:t>db</w:t>
            </w:r>
          </w:p>
        </w:tc>
        <w:tc>
          <w:tcPr>
            <w:tcW w:w="2693" w:type="dxa"/>
            <w:shd w:val="clear" w:color="auto" w:fill="auto"/>
            <w:vAlign w:val="center"/>
          </w:tcPr>
          <w:p w:rsidR="00F409E3" w:rsidRPr="00323106" w:rsidRDefault="00F409E3" w:rsidP="00354A1C">
            <w:pPr>
              <w:autoSpaceDE w:val="0"/>
              <w:autoSpaceDN w:val="0"/>
              <w:adjustRightInd w:val="0"/>
              <w:jc w:val="center"/>
              <w:rPr>
                <w:rFonts w:ascii="Arial" w:hAnsi="Arial" w:cs="Arial"/>
                <w:b/>
              </w:rPr>
            </w:pPr>
            <w:r w:rsidRPr="00323106">
              <w:rPr>
                <w:rFonts w:ascii="Arial" w:hAnsi="Arial" w:cs="Arial"/>
                <w:b/>
              </w:rPr>
              <w:t>végrehajtás összege</w:t>
            </w:r>
          </w:p>
        </w:tc>
        <w:tc>
          <w:tcPr>
            <w:tcW w:w="2266" w:type="dxa"/>
            <w:shd w:val="clear" w:color="auto" w:fill="auto"/>
            <w:vAlign w:val="center"/>
          </w:tcPr>
          <w:p w:rsidR="00F409E3" w:rsidRPr="00323106" w:rsidRDefault="00F409E3" w:rsidP="00354A1C">
            <w:pPr>
              <w:autoSpaceDE w:val="0"/>
              <w:autoSpaceDN w:val="0"/>
              <w:adjustRightInd w:val="0"/>
              <w:jc w:val="center"/>
              <w:rPr>
                <w:rFonts w:ascii="Arial" w:hAnsi="Arial" w:cs="Arial"/>
                <w:b/>
              </w:rPr>
            </w:pPr>
            <w:r w:rsidRPr="00323106">
              <w:rPr>
                <w:rFonts w:ascii="Arial" w:hAnsi="Arial" w:cs="Arial"/>
                <w:b/>
              </w:rPr>
              <w:t>befolyt összeg</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r w:rsidRPr="00323106">
              <w:rPr>
                <w:rFonts w:ascii="Arial" w:hAnsi="Arial" w:cs="Arial"/>
              </w:rPr>
              <w:t>hatósági átutalás</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rPr>
            </w:pPr>
            <w:r>
              <w:rPr>
                <w:rFonts w:ascii="Arial" w:hAnsi="Arial" w:cs="Arial"/>
              </w:rPr>
              <w:t>376</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38.463.104</w:t>
            </w:r>
            <w:r w:rsidRPr="001209C0">
              <w:rPr>
                <w:rFonts w:ascii="Arial" w:hAnsi="Arial" w:cs="Arial"/>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38.188.548</w:t>
            </w:r>
            <w:r w:rsidRPr="001209C0">
              <w:rPr>
                <w:rFonts w:ascii="Arial" w:hAnsi="Arial" w:cs="Arial"/>
              </w:rPr>
              <w:t xml:space="preserve">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r w:rsidRPr="00323106">
              <w:rPr>
                <w:rFonts w:ascii="Arial" w:hAnsi="Arial" w:cs="Arial"/>
              </w:rPr>
              <w:t>munkabér-nyugdíj letiltás</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rPr>
            </w:pPr>
            <w:r>
              <w:rPr>
                <w:rFonts w:ascii="Arial" w:hAnsi="Arial" w:cs="Arial"/>
              </w:rPr>
              <w:t>66</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3.249.338</w:t>
            </w:r>
            <w:r w:rsidRPr="001209C0">
              <w:rPr>
                <w:rFonts w:ascii="Arial" w:hAnsi="Arial" w:cs="Arial"/>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2.662.506</w:t>
            </w:r>
            <w:r w:rsidRPr="001209C0">
              <w:rPr>
                <w:rFonts w:ascii="Arial" w:hAnsi="Arial" w:cs="Arial"/>
              </w:rPr>
              <w:t xml:space="preserve">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r>
              <w:rPr>
                <w:rFonts w:ascii="Arial" w:hAnsi="Arial" w:cs="Arial"/>
              </w:rPr>
              <w:t>forgalomból való kivonás</w:t>
            </w:r>
          </w:p>
        </w:tc>
        <w:tc>
          <w:tcPr>
            <w:tcW w:w="993" w:type="dxa"/>
            <w:shd w:val="clear" w:color="auto" w:fill="auto"/>
            <w:vAlign w:val="center"/>
          </w:tcPr>
          <w:p w:rsidR="00F409E3" w:rsidRDefault="00F409E3" w:rsidP="00354A1C">
            <w:pPr>
              <w:autoSpaceDE w:val="0"/>
              <w:autoSpaceDN w:val="0"/>
              <w:adjustRightInd w:val="0"/>
              <w:spacing w:after="0"/>
              <w:jc w:val="center"/>
              <w:rPr>
                <w:rFonts w:ascii="Arial" w:hAnsi="Arial" w:cs="Arial"/>
              </w:rPr>
            </w:pPr>
            <w:r>
              <w:rPr>
                <w:rFonts w:ascii="Arial" w:hAnsi="Arial" w:cs="Arial"/>
              </w:rPr>
              <w:t>9</w:t>
            </w:r>
          </w:p>
        </w:tc>
        <w:tc>
          <w:tcPr>
            <w:tcW w:w="2693" w:type="dxa"/>
            <w:shd w:val="clear" w:color="auto" w:fill="auto"/>
            <w:vAlign w:val="center"/>
          </w:tcPr>
          <w:p w:rsidR="00F409E3" w:rsidRDefault="00F409E3" w:rsidP="00354A1C">
            <w:pPr>
              <w:autoSpaceDE w:val="0"/>
              <w:autoSpaceDN w:val="0"/>
              <w:adjustRightInd w:val="0"/>
              <w:spacing w:after="0"/>
              <w:jc w:val="right"/>
              <w:rPr>
                <w:rFonts w:ascii="Arial" w:hAnsi="Arial" w:cs="Arial"/>
              </w:rPr>
            </w:pPr>
            <w:r>
              <w:rPr>
                <w:rFonts w:ascii="Arial" w:hAnsi="Arial" w:cs="Arial"/>
              </w:rPr>
              <w:t>821.998 Ft</w:t>
            </w:r>
          </w:p>
        </w:tc>
        <w:tc>
          <w:tcPr>
            <w:tcW w:w="2266" w:type="dxa"/>
            <w:shd w:val="clear" w:color="auto" w:fill="auto"/>
            <w:vAlign w:val="center"/>
          </w:tcPr>
          <w:p w:rsidR="00F409E3" w:rsidRDefault="00F409E3" w:rsidP="00354A1C">
            <w:pPr>
              <w:autoSpaceDE w:val="0"/>
              <w:autoSpaceDN w:val="0"/>
              <w:adjustRightInd w:val="0"/>
              <w:spacing w:after="0"/>
              <w:jc w:val="right"/>
              <w:rPr>
                <w:rFonts w:ascii="Arial" w:hAnsi="Arial" w:cs="Arial"/>
              </w:rPr>
            </w:pPr>
            <w:r>
              <w:rPr>
                <w:rFonts w:ascii="Arial" w:hAnsi="Arial" w:cs="Arial"/>
              </w:rPr>
              <w:t>185.254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r>
              <w:rPr>
                <w:rFonts w:ascii="Arial" w:hAnsi="Arial" w:cs="Arial"/>
              </w:rPr>
              <w:t>átvezetés</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rPr>
            </w:pPr>
            <w:r>
              <w:rPr>
                <w:rFonts w:ascii="Arial" w:hAnsi="Arial" w:cs="Arial"/>
              </w:rPr>
              <w:t>1</w:t>
            </w:r>
            <w:r w:rsidRPr="001209C0">
              <w:rPr>
                <w:rFonts w:ascii="Arial" w:hAnsi="Arial" w:cs="Arial"/>
              </w:rPr>
              <w:t>7</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372.998</w:t>
            </w:r>
            <w:r w:rsidRPr="001209C0">
              <w:rPr>
                <w:rFonts w:ascii="Arial" w:hAnsi="Arial" w:cs="Arial"/>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372.998</w:t>
            </w:r>
            <w:r w:rsidRPr="001209C0">
              <w:rPr>
                <w:rFonts w:ascii="Arial" w:hAnsi="Arial" w:cs="Arial"/>
              </w:rPr>
              <w:t xml:space="preserve">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proofErr w:type="spellStart"/>
            <w:r>
              <w:rPr>
                <w:rFonts w:ascii="Arial" w:hAnsi="Arial" w:cs="Arial"/>
              </w:rPr>
              <w:t>Nav-nak</w:t>
            </w:r>
            <w:proofErr w:type="spellEnd"/>
            <w:r>
              <w:rPr>
                <w:rFonts w:ascii="Arial" w:hAnsi="Arial" w:cs="Arial"/>
              </w:rPr>
              <w:t xml:space="preserve"> átadva</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rPr>
            </w:pPr>
            <w:r>
              <w:rPr>
                <w:rFonts w:ascii="Arial" w:hAnsi="Arial" w:cs="Arial"/>
              </w:rPr>
              <w:t>20</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6.771.949</w:t>
            </w:r>
            <w:r w:rsidRPr="001209C0">
              <w:rPr>
                <w:rFonts w:ascii="Arial" w:hAnsi="Arial" w:cs="Arial"/>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sidRPr="001209C0">
              <w:rPr>
                <w:rFonts w:ascii="Arial" w:hAnsi="Arial" w:cs="Arial"/>
              </w:rPr>
              <w:t>0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b/>
              </w:rPr>
            </w:pPr>
            <w:r w:rsidRPr="00323106">
              <w:rPr>
                <w:rFonts w:ascii="Arial" w:hAnsi="Arial" w:cs="Arial"/>
                <w:b/>
              </w:rPr>
              <w:t>összesen</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b/>
              </w:rPr>
            </w:pPr>
            <w:r>
              <w:rPr>
                <w:rFonts w:ascii="Arial" w:hAnsi="Arial" w:cs="Arial"/>
                <w:b/>
              </w:rPr>
              <w:t>488</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b/>
              </w:rPr>
            </w:pPr>
            <w:r>
              <w:rPr>
                <w:rFonts w:ascii="Arial" w:hAnsi="Arial" w:cs="Arial"/>
                <w:b/>
              </w:rPr>
              <w:t>49.679.387</w:t>
            </w:r>
            <w:r w:rsidRPr="001209C0">
              <w:rPr>
                <w:rFonts w:ascii="Arial" w:hAnsi="Arial" w:cs="Arial"/>
                <w:b/>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b/>
              </w:rPr>
            </w:pPr>
            <w:r>
              <w:rPr>
                <w:rFonts w:ascii="Arial" w:hAnsi="Arial" w:cs="Arial"/>
                <w:b/>
              </w:rPr>
              <w:t>41.409.306</w:t>
            </w:r>
            <w:r w:rsidRPr="001209C0">
              <w:rPr>
                <w:rFonts w:ascii="Arial" w:hAnsi="Arial" w:cs="Arial"/>
                <w:b/>
              </w:rPr>
              <w:t xml:space="preserve"> Ft</w:t>
            </w:r>
          </w:p>
        </w:tc>
      </w:tr>
    </w:tbl>
    <w:p w:rsidR="00F409E3" w:rsidRDefault="00F409E3" w:rsidP="00F409E3">
      <w:pPr>
        <w:autoSpaceDE w:val="0"/>
        <w:autoSpaceDN w:val="0"/>
        <w:adjustRightInd w:val="0"/>
        <w:spacing w:after="0" w:line="240" w:lineRule="auto"/>
        <w:jc w:val="both"/>
        <w:rPr>
          <w:rFonts w:ascii="Arial" w:hAnsi="Arial" w:cs="Arial"/>
        </w:rPr>
      </w:pPr>
    </w:p>
    <w:p w:rsidR="00F409E3" w:rsidRPr="00A9448E" w:rsidRDefault="00F409E3" w:rsidP="00F409E3">
      <w:pPr>
        <w:autoSpaceDE w:val="0"/>
        <w:autoSpaceDN w:val="0"/>
        <w:adjustRightInd w:val="0"/>
        <w:spacing w:after="0"/>
        <w:jc w:val="both"/>
        <w:rPr>
          <w:rFonts w:ascii="Arial" w:hAnsi="Arial" w:cs="Arial"/>
        </w:rPr>
      </w:pPr>
      <w:r w:rsidRPr="00A9448E">
        <w:rPr>
          <w:rFonts w:ascii="Arial" w:hAnsi="Arial" w:cs="Arial"/>
        </w:rPr>
        <w:t xml:space="preserve">Megjegyzés: A törvény az adós jövedelmének 33%-át </w:t>
      </w:r>
      <w:r w:rsidRPr="00A9448E">
        <w:rPr>
          <w:rFonts w:ascii="Arial" w:hAnsi="Arial" w:cs="Arial"/>
          <w:bCs/>
        </w:rPr>
        <w:t>vonhatja le, ezért akár egy adósnak több éven keresztül is vonják munkabéréből, nyugdíjából tartozását.</w:t>
      </w:r>
    </w:p>
    <w:p w:rsidR="00F409E3" w:rsidRPr="00A9448E" w:rsidRDefault="00F409E3" w:rsidP="00F409E3">
      <w:pPr>
        <w:autoSpaceDE w:val="0"/>
        <w:autoSpaceDN w:val="0"/>
        <w:adjustRightInd w:val="0"/>
        <w:spacing w:after="0"/>
        <w:jc w:val="both"/>
        <w:rPr>
          <w:rFonts w:ascii="Arial" w:hAnsi="Arial" w:cs="Arial"/>
        </w:rPr>
      </w:pPr>
    </w:p>
    <w:p w:rsidR="004C125B" w:rsidRDefault="00F409E3" w:rsidP="00F409E3">
      <w:pPr>
        <w:autoSpaceDE w:val="0"/>
        <w:autoSpaceDN w:val="0"/>
        <w:adjustRightInd w:val="0"/>
        <w:spacing w:after="0"/>
        <w:jc w:val="both"/>
        <w:rPr>
          <w:rFonts w:ascii="Arial" w:hAnsi="Arial" w:cs="Arial"/>
        </w:rPr>
      </w:pPr>
      <w:r>
        <w:rPr>
          <w:rFonts w:ascii="Arial" w:hAnsi="Arial" w:cs="Arial"/>
        </w:rPr>
        <w:t>A Zala Megyei Nemzeti Adó- és Vámhivatalt az önkormányzati adóhatóság megkeresheti az őt megillető adótartozások behajtása érdekében a</w:t>
      </w:r>
      <w:r w:rsidRPr="00AB5623">
        <w:rPr>
          <w:rFonts w:ascii="Arial" w:hAnsi="Arial" w:cs="Arial"/>
        </w:rPr>
        <w:t xml:space="preserve">z Art. </w:t>
      </w:r>
      <w:r>
        <w:rPr>
          <w:rFonts w:ascii="Arial" w:hAnsi="Arial" w:cs="Arial"/>
        </w:rPr>
        <w:t>146. § (3) bekezdése és 161/A. § alapján</w:t>
      </w:r>
      <w:r w:rsidRPr="00FF52ED">
        <w:rPr>
          <w:rFonts w:ascii="Arial" w:hAnsi="Arial" w:cs="Arial"/>
        </w:rPr>
        <w:t xml:space="preserve"> </w:t>
      </w:r>
      <w:r>
        <w:rPr>
          <w:rFonts w:ascii="Arial" w:hAnsi="Arial" w:cs="Arial"/>
        </w:rPr>
        <w:t>az adózóra illetékes állami adóhatóságot.  A megkeresésünk visszaigazolását követően, az állami adóhatóság végrehajtási eljárása még nem teljesült.</w:t>
      </w:r>
    </w:p>
    <w:p w:rsidR="00F409E3" w:rsidRDefault="004C125B" w:rsidP="00F409E3">
      <w:pPr>
        <w:autoSpaceDE w:val="0"/>
        <w:autoSpaceDN w:val="0"/>
        <w:adjustRightInd w:val="0"/>
        <w:spacing w:after="0"/>
        <w:jc w:val="both"/>
        <w:rPr>
          <w:rFonts w:ascii="Arial" w:hAnsi="Arial" w:cs="Arial"/>
        </w:rPr>
      </w:pPr>
      <w:r>
        <w:rPr>
          <w:rFonts w:ascii="Arial" w:hAnsi="Arial" w:cs="Arial"/>
        </w:rPr>
        <w:t xml:space="preserve">2015. </w:t>
      </w:r>
      <w:r w:rsidR="00F409E3">
        <w:rPr>
          <w:rFonts w:ascii="Arial" w:hAnsi="Arial" w:cs="Arial"/>
        </w:rPr>
        <w:t>évben a végrehajtási eljárások alkalmával minden esetben a végrehajtási költség (5.000 Ft) is előírás</w:t>
      </w:r>
      <w:r w:rsidR="009D3137">
        <w:rPr>
          <w:rFonts w:ascii="Arial" w:hAnsi="Arial" w:cs="Arial"/>
        </w:rPr>
        <w:t>ra került, ez összesen 995.000</w:t>
      </w:r>
      <w:r w:rsidR="00F409E3">
        <w:rPr>
          <w:rFonts w:ascii="Arial" w:hAnsi="Arial" w:cs="Arial"/>
        </w:rPr>
        <w:t xml:space="preserve"> Ft bevételt jelent.</w:t>
      </w:r>
    </w:p>
    <w:p w:rsidR="00F409E3" w:rsidRDefault="00F409E3" w:rsidP="00F409E3">
      <w:pPr>
        <w:autoSpaceDE w:val="0"/>
        <w:autoSpaceDN w:val="0"/>
        <w:adjustRightInd w:val="0"/>
        <w:spacing w:after="0"/>
        <w:jc w:val="both"/>
        <w:rPr>
          <w:rFonts w:ascii="Arial" w:hAnsi="Arial" w:cs="Arial"/>
        </w:rPr>
      </w:pPr>
    </w:p>
    <w:p w:rsidR="00F409E3" w:rsidRPr="004C125B" w:rsidRDefault="00F409E3" w:rsidP="00F409E3">
      <w:pPr>
        <w:autoSpaceDE w:val="0"/>
        <w:autoSpaceDN w:val="0"/>
        <w:adjustRightInd w:val="0"/>
        <w:spacing w:after="0"/>
        <w:jc w:val="both"/>
        <w:rPr>
          <w:rFonts w:ascii="Arial" w:hAnsi="Arial" w:cs="Arial"/>
        </w:rPr>
      </w:pPr>
      <w:r w:rsidRPr="004C125B">
        <w:rPr>
          <w:rFonts w:ascii="Arial" w:hAnsi="Arial" w:cs="Arial"/>
        </w:rPr>
        <w:t>A hátralékok csökkentésére a tavalyi év során a késedelmi pótlék megfizetésére 705 db felhívást küldtünk, 2.905.902</w:t>
      </w:r>
      <w:r w:rsidR="009D3137">
        <w:rPr>
          <w:rFonts w:ascii="Arial" w:hAnsi="Arial" w:cs="Arial"/>
        </w:rPr>
        <w:t xml:space="preserve"> </w:t>
      </w:r>
      <w:r w:rsidRPr="004C125B">
        <w:rPr>
          <w:rFonts w:ascii="Arial" w:hAnsi="Arial" w:cs="Arial"/>
        </w:rPr>
        <w:t xml:space="preserve">Ft összegre. A pótlékok behajtása a végrehajtási eljárás során is mindig megnevezésre került. </w:t>
      </w:r>
    </w:p>
    <w:p w:rsidR="00F409E3" w:rsidRPr="00C1382E" w:rsidRDefault="00F409E3" w:rsidP="00F409E3">
      <w:pPr>
        <w:numPr>
          <w:ilvl w:val="0"/>
          <w:numId w:val="34"/>
        </w:numPr>
        <w:spacing w:before="240" w:after="240"/>
        <w:ind w:left="426" w:hanging="426"/>
        <w:jc w:val="both"/>
        <w:rPr>
          <w:rFonts w:ascii="Arial" w:hAnsi="Arial" w:cs="Arial"/>
          <w:b/>
        </w:rPr>
      </w:pPr>
      <w:r w:rsidRPr="0039063E">
        <w:rPr>
          <w:rFonts w:ascii="Arial" w:hAnsi="Arial" w:cs="Arial"/>
          <w:b/>
        </w:rPr>
        <w:t xml:space="preserve"> </w:t>
      </w:r>
      <w:r w:rsidRPr="00C1382E">
        <w:rPr>
          <w:rFonts w:ascii="Arial" w:hAnsi="Arial" w:cs="Arial"/>
          <w:b/>
        </w:rPr>
        <w:t>Fizetési könnyítéses eljárások</w:t>
      </w:r>
    </w:p>
    <w:p w:rsidR="00F409E3" w:rsidRPr="00C1382E" w:rsidRDefault="00F409E3" w:rsidP="00F409E3">
      <w:pPr>
        <w:spacing w:after="120"/>
        <w:jc w:val="both"/>
        <w:rPr>
          <w:rFonts w:ascii="Arial" w:hAnsi="Arial" w:cs="Arial"/>
        </w:rPr>
      </w:pPr>
      <w:r w:rsidRPr="00C1382E">
        <w:rPr>
          <w:rFonts w:ascii="Arial" w:hAnsi="Arial" w:cs="Arial"/>
        </w:rPr>
        <w:t xml:space="preserve">Magánszemélyektől 2015-ben </w:t>
      </w:r>
      <w:r>
        <w:rPr>
          <w:rFonts w:ascii="Arial" w:hAnsi="Arial" w:cs="Arial"/>
        </w:rPr>
        <w:t>8</w:t>
      </w:r>
      <w:r w:rsidRPr="00C1382E">
        <w:rPr>
          <w:rFonts w:ascii="Arial" w:hAnsi="Arial" w:cs="Arial"/>
        </w:rPr>
        <w:t xml:space="preserve"> db fizetési könnyítésre, illetve adómérséklésre irányuló kérelem érkezett adóhatóságunkhoz. Adómérséklést </w:t>
      </w:r>
      <w:r>
        <w:rPr>
          <w:rFonts w:ascii="Arial" w:hAnsi="Arial" w:cs="Arial"/>
        </w:rPr>
        <w:t>391</w:t>
      </w:r>
      <w:r w:rsidRPr="00C1382E">
        <w:rPr>
          <w:rFonts w:ascii="Arial" w:hAnsi="Arial" w:cs="Arial"/>
        </w:rPr>
        <w:t xml:space="preserve"> e Ft összegben engedélyeztünk, egy elutasításra került, mivel a törvényi feltételeknek nem felelt meg. </w:t>
      </w:r>
    </w:p>
    <w:p w:rsidR="00F409E3" w:rsidRPr="0039063E" w:rsidRDefault="00F409E3" w:rsidP="00F409E3">
      <w:pPr>
        <w:jc w:val="both"/>
        <w:rPr>
          <w:rFonts w:ascii="Arial" w:hAnsi="Arial" w:cs="Arial"/>
        </w:rPr>
      </w:pPr>
      <w:r w:rsidRPr="00C1382E">
        <w:rPr>
          <w:rFonts w:ascii="Arial" w:hAnsi="Arial" w:cs="Arial"/>
        </w:rPr>
        <w:t>Gazdasági társaság fizetési halasztás öt esetben kért, két esetben elutasítottuk a kérelmet, mivel törvényi feltételeknek nem feleltek meg, a másik három esetben fizetési halasztást engedélyeztük. A kérelmek elbírálásánál következetesen érvényesíteni szándékoztunk azt az elvet, hogy a fizetési könnyítés nem az adózók likviditási gondjainak rendszeres könnyítésének lehetősége, hanem rendkívüli, egyedi, végleges megoldás a fizetési nehézségbe került adósnak.</w:t>
      </w:r>
    </w:p>
    <w:p w:rsidR="00F409E3" w:rsidRPr="00FB0978" w:rsidRDefault="00F409E3" w:rsidP="00F409E3">
      <w:pPr>
        <w:spacing w:before="360" w:after="240"/>
        <w:jc w:val="both"/>
        <w:rPr>
          <w:rFonts w:ascii="Arial" w:hAnsi="Arial" w:cs="Arial"/>
          <w:b/>
        </w:rPr>
      </w:pPr>
      <w:r>
        <w:rPr>
          <w:rFonts w:ascii="Arial" w:hAnsi="Arial" w:cs="Arial"/>
          <w:b/>
        </w:rPr>
        <w:t>6</w:t>
      </w:r>
      <w:r w:rsidRPr="00FB0978">
        <w:rPr>
          <w:rFonts w:ascii="Arial" w:hAnsi="Arial" w:cs="Arial"/>
          <w:b/>
        </w:rPr>
        <w:t>. 2</w:t>
      </w:r>
      <w:r>
        <w:rPr>
          <w:rFonts w:ascii="Arial" w:hAnsi="Arial" w:cs="Arial"/>
          <w:b/>
        </w:rPr>
        <w:t>015</w:t>
      </w:r>
      <w:r w:rsidRPr="00FB0978">
        <w:rPr>
          <w:rFonts w:ascii="Arial" w:hAnsi="Arial" w:cs="Arial"/>
          <w:b/>
        </w:rPr>
        <w:t xml:space="preserve">-es ellenőrzési tevékenység helyi adók vonatkozásában </w:t>
      </w:r>
    </w:p>
    <w:p w:rsidR="00F409E3" w:rsidRPr="000F753F" w:rsidRDefault="00F409E3" w:rsidP="00F409E3">
      <w:pPr>
        <w:spacing w:after="120"/>
        <w:jc w:val="both"/>
        <w:rPr>
          <w:rFonts w:ascii="Arial" w:hAnsi="Arial" w:cs="Arial"/>
        </w:rPr>
      </w:pPr>
      <w:r w:rsidRPr="00FB0978">
        <w:rPr>
          <w:rFonts w:ascii="Arial" w:hAnsi="Arial" w:cs="Arial"/>
        </w:rPr>
        <w:t>Az Art. 86. §</w:t>
      </w:r>
      <w:proofErr w:type="spellStart"/>
      <w:r w:rsidRPr="00FB0978">
        <w:rPr>
          <w:rFonts w:ascii="Arial" w:hAnsi="Arial" w:cs="Arial"/>
        </w:rPr>
        <w:t>-a</w:t>
      </w:r>
      <w:proofErr w:type="spellEnd"/>
      <w:r w:rsidRPr="00FB0978">
        <w:rPr>
          <w:rFonts w:ascii="Arial" w:hAnsi="Arial" w:cs="Arial"/>
        </w:rPr>
        <w:t xml:space="preserve"> szerint az adóhatóság az adóbevétel megrövidítésének, a költségvetési támogatás, adó-visszaigénylés jogosulatlan igénybevételének megakadályozása érdekében rendszeresen ellenőrzi azokat az adózókat és az adózásban részt vevő más személyeket.</w:t>
      </w:r>
      <w:r w:rsidRPr="000F753F">
        <w:rPr>
          <w:rFonts w:ascii="Arial" w:hAnsi="Arial" w:cs="Arial"/>
        </w:rPr>
        <w:t xml:space="preserve"> </w:t>
      </w:r>
    </w:p>
    <w:p w:rsidR="00F409E3" w:rsidRPr="002D2D27" w:rsidRDefault="00F409E3" w:rsidP="00F409E3">
      <w:pPr>
        <w:spacing w:after="120"/>
        <w:jc w:val="both"/>
        <w:rPr>
          <w:rFonts w:ascii="Arial" w:hAnsi="Arial" w:cs="Arial"/>
        </w:rPr>
      </w:pPr>
      <w:r w:rsidRPr="000F753F">
        <w:rPr>
          <w:rFonts w:ascii="Arial" w:hAnsi="Arial" w:cs="Arial"/>
        </w:rPr>
        <w:t>Az ellenőrzés célja az adótörvényekben és más jogszabályokban előírt kötelezettségek teljesítésének vagy megsértésének megállapítása</w:t>
      </w:r>
      <w:r w:rsidRPr="002D2D27">
        <w:rPr>
          <w:rFonts w:ascii="Arial" w:hAnsi="Arial" w:cs="Arial"/>
        </w:rPr>
        <w:t>. Az ellenőrzés során az adóhatóság feltárja és bizonyítja azokat a tényeket, körülményeket, adatokat, amelyek megalapozzák a jogsértés és a joggal való visszaélés megállapítását, és az ezek miatt indított hatósági eljárást.</w:t>
      </w:r>
    </w:p>
    <w:p w:rsidR="00F409E3" w:rsidRPr="004F6731" w:rsidRDefault="00F409E3" w:rsidP="00F409E3">
      <w:pPr>
        <w:spacing w:before="240" w:after="240"/>
        <w:jc w:val="both"/>
        <w:rPr>
          <w:rFonts w:ascii="Arial" w:hAnsi="Arial" w:cs="Arial"/>
          <w:highlight w:val="yellow"/>
        </w:rPr>
      </w:pPr>
      <w:r w:rsidRPr="002D2D27">
        <w:rPr>
          <w:rFonts w:ascii="Arial" w:hAnsi="Arial" w:cs="Arial"/>
        </w:rPr>
        <w:t xml:space="preserve">A helyi adók szempontjából az ellenőrzés az adókötelezettségek teljesítését az egyes kötelezettségek teljesítését vagy elmulasztását hivatott kontrollálni, szükség esetén </w:t>
      </w:r>
      <w:r w:rsidRPr="004F6731">
        <w:rPr>
          <w:rFonts w:ascii="Arial" w:hAnsi="Arial" w:cs="Arial"/>
        </w:rPr>
        <w:t>szankcionálni.</w:t>
      </w:r>
    </w:p>
    <w:p w:rsidR="00F409E3" w:rsidRDefault="00F409E3" w:rsidP="00F409E3">
      <w:pPr>
        <w:spacing w:before="240" w:after="240"/>
        <w:jc w:val="both"/>
        <w:rPr>
          <w:rFonts w:ascii="Arial" w:hAnsi="Arial" w:cs="Arial"/>
        </w:rPr>
      </w:pPr>
      <w:r w:rsidRPr="004F6731">
        <w:rPr>
          <w:rFonts w:ascii="Arial" w:hAnsi="Arial" w:cs="Arial"/>
        </w:rPr>
        <w:t xml:space="preserve">Megjegyzem az Art. alapján ellenőrzésnek nem minősülő több olyan cselekményt foganatosított hatóságunk – felhívások, tájékoztatások </w:t>
      </w:r>
      <w:proofErr w:type="spellStart"/>
      <w:r w:rsidRPr="004F6731">
        <w:rPr>
          <w:rFonts w:ascii="Arial" w:hAnsi="Arial" w:cs="Arial"/>
        </w:rPr>
        <w:t>ifa</w:t>
      </w:r>
      <w:proofErr w:type="spellEnd"/>
      <w:r w:rsidRPr="004F6731">
        <w:rPr>
          <w:rFonts w:ascii="Arial" w:hAnsi="Arial" w:cs="Arial"/>
        </w:rPr>
        <w:t xml:space="preserve"> befizetésre, </w:t>
      </w:r>
      <w:proofErr w:type="spellStart"/>
      <w:r w:rsidRPr="004F6731">
        <w:rPr>
          <w:rFonts w:ascii="Arial" w:hAnsi="Arial" w:cs="Arial"/>
        </w:rPr>
        <w:t>ifa</w:t>
      </w:r>
      <w:proofErr w:type="spellEnd"/>
      <w:r w:rsidRPr="004F6731">
        <w:rPr>
          <w:rFonts w:ascii="Arial" w:hAnsi="Arial" w:cs="Arial"/>
        </w:rPr>
        <w:t xml:space="preserve"> bevallást elmulasztók felhívása és </w:t>
      </w:r>
      <w:r w:rsidRPr="004F6731">
        <w:rPr>
          <w:rFonts w:ascii="Arial" w:hAnsi="Arial" w:cs="Arial"/>
        </w:rPr>
        <w:lastRenderedPageBreak/>
        <w:t xml:space="preserve">szankcionálása, </w:t>
      </w:r>
      <w:proofErr w:type="spellStart"/>
      <w:r w:rsidRPr="004F6731">
        <w:rPr>
          <w:rFonts w:ascii="Arial" w:hAnsi="Arial" w:cs="Arial"/>
        </w:rPr>
        <w:t>ifa</w:t>
      </w:r>
      <w:proofErr w:type="spellEnd"/>
      <w:r w:rsidRPr="004F6731">
        <w:rPr>
          <w:rFonts w:ascii="Arial" w:hAnsi="Arial" w:cs="Arial"/>
        </w:rPr>
        <w:t xml:space="preserve"> feltöltési kötelezettségre felhívás kiküldése, amelyek nagyban hozzájárultak költségvetési bevételeink növeléséhez.</w:t>
      </w:r>
    </w:p>
    <w:p w:rsidR="00F409E3" w:rsidRDefault="00F409E3" w:rsidP="00F409E3">
      <w:pPr>
        <w:spacing w:after="0"/>
        <w:jc w:val="both"/>
        <w:rPr>
          <w:rFonts w:ascii="Arial" w:hAnsi="Arial" w:cs="Arial"/>
          <w:szCs w:val="24"/>
        </w:rPr>
      </w:pPr>
      <w:r w:rsidRPr="009968C6">
        <w:rPr>
          <w:rFonts w:ascii="Arial" w:hAnsi="Arial" w:cs="Arial"/>
          <w:szCs w:val="24"/>
        </w:rPr>
        <w:t>Az adóellenőrzés az adóigazgatási tevékenység legnehezebb feladata, az eredményes és hatékony ellenőrzéshez megfelelő szaktudással és tapasztalattal re</w:t>
      </w:r>
      <w:r>
        <w:rPr>
          <w:rFonts w:ascii="Arial" w:hAnsi="Arial" w:cs="Arial"/>
          <w:szCs w:val="24"/>
        </w:rPr>
        <w:t>ndelkező dolgozókra van szükség, ellenőri feladatot a dolgozók a hatósági munka mellett - az idegenforgalmi adó kivételével - munkaterületük vonatkozásában láttak el.</w:t>
      </w:r>
    </w:p>
    <w:p w:rsidR="00F409E3" w:rsidRDefault="00F409E3" w:rsidP="00F409E3">
      <w:pPr>
        <w:spacing w:after="0"/>
        <w:jc w:val="both"/>
        <w:rPr>
          <w:rFonts w:ascii="Arial" w:hAnsi="Arial" w:cs="Arial"/>
          <w:szCs w:val="24"/>
        </w:rPr>
      </w:pPr>
    </w:p>
    <w:p w:rsidR="00F409E3" w:rsidRPr="00996C49" w:rsidRDefault="00F409E3" w:rsidP="00F409E3">
      <w:pPr>
        <w:spacing w:before="240" w:after="240"/>
        <w:jc w:val="both"/>
        <w:rPr>
          <w:rFonts w:ascii="Arial" w:hAnsi="Arial" w:cs="Arial"/>
          <w:b/>
        </w:rPr>
      </w:pPr>
      <w:r>
        <w:rPr>
          <w:rFonts w:ascii="Arial" w:hAnsi="Arial" w:cs="Arial"/>
          <w:b/>
        </w:rPr>
        <w:t>6</w:t>
      </w:r>
      <w:r w:rsidRPr="00996C49">
        <w:rPr>
          <w:rFonts w:ascii="Arial" w:hAnsi="Arial" w:cs="Arial"/>
          <w:b/>
        </w:rPr>
        <w:t>.1. Építményadó ellenőrzés</w:t>
      </w:r>
    </w:p>
    <w:p w:rsidR="00F409E3" w:rsidRPr="004C125B" w:rsidRDefault="00F409E3" w:rsidP="00F409E3">
      <w:pPr>
        <w:spacing w:after="120"/>
        <w:jc w:val="both"/>
        <w:rPr>
          <w:rFonts w:ascii="Arial" w:hAnsi="Arial" w:cs="Arial"/>
        </w:rPr>
      </w:pPr>
      <w:r w:rsidRPr="004C125B">
        <w:rPr>
          <w:rFonts w:ascii="Arial" w:hAnsi="Arial" w:cs="Arial"/>
        </w:rPr>
        <w:t>Az építményadó ellenőrzések az adó-feldolgozást végző ügyintéző által kerülnek lefolytatásra. 13 db ellenőrzési eljárás indult, mely 36 db ingatlant érintett, jellemzően olyan esetekben, ahol a nyilvántartásokból megállapítható adóalany a bevallási kötelezettségét elmulasztotta illetve a nyilvántartásban lévő és a tényleges adatok között eltérés volt tapasztalható. Az ellenőrzések alapján az adó-nyilvántartásokban szereplő elavult adóalanyi, adóztatási információk javításra kerültek.</w:t>
      </w:r>
    </w:p>
    <w:p w:rsidR="00F409E3" w:rsidRPr="00D4302A" w:rsidRDefault="00F409E3" w:rsidP="00F409E3">
      <w:pPr>
        <w:spacing w:after="120"/>
        <w:jc w:val="both"/>
        <w:rPr>
          <w:rFonts w:ascii="Arial" w:hAnsi="Arial" w:cs="Arial"/>
          <w:i/>
          <w:color w:val="C00000"/>
        </w:rPr>
      </w:pPr>
      <w:r w:rsidRPr="004C125B">
        <w:rPr>
          <w:rFonts w:ascii="Arial" w:hAnsi="Arial" w:cs="Arial"/>
        </w:rPr>
        <w:t xml:space="preserve">A benyújtott bevallások és a saját nyilvántartásban lévő adatok eltérése esetén az ügyintéző helyszíni szemle során lézeres mérőműszer segítségével felméri az ingatlan hasznos alapterületét, ezzel segítve az ingatlantulajdonost a pontos bevallás megtétele érdekében. </w:t>
      </w:r>
    </w:p>
    <w:p w:rsidR="00F409E3" w:rsidRPr="00FB0978" w:rsidRDefault="00F409E3" w:rsidP="00F409E3">
      <w:pPr>
        <w:spacing w:after="0"/>
        <w:jc w:val="both"/>
        <w:rPr>
          <w:rFonts w:ascii="Arial" w:hAnsi="Arial" w:cs="Arial"/>
        </w:rPr>
      </w:pPr>
      <w:r w:rsidRPr="00FB0978">
        <w:rPr>
          <w:rFonts w:ascii="Arial" w:hAnsi="Arial" w:cs="Arial"/>
        </w:rPr>
        <w:t>A tényleges értékek meghatározásához a Földhivatal által ingyenesen megküldendő nyilvántartás feldolgozása is szükséges lenne.</w:t>
      </w:r>
      <w:r w:rsidRPr="00854726">
        <w:rPr>
          <w:rFonts w:ascii="Arial" w:hAnsi="Arial" w:cs="Arial"/>
          <w:color w:val="0070C0"/>
        </w:rPr>
        <w:t xml:space="preserve"> </w:t>
      </w:r>
      <w:r w:rsidR="00854726" w:rsidRPr="005628C3">
        <w:rPr>
          <w:rFonts w:ascii="Arial" w:hAnsi="Arial" w:cs="Arial"/>
        </w:rPr>
        <w:t xml:space="preserve">A nyilvántartást már korábban megigényeltük, a rendelkezésre álló Földhivatali kapacitások miatt még várni kell a teljesítését. </w:t>
      </w:r>
      <w:r w:rsidRPr="00FB0978">
        <w:rPr>
          <w:rFonts w:ascii="Arial" w:hAnsi="Arial" w:cs="Arial"/>
        </w:rPr>
        <w:t>(belterületi, zártkerti és külterületi ingatlanok vizsgálata az adókötelezettség szempontjából)</w:t>
      </w:r>
    </w:p>
    <w:p w:rsidR="00F409E3" w:rsidRPr="00FB0978" w:rsidRDefault="00F409E3" w:rsidP="00F409E3">
      <w:pPr>
        <w:spacing w:after="0"/>
        <w:jc w:val="both"/>
        <w:rPr>
          <w:rFonts w:ascii="Arial" w:hAnsi="Arial" w:cs="Arial"/>
        </w:rPr>
      </w:pPr>
      <w:r w:rsidRPr="00FB0978">
        <w:rPr>
          <w:rFonts w:ascii="Arial" w:hAnsi="Arial" w:cs="Arial"/>
        </w:rPr>
        <w:t>A helyi adó nyilvántartás a korábbi években alkalmazott rögzítések miatt nem teljesen pontos adatokat szolgáltat. A nyilvántartás korrigálása folyamatosan történik.</w:t>
      </w:r>
    </w:p>
    <w:p w:rsidR="00F409E3" w:rsidRDefault="00F409E3" w:rsidP="00F409E3">
      <w:pPr>
        <w:spacing w:after="0"/>
        <w:rPr>
          <w:rFonts w:ascii="Arial" w:hAnsi="Arial" w:cs="Arial"/>
          <w:b/>
        </w:rPr>
      </w:pPr>
    </w:p>
    <w:p w:rsidR="00F409E3" w:rsidRPr="00FB0978" w:rsidRDefault="00F409E3" w:rsidP="00F409E3">
      <w:pPr>
        <w:spacing w:after="0" w:line="240" w:lineRule="auto"/>
        <w:rPr>
          <w:rFonts w:ascii="Arial" w:hAnsi="Arial" w:cs="Arial"/>
          <w:b/>
        </w:rPr>
      </w:pPr>
      <w:r>
        <w:rPr>
          <w:rFonts w:ascii="Arial" w:hAnsi="Arial" w:cs="Arial"/>
          <w:b/>
        </w:rPr>
        <w:t xml:space="preserve">6.2. </w:t>
      </w:r>
      <w:r w:rsidRPr="00FB0978">
        <w:rPr>
          <w:rFonts w:ascii="Arial" w:hAnsi="Arial" w:cs="Arial"/>
          <w:b/>
        </w:rPr>
        <w:t>Idegenforgalmi adóellenőrzés</w:t>
      </w:r>
    </w:p>
    <w:p w:rsidR="00F409E3" w:rsidRPr="00FB0978" w:rsidRDefault="00F409E3" w:rsidP="00F409E3">
      <w:pPr>
        <w:spacing w:after="0" w:line="240" w:lineRule="auto"/>
        <w:jc w:val="both"/>
        <w:rPr>
          <w:rFonts w:ascii="Arial" w:hAnsi="Arial" w:cs="Arial"/>
        </w:rPr>
      </w:pPr>
    </w:p>
    <w:p w:rsidR="00F409E3" w:rsidRPr="00694C7A" w:rsidRDefault="00F409E3" w:rsidP="00F409E3">
      <w:pPr>
        <w:spacing w:after="0"/>
        <w:jc w:val="both"/>
        <w:rPr>
          <w:rFonts w:ascii="Arial" w:hAnsi="Arial" w:cs="Arial"/>
        </w:rPr>
      </w:pPr>
      <w:r w:rsidRPr="009968C6">
        <w:rPr>
          <w:rFonts w:ascii="Arial" w:hAnsi="Arial" w:cs="Arial"/>
        </w:rPr>
        <w:t xml:space="preserve">2015. évben </w:t>
      </w:r>
      <w:r>
        <w:rPr>
          <w:rFonts w:ascii="Arial" w:hAnsi="Arial" w:cs="Arial"/>
        </w:rPr>
        <w:t xml:space="preserve">kiemelt </w:t>
      </w:r>
      <w:r w:rsidRPr="009968C6">
        <w:rPr>
          <w:rFonts w:ascii="Arial" w:hAnsi="Arial" w:cs="Arial"/>
          <w:szCs w:val="24"/>
        </w:rPr>
        <w:t>szerepet kapott az idegenforgalmi adókötelezettségek teljesítésének ellenőrzése.</w:t>
      </w:r>
      <w:r>
        <w:rPr>
          <w:szCs w:val="24"/>
        </w:rPr>
        <w:t xml:space="preserve"> </w:t>
      </w:r>
      <w:r w:rsidR="00B659B1">
        <w:rPr>
          <w:rFonts w:ascii="Arial" w:hAnsi="Arial" w:cs="Arial"/>
          <w:szCs w:val="24"/>
        </w:rPr>
        <w:t xml:space="preserve">A 210 idegenforgalmi ellenőrzésből </w:t>
      </w:r>
      <w:r w:rsidRPr="003B0E0D">
        <w:rPr>
          <w:rFonts w:ascii="Arial" w:hAnsi="Arial" w:cs="Arial"/>
        </w:rPr>
        <w:t xml:space="preserve">205 alkalommal történt </w:t>
      </w:r>
      <w:r w:rsidRPr="009D3137">
        <w:rPr>
          <w:rFonts w:ascii="Arial" w:hAnsi="Arial" w:cs="Arial"/>
        </w:rPr>
        <w:t xml:space="preserve">idegenforgalmi adókötelezettség teljesítésének </w:t>
      </w:r>
      <w:r w:rsidRPr="0050344A">
        <w:rPr>
          <w:rFonts w:ascii="Arial" w:hAnsi="Arial" w:cs="Arial"/>
          <w:i/>
          <w:u w:val="single"/>
        </w:rPr>
        <w:t>helyszíni ellenőrzés</w:t>
      </w:r>
      <w:r w:rsidRPr="009D3137">
        <w:rPr>
          <w:rFonts w:ascii="Arial" w:hAnsi="Arial" w:cs="Arial"/>
        </w:rPr>
        <w:t>e,</w:t>
      </w:r>
      <w:r w:rsidRPr="003B0E0D">
        <w:rPr>
          <w:rFonts w:ascii="Arial" w:hAnsi="Arial" w:cs="Arial"/>
        </w:rPr>
        <w:t xml:space="preserve"> ebből 24</w:t>
      </w:r>
      <w:r w:rsidRPr="00FB0978">
        <w:rPr>
          <w:rFonts w:ascii="Arial" w:hAnsi="Arial" w:cs="Arial"/>
        </w:rPr>
        <w:t xml:space="preserve"> esetben jogszabálysértés került megállapításra. Az alábbi táblázat szemlélteti a kereskedelmi és egyéb</w:t>
      </w:r>
      <w:r w:rsidRPr="00694C7A">
        <w:rPr>
          <w:rFonts w:ascii="Arial" w:hAnsi="Arial" w:cs="Arial"/>
        </w:rPr>
        <w:t xml:space="preserve"> szálláshelyek ellenőrzéseinek </w:t>
      </w:r>
      <w:r>
        <w:rPr>
          <w:rFonts w:ascii="Arial" w:hAnsi="Arial" w:cs="Arial"/>
        </w:rPr>
        <w:t>megoszlását.</w:t>
      </w:r>
    </w:p>
    <w:p w:rsidR="00F409E3" w:rsidRDefault="00F409E3" w:rsidP="00F409E3">
      <w:pPr>
        <w:spacing w:after="0"/>
        <w:jc w:val="center"/>
        <w:rPr>
          <w:rFonts w:ascii="Arial" w:hAnsi="Arial" w:cs="Arial"/>
        </w:rPr>
      </w:pPr>
    </w:p>
    <w:tbl>
      <w:tblPr>
        <w:tblW w:w="8620" w:type="dxa"/>
        <w:jc w:val="center"/>
        <w:tblCellMar>
          <w:left w:w="70" w:type="dxa"/>
          <w:right w:w="70" w:type="dxa"/>
        </w:tblCellMar>
        <w:tblLook w:val="04A0" w:firstRow="1" w:lastRow="0" w:firstColumn="1" w:lastColumn="0" w:noHBand="0" w:noVBand="1"/>
      </w:tblPr>
      <w:tblGrid>
        <w:gridCol w:w="3060"/>
        <w:gridCol w:w="1720"/>
        <w:gridCol w:w="1660"/>
        <w:gridCol w:w="2180"/>
      </w:tblGrid>
      <w:tr w:rsidR="00F409E3" w:rsidRPr="00F86074" w:rsidTr="00354A1C">
        <w:trPr>
          <w:trHeight w:val="968"/>
          <w:jc w:val="center"/>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9E3" w:rsidRPr="00F86074" w:rsidRDefault="00F409E3" w:rsidP="00354A1C">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Megnevezés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F409E3" w:rsidRPr="00F86074" w:rsidRDefault="00F409E3" w:rsidP="00354A1C">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Ellenőrzések száma</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409E3" w:rsidRPr="00F86074" w:rsidRDefault="00F409E3" w:rsidP="00354A1C">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Jogszabály-sértések száma</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F409E3" w:rsidRPr="00CC6768" w:rsidRDefault="00F409E3" w:rsidP="00354A1C">
            <w:pPr>
              <w:spacing w:after="0"/>
              <w:jc w:val="center"/>
              <w:rPr>
                <w:rFonts w:ascii="Arial" w:eastAsia="Times New Roman" w:hAnsi="Arial" w:cs="Arial"/>
                <w:color w:val="000000"/>
                <w:sz w:val="20"/>
                <w:szCs w:val="20"/>
                <w:lang w:eastAsia="hu-HU"/>
              </w:rPr>
            </w:pPr>
            <w:r w:rsidRPr="00CC6768">
              <w:rPr>
                <w:rFonts w:ascii="Arial" w:eastAsia="Times New Roman" w:hAnsi="Arial" w:cs="Arial"/>
                <w:color w:val="000000"/>
                <w:sz w:val="20"/>
                <w:szCs w:val="20"/>
                <w:lang w:eastAsia="hu-HU"/>
              </w:rPr>
              <w:t>Az ellenőrzések számához viszonyítva a jogszabálysértések aránya</w:t>
            </w:r>
          </w:p>
        </w:tc>
      </w:tr>
      <w:tr w:rsidR="00F409E3" w:rsidRPr="00F86074" w:rsidTr="00354A1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F409E3" w:rsidRPr="00F86074" w:rsidRDefault="00F409E3" w:rsidP="00354A1C">
            <w:pPr>
              <w:spacing w:after="0"/>
              <w:rPr>
                <w:rFonts w:ascii="Arial" w:eastAsia="Times New Roman" w:hAnsi="Arial" w:cs="Arial"/>
                <w:color w:val="000000"/>
                <w:lang w:eastAsia="hu-HU"/>
              </w:rPr>
            </w:pPr>
            <w:r w:rsidRPr="00F86074">
              <w:rPr>
                <w:rFonts w:ascii="Arial" w:eastAsia="Times New Roman" w:hAnsi="Arial" w:cs="Arial"/>
                <w:color w:val="000000"/>
                <w:lang w:eastAsia="hu-HU"/>
              </w:rPr>
              <w:t>Kereskedelmi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34</w:t>
            </w:r>
          </w:p>
        </w:tc>
        <w:tc>
          <w:tcPr>
            <w:tcW w:w="166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7</w:t>
            </w:r>
          </w:p>
        </w:tc>
        <w:tc>
          <w:tcPr>
            <w:tcW w:w="218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21%</w:t>
            </w:r>
          </w:p>
        </w:tc>
      </w:tr>
      <w:tr w:rsidR="00F409E3" w:rsidRPr="00F86074" w:rsidTr="00354A1C">
        <w:trPr>
          <w:trHeight w:val="300"/>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F409E3" w:rsidRPr="00F86074" w:rsidRDefault="00F409E3" w:rsidP="00354A1C">
            <w:pPr>
              <w:spacing w:after="0"/>
              <w:rPr>
                <w:rFonts w:ascii="Arial" w:eastAsia="Times New Roman" w:hAnsi="Arial" w:cs="Arial"/>
                <w:color w:val="000000"/>
                <w:lang w:eastAsia="hu-HU"/>
              </w:rPr>
            </w:pPr>
            <w:r w:rsidRPr="00F86074">
              <w:rPr>
                <w:rFonts w:ascii="Arial" w:eastAsia="Times New Roman" w:hAnsi="Arial" w:cs="Arial"/>
                <w:color w:val="000000"/>
                <w:lang w:eastAsia="hu-HU"/>
              </w:rPr>
              <w:t>Egyéb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171</w:t>
            </w:r>
          </w:p>
        </w:tc>
        <w:tc>
          <w:tcPr>
            <w:tcW w:w="166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17</w:t>
            </w:r>
          </w:p>
        </w:tc>
        <w:tc>
          <w:tcPr>
            <w:tcW w:w="218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10%</w:t>
            </w:r>
          </w:p>
        </w:tc>
      </w:tr>
      <w:tr w:rsidR="00F409E3" w:rsidRPr="00F86074" w:rsidTr="00354A1C">
        <w:trPr>
          <w:trHeight w:val="300"/>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F409E3" w:rsidRPr="00F86074" w:rsidRDefault="00F409E3" w:rsidP="00354A1C">
            <w:pPr>
              <w:spacing w:after="0"/>
              <w:rPr>
                <w:rFonts w:ascii="Arial" w:eastAsia="Times New Roman" w:hAnsi="Arial" w:cs="Arial"/>
                <w:color w:val="000000"/>
                <w:lang w:eastAsia="hu-HU"/>
              </w:rPr>
            </w:pPr>
            <w:r w:rsidRPr="00F86074">
              <w:rPr>
                <w:rFonts w:ascii="Arial" w:eastAsia="Times New Roman" w:hAnsi="Arial" w:cs="Arial"/>
                <w:color w:val="000000"/>
                <w:lang w:eastAsia="hu-HU"/>
              </w:rPr>
              <w:t>Összesen</w:t>
            </w:r>
          </w:p>
        </w:tc>
        <w:tc>
          <w:tcPr>
            <w:tcW w:w="172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205</w:t>
            </w:r>
          </w:p>
        </w:tc>
        <w:tc>
          <w:tcPr>
            <w:tcW w:w="166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24</w:t>
            </w:r>
          </w:p>
        </w:tc>
        <w:tc>
          <w:tcPr>
            <w:tcW w:w="218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12%</w:t>
            </w:r>
          </w:p>
        </w:tc>
      </w:tr>
    </w:tbl>
    <w:p w:rsidR="00F409E3" w:rsidRPr="00694C7A" w:rsidRDefault="00F409E3" w:rsidP="00F409E3">
      <w:pPr>
        <w:spacing w:after="0"/>
        <w:jc w:val="both"/>
        <w:rPr>
          <w:rFonts w:ascii="Arial" w:hAnsi="Arial" w:cs="Arial"/>
        </w:rPr>
      </w:pPr>
    </w:p>
    <w:p w:rsidR="00F409E3" w:rsidRPr="00694C7A" w:rsidRDefault="00F409E3" w:rsidP="00F409E3">
      <w:pPr>
        <w:spacing w:after="0"/>
        <w:jc w:val="both"/>
        <w:rPr>
          <w:rFonts w:ascii="Arial" w:hAnsi="Arial" w:cs="Arial"/>
          <w:u w:val="single"/>
        </w:rPr>
      </w:pPr>
      <w:r w:rsidRPr="00694C7A">
        <w:rPr>
          <w:rFonts w:ascii="Arial" w:hAnsi="Arial" w:cs="Arial"/>
          <w:u w:val="single"/>
        </w:rPr>
        <w:t>Egyéb szálláshely:</w:t>
      </w:r>
    </w:p>
    <w:p w:rsidR="00F409E3" w:rsidRDefault="00F409E3" w:rsidP="00F409E3">
      <w:pPr>
        <w:spacing w:after="0"/>
        <w:jc w:val="both"/>
        <w:rPr>
          <w:rFonts w:ascii="Arial" w:hAnsi="Arial" w:cs="Arial"/>
        </w:rPr>
      </w:pPr>
      <w:r w:rsidRPr="00694C7A">
        <w:rPr>
          <w:rFonts w:ascii="Arial" w:hAnsi="Arial" w:cs="Arial"/>
        </w:rPr>
        <w:t>3 adóbeszedésre kötelezett kapott a jegyzőkönyv alapján jogszabálysértő gyakorlat me</w:t>
      </w:r>
      <w:r>
        <w:rPr>
          <w:rFonts w:ascii="Arial" w:hAnsi="Arial" w:cs="Arial"/>
        </w:rPr>
        <w:t>gszüntetésére szóló felhívást, 14</w:t>
      </w:r>
      <w:r w:rsidRPr="00694C7A">
        <w:rPr>
          <w:rFonts w:ascii="Arial" w:hAnsi="Arial" w:cs="Arial"/>
        </w:rPr>
        <w:t xml:space="preserve"> esetben került mulasztási bírság kiszabásra összesen </w:t>
      </w:r>
      <w:r>
        <w:rPr>
          <w:rFonts w:ascii="Arial" w:hAnsi="Arial" w:cs="Arial"/>
        </w:rPr>
        <w:t>208.000</w:t>
      </w:r>
      <w:r w:rsidRPr="00694C7A">
        <w:rPr>
          <w:rFonts w:ascii="Arial" w:hAnsi="Arial" w:cs="Arial"/>
        </w:rPr>
        <w:t xml:space="preserve"> Ft (átlagosan </w:t>
      </w:r>
      <w:r>
        <w:rPr>
          <w:rFonts w:ascii="Arial" w:hAnsi="Arial" w:cs="Arial"/>
        </w:rPr>
        <w:t>14.800</w:t>
      </w:r>
      <w:r w:rsidRPr="00694C7A">
        <w:rPr>
          <w:rFonts w:ascii="Arial" w:hAnsi="Arial" w:cs="Arial"/>
        </w:rPr>
        <w:t xml:space="preserve"> Ft) összegben. </w:t>
      </w:r>
    </w:p>
    <w:p w:rsidR="00F409E3" w:rsidRPr="00694C7A" w:rsidRDefault="00F409E3" w:rsidP="00F409E3">
      <w:pPr>
        <w:spacing w:after="0"/>
        <w:jc w:val="both"/>
        <w:rPr>
          <w:rFonts w:ascii="Arial" w:hAnsi="Arial" w:cs="Arial"/>
        </w:rPr>
      </w:pPr>
      <w:r>
        <w:rPr>
          <w:rFonts w:ascii="Arial" w:hAnsi="Arial" w:cs="Arial"/>
        </w:rPr>
        <w:t>Az ellenőrzési jegyzőkönyvekben összesen 39 vendég IFA könyvbe történő bejegyzésének hiányát állapítottuk meg.</w:t>
      </w:r>
    </w:p>
    <w:p w:rsidR="00EA59A4" w:rsidRDefault="00EA59A4" w:rsidP="00F409E3">
      <w:pPr>
        <w:spacing w:after="0"/>
        <w:jc w:val="both"/>
        <w:rPr>
          <w:rFonts w:ascii="Arial" w:hAnsi="Arial" w:cs="Arial"/>
          <w:u w:val="single"/>
        </w:rPr>
      </w:pPr>
    </w:p>
    <w:p w:rsidR="00EA59A4" w:rsidRDefault="00EA59A4" w:rsidP="00F409E3">
      <w:pPr>
        <w:spacing w:after="0"/>
        <w:jc w:val="both"/>
        <w:rPr>
          <w:rFonts w:ascii="Arial" w:hAnsi="Arial" w:cs="Arial"/>
          <w:u w:val="single"/>
        </w:rPr>
      </w:pPr>
    </w:p>
    <w:p w:rsidR="00F409E3" w:rsidRPr="00694C7A" w:rsidRDefault="00F409E3" w:rsidP="00F409E3">
      <w:pPr>
        <w:spacing w:after="0"/>
        <w:jc w:val="both"/>
        <w:rPr>
          <w:rFonts w:ascii="Arial" w:hAnsi="Arial" w:cs="Arial"/>
          <w:u w:val="single"/>
        </w:rPr>
      </w:pPr>
      <w:r w:rsidRPr="00694C7A">
        <w:rPr>
          <w:rFonts w:ascii="Arial" w:hAnsi="Arial" w:cs="Arial"/>
          <w:u w:val="single"/>
        </w:rPr>
        <w:lastRenderedPageBreak/>
        <w:t>Kereskedelmi szálláshely:</w:t>
      </w:r>
    </w:p>
    <w:p w:rsidR="00F409E3" w:rsidRDefault="00F409E3" w:rsidP="00F409E3">
      <w:pPr>
        <w:spacing w:after="0"/>
        <w:jc w:val="both"/>
        <w:rPr>
          <w:rFonts w:ascii="Arial" w:hAnsi="Arial" w:cs="Arial"/>
        </w:rPr>
      </w:pPr>
      <w:r>
        <w:rPr>
          <w:rFonts w:ascii="Arial" w:hAnsi="Arial" w:cs="Arial"/>
        </w:rPr>
        <w:t>7</w:t>
      </w:r>
      <w:r w:rsidRPr="00694C7A">
        <w:rPr>
          <w:rFonts w:ascii="Arial" w:hAnsi="Arial" w:cs="Arial"/>
        </w:rPr>
        <w:t xml:space="preserve"> esetben került mulaszt</w:t>
      </w:r>
      <w:r>
        <w:rPr>
          <w:rFonts w:ascii="Arial" w:hAnsi="Arial" w:cs="Arial"/>
        </w:rPr>
        <w:t>ási bírság kiszabásra összesen 250.000 Ft (átlagosan 35</w:t>
      </w:r>
      <w:r w:rsidRPr="00694C7A">
        <w:rPr>
          <w:rFonts w:ascii="Arial" w:hAnsi="Arial" w:cs="Arial"/>
        </w:rPr>
        <w:t>.</w:t>
      </w:r>
      <w:r>
        <w:rPr>
          <w:rFonts w:ascii="Arial" w:hAnsi="Arial" w:cs="Arial"/>
        </w:rPr>
        <w:t>7</w:t>
      </w:r>
      <w:r w:rsidRPr="00694C7A">
        <w:rPr>
          <w:rFonts w:ascii="Arial" w:hAnsi="Arial" w:cs="Arial"/>
        </w:rPr>
        <w:t xml:space="preserve">00 Ft) összegben. </w:t>
      </w:r>
      <w:r>
        <w:rPr>
          <w:rFonts w:ascii="Arial" w:hAnsi="Arial" w:cs="Arial"/>
        </w:rPr>
        <w:t xml:space="preserve">3 esetben a szálláshelyen nem volt fellelhető az IFA nyilvántartó könyv, </w:t>
      </w:r>
      <w:r w:rsidRPr="00C27F11">
        <w:rPr>
          <w:rFonts w:ascii="Arial" w:hAnsi="Arial" w:cs="Arial"/>
        </w:rPr>
        <w:t xml:space="preserve">emiatt </w:t>
      </w:r>
      <w:r>
        <w:rPr>
          <w:rFonts w:ascii="Arial" w:hAnsi="Arial" w:cs="Arial"/>
        </w:rPr>
        <w:t xml:space="preserve">szabtunk ki büntetést, így a be nem írt vendégek száma pontosan nem állapítható meg. </w:t>
      </w:r>
    </w:p>
    <w:p w:rsidR="00F409E3" w:rsidRDefault="00F409E3" w:rsidP="00F409E3">
      <w:pPr>
        <w:spacing w:after="0"/>
        <w:jc w:val="both"/>
        <w:rPr>
          <w:rFonts w:ascii="Arial" w:hAnsi="Arial" w:cs="Arial"/>
        </w:rPr>
      </w:pPr>
      <w:r>
        <w:rPr>
          <w:rFonts w:ascii="Arial" w:hAnsi="Arial" w:cs="Arial"/>
        </w:rPr>
        <w:t xml:space="preserve">A helyszíni ellenőrzéseken kívül 5 esetben – konkrét személyre, illetve gazdasági társaságra vonatkozó megbízólevél alapján - </w:t>
      </w:r>
      <w:r w:rsidRPr="00270D33">
        <w:rPr>
          <w:rFonts w:ascii="Arial" w:hAnsi="Arial" w:cs="Arial"/>
          <w:i/>
          <w:u w:val="single"/>
        </w:rPr>
        <w:t>Idegenforgalmi adóbevallások utólagos ellenőrzésére és idegenforgalmi adó kötelezettség teljesítésére irányuló ellenőrzés</w:t>
      </w:r>
      <w:r>
        <w:rPr>
          <w:rFonts w:ascii="Arial" w:hAnsi="Arial" w:cs="Arial"/>
        </w:rPr>
        <w:t>t folytattunk le.</w:t>
      </w:r>
    </w:p>
    <w:p w:rsidR="00F409E3" w:rsidRDefault="00F409E3" w:rsidP="00F409E3">
      <w:pPr>
        <w:spacing w:after="0"/>
        <w:jc w:val="both"/>
        <w:rPr>
          <w:rFonts w:ascii="Arial" w:hAnsi="Arial" w:cs="Arial"/>
        </w:rPr>
      </w:pPr>
      <w:r>
        <w:rPr>
          <w:rFonts w:ascii="Arial" w:hAnsi="Arial" w:cs="Arial"/>
        </w:rPr>
        <w:t xml:space="preserve">Az elektronikus felületek által nyert információknak köszönhetően utólagos adóbevallásokra, adóbefizetésekre is sor került. Utólagosan megállapított adó, illetve utólagosan bevallott adó ebben az évben </w:t>
      </w:r>
      <w:r w:rsidRPr="003B0E0D">
        <w:rPr>
          <w:rFonts w:ascii="Arial" w:hAnsi="Arial" w:cs="Arial"/>
        </w:rPr>
        <w:t>eddig 1.450.000 Ft. Megállapított adóbírság összege 175.600 Ft.</w:t>
      </w:r>
    </w:p>
    <w:p w:rsidR="00F409E3" w:rsidRDefault="00F409E3" w:rsidP="00F409E3">
      <w:pPr>
        <w:spacing w:after="0"/>
        <w:jc w:val="both"/>
        <w:rPr>
          <w:rFonts w:ascii="Arial" w:hAnsi="Arial" w:cs="Arial"/>
        </w:rPr>
      </w:pPr>
    </w:p>
    <w:p w:rsidR="00F409E3" w:rsidRDefault="00F409E3" w:rsidP="00F409E3">
      <w:pPr>
        <w:spacing w:after="0"/>
        <w:jc w:val="both"/>
        <w:rPr>
          <w:rFonts w:ascii="Arial" w:hAnsi="Arial" w:cs="Arial"/>
        </w:rPr>
      </w:pPr>
      <w:r>
        <w:rPr>
          <w:rFonts w:ascii="Arial" w:hAnsi="Arial" w:cs="Arial"/>
        </w:rPr>
        <w:t>Számos engedély nélkül működő, idegenforgalmi adót be nem szedő, illetve az önkormányzathoz be nem fizető szálláshely ügyében, az ingatlanok pontos beazonosítását követően – a szabad emberi erőforrás kapacitásának függvényében - adóellenőrzési eljárás indítottunk.</w:t>
      </w:r>
    </w:p>
    <w:p w:rsidR="00F409E3" w:rsidRDefault="00F409E3" w:rsidP="00F409E3">
      <w:pPr>
        <w:spacing w:before="240" w:after="240"/>
        <w:jc w:val="both"/>
        <w:rPr>
          <w:rFonts w:ascii="Arial" w:hAnsi="Arial" w:cs="Arial"/>
          <w:b/>
        </w:rPr>
      </w:pPr>
      <w:r>
        <w:rPr>
          <w:rFonts w:ascii="Arial" w:hAnsi="Arial" w:cs="Arial"/>
          <w:b/>
        </w:rPr>
        <w:t>6.3. Iparűzési adó ellenőrzés</w:t>
      </w:r>
    </w:p>
    <w:p w:rsidR="00F409E3" w:rsidRPr="00702D22" w:rsidRDefault="00F409E3" w:rsidP="00F409E3">
      <w:pPr>
        <w:spacing w:after="0"/>
        <w:jc w:val="both"/>
        <w:rPr>
          <w:rFonts w:ascii="Arial" w:hAnsi="Arial" w:cs="Arial"/>
          <w:iCs/>
        </w:rPr>
      </w:pPr>
      <w:r w:rsidRPr="00702D22">
        <w:rPr>
          <w:rFonts w:ascii="Arial" w:hAnsi="Arial" w:cs="Arial"/>
          <w:iCs/>
        </w:rPr>
        <w:t>2015-ben helyszíni ellenőrzésre nem került sor. A bevallások feldolgozásával egyidejűleg folyamatosan történt az adózók ellenőrzése. Ez évben került sor első ízben a bevallást nem teljesítők felszólítására, illetve az ÖN</w:t>
      </w:r>
      <w:r w:rsidR="001274F8">
        <w:rPr>
          <w:rFonts w:ascii="Arial" w:hAnsi="Arial" w:cs="Arial"/>
          <w:iCs/>
        </w:rPr>
        <w:t>KADÓ</w:t>
      </w:r>
      <w:r w:rsidRPr="00702D22">
        <w:rPr>
          <w:rFonts w:ascii="Arial" w:hAnsi="Arial" w:cs="Arial"/>
          <w:iCs/>
        </w:rPr>
        <w:t xml:space="preserve"> nyilvántartásunk felülvizsgálatára, amely eredményeként 8.835 ezer forint utólagos bevételt eredményezett. </w:t>
      </w:r>
    </w:p>
    <w:p w:rsidR="00BA5BD4" w:rsidRDefault="00BA5BD4" w:rsidP="00A360CD">
      <w:pPr>
        <w:spacing w:after="0"/>
        <w:jc w:val="both"/>
        <w:rPr>
          <w:rFonts w:ascii="Arial" w:hAnsi="Arial" w:cs="Arial"/>
          <w:b/>
          <w:iCs/>
        </w:rPr>
      </w:pPr>
    </w:p>
    <w:p w:rsidR="00334062" w:rsidRDefault="00334062" w:rsidP="00A360CD">
      <w:pPr>
        <w:numPr>
          <w:ilvl w:val="0"/>
          <w:numId w:val="35"/>
        </w:numPr>
        <w:spacing w:after="0"/>
        <w:ind w:left="284" w:hanging="284"/>
        <w:jc w:val="both"/>
        <w:rPr>
          <w:rFonts w:ascii="Arial" w:hAnsi="Arial" w:cs="Arial"/>
          <w:b/>
          <w:iCs/>
        </w:rPr>
      </w:pPr>
      <w:r w:rsidRPr="00334062">
        <w:rPr>
          <w:rFonts w:ascii="Arial" w:hAnsi="Arial" w:cs="Arial"/>
          <w:b/>
          <w:iCs/>
        </w:rPr>
        <w:t>Jogorvoslati eljárás</w:t>
      </w:r>
    </w:p>
    <w:p w:rsidR="00FB0978" w:rsidRDefault="00FB0978" w:rsidP="00A360CD">
      <w:pPr>
        <w:spacing w:after="0"/>
        <w:jc w:val="both"/>
        <w:rPr>
          <w:rFonts w:ascii="Arial" w:hAnsi="Arial" w:cs="Arial"/>
          <w:b/>
          <w:iCs/>
        </w:rPr>
      </w:pPr>
    </w:p>
    <w:p w:rsidR="00FB0978" w:rsidRPr="00FB0978" w:rsidRDefault="00FB0978" w:rsidP="00A360CD">
      <w:pPr>
        <w:spacing w:after="0"/>
        <w:jc w:val="both"/>
        <w:rPr>
          <w:rFonts w:ascii="Arial" w:hAnsi="Arial" w:cs="Arial"/>
          <w:iCs/>
        </w:rPr>
      </w:pPr>
      <w:r w:rsidRPr="00FB0978">
        <w:rPr>
          <w:rFonts w:ascii="Arial" w:hAnsi="Arial" w:cs="Arial"/>
          <w:iCs/>
        </w:rPr>
        <w:t xml:space="preserve">Az osztályon végzett munka jogszerűségét nagymértékben alátámasztja, hogy a kibocsátott határozatok ellen minimális számú </w:t>
      </w:r>
      <w:r w:rsidR="00E20DE5">
        <w:rPr>
          <w:rFonts w:ascii="Arial" w:hAnsi="Arial" w:cs="Arial"/>
          <w:iCs/>
        </w:rPr>
        <w:t>(összesen 5 es</w:t>
      </w:r>
      <w:r w:rsidR="00253F1D">
        <w:rPr>
          <w:rFonts w:ascii="Arial" w:hAnsi="Arial" w:cs="Arial"/>
          <w:iCs/>
        </w:rPr>
        <w:t>e</w:t>
      </w:r>
      <w:r w:rsidR="00E20DE5">
        <w:rPr>
          <w:rFonts w:ascii="Arial" w:hAnsi="Arial" w:cs="Arial"/>
          <w:iCs/>
        </w:rPr>
        <w:t xml:space="preserve">tben) </w:t>
      </w:r>
      <w:r w:rsidRPr="00FB0978">
        <w:rPr>
          <w:rFonts w:ascii="Arial" w:hAnsi="Arial" w:cs="Arial"/>
          <w:iCs/>
        </w:rPr>
        <w:t>fellebbezés benyújtására került sor.</w:t>
      </w:r>
    </w:p>
    <w:p w:rsidR="00417A6E" w:rsidRPr="006D0C2A" w:rsidRDefault="00417A6E" w:rsidP="00A360CD">
      <w:pPr>
        <w:spacing w:after="0"/>
        <w:jc w:val="both"/>
        <w:rPr>
          <w:rFonts w:ascii="Arial" w:hAnsi="Arial" w:cs="Arial"/>
        </w:rPr>
      </w:pPr>
      <w:r w:rsidRPr="006D0C2A">
        <w:rPr>
          <w:rFonts w:ascii="Arial" w:hAnsi="Arial" w:cs="Arial"/>
        </w:rPr>
        <w:t xml:space="preserve">Építményadóval kapcsolatos eljárásban 2 </w:t>
      </w:r>
      <w:r w:rsidR="00E20DE5">
        <w:rPr>
          <w:rFonts w:ascii="Arial" w:hAnsi="Arial" w:cs="Arial"/>
        </w:rPr>
        <w:t>ügyféltől</w:t>
      </w:r>
      <w:r w:rsidRPr="006D0C2A">
        <w:rPr>
          <w:rFonts w:ascii="Arial" w:hAnsi="Arial" w:cs="Arial"/>
        </w:rPr>
        <w:t xml:space="preserve"> érkezett fellebbezés.</w:t>
      </w:r>
      <w:r w:rsidR="00E20DE5">
        <w:rPr>
          <w:rFonts w:ascii="Arial" w:hAnsi="Arial" w:cs="Arial"/>
        </w:rPr>
        <w:t xml:space="preserve"> Első alkalommal a</w:t>
      </w:r>
      <w:r w:rsidRPr="006D0C2A">
        <w:rPr>
          <w:rFonts w:ascii="Arial" w:hAnsi="Arial" w:cs="Arial"/>
        </w:rPr>
        <w:t xml:space="preserve"> fellebbezés határidőn túl érkezett, mely a késedelem ellenére felterjesztésre került. A II. fokú hatóság a fellebbezés határidőn túli benyújtására hivatkozva új eljárást rendelt el, egyben felhívta a figyelmet, hogy a fellebbezést a határidő lejárta miatt saját hatáskörben kellett volna elutasítani. A lefolytatott eljárásban hozott újabb döntés ellen ismételt fellebbezéssel éltek. A II. fokú hatóság a fellebbezést megvizsgálta és az I. fokú határozatot helybenhagyta. Az ügyekben további jogorvoslatra nem került sor.</w:t>
      </w:r>
    </w:p>
    <w:p w:rsidR="00FB0978" w:rsidRPr="005628C3" w:rsidRDefault="00FB0978" w:rsidP="00A360CD">
      <w:pPr>
        <w:spacing w:after="0"/>
        <w:jc w:val="both"/>
        <w:rPr>
          <w:rFonts w:ascii="Arial" w:hAnsi="Arial" w:cs="Arial"/>
        </w:rPr>
      </w:pPr>
      <w:r w:rsidRPr="006D0C2A">
        <w:rPr>
          <w:rFonts w:ascii="Arial" w:hAnsi="Arial" w:cs="Arial"/>
        </w:rPr>
        <w:t>Idegenforgalmi adóval kapcsolatos mulasztási bírság megállapításáról szóló határozat ellen 1 esetben került fellebbezés benyújtásra. A jogorvoslati eljárás eredményeként a Zala Megyei Kormányhivatal a megfellebbezet</w:t>
      </w:r>
      <w:r w:rsidR="005F5EBB">
        <w:rPr>
          <w:rFonts w:ascii="Arial" w:hAnsi="Arial" w:cs="Arial"/>
        </w:rPr>
        <w:t>t</w:t>
      </w:r>
      <w:r w:rsidRPr="006D0C2A">
        <w:rPr>
          <w:rFonts w:ascii="Arial" w:hAnsi="Arial" w:cs="Arial"/>
        </w:rPr>
        <w:t xml:space="preserve"> hatá</w:t>
      </w:r>
      <w:r w:rsidR="00854726">
        <w:rPr>
          <w:rFonts w:ascii="Arial" w:hAnsi="Arial" w:cs="Arial"/>
        </w:rPr>
        <w:t xml:space="preserve">rozat egy részét megváltoztatta, </w:t>
      </w:r>
      <w:r w:rsidR="00854726" w:rsidRPr="005628C3">
        <w:rPr>
          <w:rFonts w:ascii="Arial" w:hAnsi="Arial" w:cs="Arial"/>
        </w:rPr>
        <w:t>a kiszabott bírságot mérsékelte.</w:t>
      </w:r>
    </w:p>
    <w:p w:rsidR="00FB0978" w:rsidRDefault="00FB0978" w:rsidP="00A360CD">
      <w:pPr>
        <w:spacing w:after="0"/>
        <w:jc w:val="both"/>
        <w:rPr>
          <w:rFonts w:ascii="Arial" w:hAnsi="Arial" w:cs="Arial"/>
          <w:iCs/>
        </w:rPr>
      </w:pPr>
      <w:r>
        <w:rPr>
          <w:rFonts w:ascii="Arial" w:hAnsi="Arial" w:cs="Arial"/>
          <w:iCs/>
        </w:rPr>
        <w:t xml:space="preserve">Végrehajtási kifogás </w:t>
      </w:r>
      <w:r w:rsidR="003B5241">
        <w:rPr>
          <w:rFonts w:ascii="Arial" w:hAnsi="Arial" w:cs="Arial"/>
          <w:iCs/>
        </w:rPr>
        <w:t>2015. évben nem érkezett.</w:t>
      </w:r>
    </w:p>
    <w:p w:rsidR="00854726" w:rsidRDefault="00854726" w:rsidP="00A360CD">
      <w:pPr>
        <w:spacing w:after="0"/>
        <w:jc w:val="both"/>
        <w:rPr>
          <w:rFonts w:ascii="Arial" w:hAnsi="Arial" w:cs="Arial"/>
          <w:iCs/>
        </w:rPr>
      </w:pPr>
    </w:p>
    <w:p w:rsidR="00854726" w:rsidRPr="005628C3" w:rsidRDefault="00854726" w:rsidP="00A360CD">
      <w:pPr>
        <w:spacing w:after="0"/>
        <w:jc w:val="both"/>
        <w:rPr>
          <w:rFonts w:ascii="Arial" w:hAnsi="Arial" w:cs="Arial"/>
          <w:iCs/>
        </w:rPr>
      </w:pPr>
      <w:r w:rsidRPr="005628C3">
        <w:rPr>
          <w:rFonts w:ascii="Arial" w:hAnsi="Arial" w:cs="Arial"/>
          <w:iCs/>
        </w:rPr>
        <w:t>A kormányzati szinten folyó közigazgatás korszerűsítés keretében vagy 2017. január 1-től, vagy 2018. január 1-től országosan egységesen lecserélésre fog kerülni (az igen elavult) az adóigazgatási munka végzésére kötelezően használandó ONKADO alkalmazás. Az Önkormányzati ASP rendszer keretében új alkalmazás fog bevezetésre kerülni, mely reményeink szerint modernizációja által csökkenti az adatrögzítési párhuzamosságokat. Az új alkalmazás bevezetéséig továbbra sem célszerű szoftveres adóigazgatási fejlesztés (pl. ÁNYK rendszerű bevallás kezelés) bevezetése, végrehajtása.</w:t>
      </w:r>
    </w:p>
    <w:p w:rsidR="003A06EF" w:rsidRDefault="003A06EF" w:rsidP="00A360CD">
      <w:pPr>
        <w:spacing w:after="0"/>
        <w:jc w:val="both"/>
        <w:rPr>
          <w:rFonts w:ascii="Arial" w:hAnsi="Arial" w:cs="Arial"/>
          <w:iCs/>
        </w:rPr>
      </w:pPr>
    </w:p>
    <w:p w:rsidR="004538E0" w:rsidRDefault="004538E0" w:rsidP="00A360CD">
      <w:pPr>
        <w:tabs>
          <w:tab w:val="center" w:pos="7088"/>
          <w:tab w:val="left" w:pos="7788"/>
          <w:tab w:val="left" w:pos="8496"/>
        </w:tabs>
        <w:suppressAutoHyphens/>
        <w:spacing w:after="0"/>
        <w:jc w:val="both"/>
        <w:rPr>
          <w:rFonts w:ascii="Arial" w:hAnsi="Arial" w:cs="Arial"/>
          <w:b/>
          <w:iCs/>
        </w:rPr>
      </w:pPr>
      <w:r w:rsidRPr="002830E0">
        <w:rPr>
          <w:rFonts w:ascii="Arial" w:hAnsi="Arial" w:cs="Arial"/>
          <w:b/>
          <w:iCs/>
        </w:rPr>
        <w:t>Tisztelt Képviselő-testületet!</w:t>
      </w:r>
    </w:p>
    <w:p w:rsidR="004538E0" w:rsidRPr="002830E0" w:rsidRDefault="004538E0" w:rsidP="00A360CD">
      <w:pPr>
        <w:tabs>
          <w:tab w:val="center" w:pos="7088"/>
          <w:tab w:val="left" w:pos="7788"/>
          <w:tab w:val="left" w:pos="8496"/>
        </w:tabs>
        <w:suppressAutoHyphens/>
        <w:spacing w:after="0"/>
        <w:jc w:val="both"/>
        <w:rPr>
          <w:rFonts w:ascii="Arial" w:eastAsia="MS Mincho" w:hAnsi="Arial" w:cs="Arial"/>
          <w:b/>
          <w:color w:val="000000"/>
          <w:lang w:eastAsia="hu-HU"/>
        </w:rPr>
      </w:pPr>
    </w:p>
    <w:p w:rsidR="004538E0" w:rsidRDefault="001274F8" w:rsidP="00A360CD">
      <w:pPr>
        <w:spacing w:after="0"/>
        <w:jc w:val="both"/>
        <w:rPr>
          <w:rFonts w:ascii="Arial" w:hAnsi="Arial" w:cs="Arial"/>
          <w:iCs/>
        </w:rPr>
      </w:pPr>
      <w:r>
        <w:rPr>
          <w:rFonts w:ascii="Arial" w:hAnsi="Arial" w:cs="Arial"/>
          <w:iCs/>
        </w:rPr>
        <w:t>Kérem az előterjesztés</w:t>
      </w:r>
      <w:r w:rsidR="004538E0">
        <w:rPr>
          <w:rFonts w:ascii="Arial" w:hAnsi="Arial" w:cs="Arial"/>
          <w:iCs/>
        </w:rPr>
        <w:t xml:space="preserve"> megvitatását.</w:t>
      </w:r>
      <w:r w:rsidR="00735D46">
        <w:rPr>
          <w:rFonts w:ascii="Arial" w:hAnsi="Arial" w:cs="Arial"/>
          <w:iCs/>
        </w:rPr>
        <w:t xml:space="preserve"> </w:t>
      </w:r>
      <w:r w:rsidR="004538E0">
        <w:rPr>
          <w:rFonts w:ascii="Arial" w:hAnsi="Arial" w:cs="Arial"/>
          <w:iCs/>
        </w:rPr>
        <w:t>A döntés egyszerű szótöbbséget igényel.</w:t>
      </w:r>
    </w:p>
    <w:p w:rsidR="000710C8" w:rsidRDefault="000710C8" w:rsidP="007A5695">
      <w:pPr>
        <w:spacing w:after="0" w:line="240" w:lineRule="auto"/>
        <w:jc w:val="center"/>
        <w:rPr>
          <w:rFonts w:ascii="Arial" w:hAnsi="Arial" w:cs="Arial"/>
          <w:b/>
          <w:sz w:val="24"/>
          <w:szCs w:val="24"/>
        </w:rPr>
      </w:pPr>
    </w:p>
    <w:p w:rsidR="002830E0" w:rsidRDefault="002830E0" w:rsidP="007A5695">
      <w:pPr>
        <w:spacing w:after="0" w:line="240" w:lineRule="auto"/>
        <w:jc w:val="center"/>
        <w:rPr>
          <w:rFonts w:ascii="Arial" w:hAnsi="Arial" w:cs="Arial"/>
          <w:b/>
          <w:sz w:val="24"/>
          <w:szCs w:val="24"/>
        </w:rPr>
      </w:pPr>
      <w:r>
        <w:rPr>
          <w:rFonts w:ascii="Arial" w:hAnsi="Arial" w:cs="Arial"/>
          <w:b/>
          <w:sz w:val="24"/>
          <w:szCs w:val="24"/>
        </w:rPr>
        <w:lastRenderedPageBreak/>
        <w:t>2.</w:t>
      </w:r>
    </w:p>
    <w:p w:rsidR="00735D46" w:rsidRDefault="00735D46" w:rsidP="007A5695">
      <w:pPr>
        <w:spacing w:after="0" w:line="240" w:lineRule="auto"/>
        <w:jc w:val="center"/>
        <w:rPr>
          <w:rFonts w:ascii="Arial" w:hAnsi="Arial" w:cs="Arial"/>
          <w:b/>
          <w:sz w:val="24"/>
          <w:szCs w:val="24"/>
        </w:rPr>
      </w:pPr>
    </w:p>
    <w:p w:rsidR="00735D46" w:rsidRPr="009126C2" w:rsidRDefault="00735D46" w:rsidP="007A5695">
      <w:pPr>
        <w:spacing w:after="0" w:line="240" w:lineRule="auto"/>
        <w:jc w:val="center"/>
        <w:rPr>
          <w:rFonts w:ascii="Arial" w:hAnsi="Arial" w:cs="Arial"/>
          <w:b/>
          <w:sz w:val="24"/>
          <w:szCs w:val="24"/>
        </w:rPr>
      </w:pPr>
      <w:r w:rsidRPr="009126C2">
        <w:rPr>
          <w:rFonts w:ascii="Arial" w:hAnsi="Arial" w:cs="Arial"/>
          <w:b/>
          <w:sz w:val="24"/>
          <w:szCs w:val="24"/>
        </w:rPr>
        <w:t>Határozati javaslat</w:t>
      </w:r>
    </w:p>
    <w:p w:rsidR="002830E0" w:rsidRPr="009126C2" w:rsidRDefault="002830E0" w:rsidP="007A5695">
      <w:pPr>
        <w:spacing w:after="0" w:line="240" w:lineRule="auto"/>
        <w:jc w:val="center"/>
        <w:rPr>
          <w:rFonts w:ascii="Arial" w:hAnsi="Arial" w:cs="Arial"/>
          <w:sz w:val="24"/>
          <w:szCs w:val="24"/>
        </w:rPr>
      </w:pPr>
    </w:p>
    <w:p w:rsidR="002830E0" w:rsidRDefault="002830E0" w:rsidP="002830E0">
      <w:pPr>
        <w:spacing w:after="0" w:line="240" w:lineRule="auto"/>
        <w:rPr>
          <w:rFonts w:ascii="Arial" w:hAnsi="Arial" w:cs="Arial"/>
        </w:rPr>
      </w:pPr>
      <w:r w:rsidRPr="009126C2">
        <w:rPr>
          <w:rFonts w:ascii="Arial" w:hAnsi="Arial" w:cs="Arial"/>
        </w:rPr>
        <w:t>Hévíz Város Önkormá</w:t>
      </w:r>
      <w:r w:rsidR="00205040">
        <w:rPr>
          <w:rFonts w:ascii="Arial" w:hAnsi="Arial" w:cs="Arial"/>
        </w:rPr>
        <w:t>nyzat Képviselő-testülete a 2015</w:t>
      </w:r>
      <w:r w:rsidRPr="009126C2">
        <w:rPr>
          <w:rFonts w:ascii="Arial" w:hAnsi="Arial" w:cs="Arial"/>
        </w:rPr>
        <w:t xml:space="preserve">. évi adóigazgatási tevékenységről szóló </w:t>
      </w:r>
      <w:r w:rsidR="00A032C4">
        <w:rPr>
          <w:rFonts w:ascii="Arial" w:hAnsi="Arial" w:cs="Arial"/>
        </w:rPr>
        <w:t xml:space="preserve">kiegészítő </w:t>
      </w:r>
      <w:r w:rsidRPr="009126C2">
        <w:rPr>
          <w:rFonts w:ascii="Arial" w:hAnsi="Arial" w:cs="Arial"/>
        </w:rPr>
        <w:t>beszámoló</w:t>
      </w:r>
      <w:r w:rsidR="00D632DC">
        <w:rPr>
          <w:rFonts w:ascii="Arial" w:hAnsi="Arial" w:cs="Arial"/>
        </w:rPr>
        <w:t>t</w:t>
      </w:r>
      <w:r w:rsidRPr="009126C2">
        <w:rPr>
          <w:rFonts w:ascii="Arial" w:hAnsi="Arial" w:cs="Arial"/>
        </w:rPr>
        <w:t xml:space="preserve"> elfogadja.</w:t>
      </w:r>
    </w:p>
    <w:p w:rsidR="003A06EF" w:rsidRPr="009126C2" w:rsidRDefault="003A06EF" w:rsidP="002830E0">
      <w:pPr>
        <w:spacing w:after="0" w:line="240" w:lineRule="auto"/>
        <w:rPr>
          <w:rFonts w:ascii="Arial" w:hAnsi="Arial" w:cs="Arial"/>
        </w:rPr>
      </w:pPr>
    </w:p>
    <w:p w:rsidR="002830E0" w:rsidRPr="009126C2" w:rsidRDefault="002830E0" w:rsidP="002830E0">
      <w:pPr>
        <w:spacing w:after="0" w:line="240" w:lineRule="auto"/>
        <w:rPr>
          <w:rFonts w:ascii="Arial" w:hAnsi="Arial" w:cs="Arial"/>
        </w:rPr>
      </w:pPr>
      <w:r w:rsidRPr="009126C2">
        <w:rPr>
          <w:rFonts w:ascii="Arial" w:hAnsi="Arial" w:cs="Arial"/>
        </w:rPr>
        <w:t>Felelős:</w:t>
      </w:r>
      <w:r w:rsidR="00735D46" w:rsidRPr="009126C2">
        <w:rPr>
          <w:rFonts w:ascii="Arial" w:hAnsi="Arial" w:cs="Arial"/>
        </w:rPr>
        <w:t xml:space="preserve"> dr. Tüske Róbert jegyző</w:t>
      </w:r>
    </w:p>
    <w:p w:rsidR="002830E0" w:rsidRPr="009126C2" w:rsidRDefault="002830E0" w:rsidP="002830E0">
      <w:pPr>
        <w:spacing w:after="0" w:line="240" w:lineRule="auto"/>
        <w:rPr>
          <w:rFonts w:ascii="Arial" w:hAnsi="Arial" w:cs="Arial"/>
        </w:rPr>
      </w:pPr>
      <w:r w:rsidRPr="009126C2">
        <w:rPr>
          <w:rFonts w:ascii="Arial" w:hAnsi="Arial" w:cs="Arial"/>
        </w:rPr>
        <w:t xml:space="preserve">Határidő: </w:t>
      </w:r>
      <w:r w:rsidR="000B2296">
        <w:rPr>
          <w:rFonts w:ascii="Arial" w:hAnsi="Arial" w:cs="Arial"/>
        </w:rPr>
        <w:t>2016. április 1.</w:t>
      </w:r>
    </w:p>
    <w:p w:rsidR="007A5695" w:rsidRDefault="00157B65" w:rsidP="007A5695">
      <w:pPr>
        <w:spacing w:after="0" w:line="240" w:lineRule="auto"/>
        <w:jc w:val="center"/>
        <w:rPr>
          <w:rFonts w:ascii="Arial" w:hAnsi="Arial" w:cs="Arial"/>
          <w:b/>
          <w:sz w:val="24"/>
          <w:szCs w:val="24"/>
        </w:rPr>
      </w:pPr>
      <w:r>
        <w:rPr>
          <w:rFonts w:ascii="Arial" w:hAnsi="Arial" w:cs="Arial"/>
          <w:b/>
          <w:sz w:val="24"/>
          <w:szCs w:val="24"/>
        </w:rPr>
        <w:br w:type="page"/>
      </w:r>
      <w:r w:rsidR="007A5695">
        <w:rPr>
          <w:rFonts w:ascii="Arial" w:hAnsi="Arial" w:cs="Arial"/>
          <w:b/>
          <w:sz w:val="24"/>
          <w:szCs w:val="24"/>
        </w:rPr>
        <w:lastRenderedPageBreak/>
        <w:t>3.</w:t>
      </w:r>
    </w:p>
    <w:p w:rsidR="007A5695" w:rsidRDefault="007A5695" w:rsidP="007A5695">
      <w:pPr>
        <w:spacing w:after="0" w:line="240" w:lineRule="auto"/>
        <w:jc w:val="center"/>
        <w:rPr>
          <w:rFonts w:ascii="Arial" w:hAnsi="Arial" w:cs="Arial"/>
          <w:b/>
          <w:sz w:val="24"/>
          <w:szCs w:val="24"/>
        </w:rPr>
      </w:pPr>
    </w:p>
    <w:p w:rsidR="007A5695" w:rsidRDefault="007A5695" w:rsidP="007A5695">
      <w:pPr>
        <w:spacing w:after="0" w:line="240" w:lineRule="auto"/>
        <w:jc w:val="center"/>
        <w:rPr>
          <w:rFonts w:ascii="Arial" w:hAnsi="Arial" w:cs="Arial"/>
          <w:b/>
          <w:sz w:val="24"/>
          <w:szCs w:val="24"/>
        </w:rPr>
      </w:pPr>
      <w:r>
        <w:rPr>
          <w:rFonts w:ascii="Arial" w:hAnsi="Arial" w:cs="Arial"/>
          <w:b/>
          <w:sz w:val="24"/>
          <w:szCs w:val="24"/>
        </w:rPr>
        <w:t>Bizottsági állásfoglalás</w:t>
      </w:r>
    </w:p>
    <w:p w:rsidR="0083707B" w:rsidRDefault="0083707B" w:rsidP="0083707B"/>
    <w:tbl>
      <w:tblPr>
        <w:tblW w:w="9792" w:type="dxa"/>
        <w:tblInd w:w="-128" w:type="dxa"/>
        <w:tblLayout w:type="fixed"/>
        <w:tblCellMar>
          <w:left w:w="0" w:type="dxa"/>
          <w:right w:w="0" w:type="dxa"/>
        </w:tblCellMar>
        <w:tblLook w:val="0000" w:firstRow="0" w:lastRow="0" w:firstColumn="0" w:lastColumn="0" w:noHBand="0" w:noVBand="0"/>
      </w:tblPr>
      <w:tblGrid>
        <w:gridCol w:w="2625"/>
        <w:gridCol w:w="1283"/>
        <w:gridCol w:w="1438"/>
        <w:gridCol w:w="1416"/>
        <w:gridCol w:w="3005"/>
        <w:gridCol w:w="25"/>
      </w:tblGrid>
      <w:tr w:rsidR="0083707B" w:rsidTr="007852E3">
        <w:trPr>
          <w:trHeight w:val="869"/>
        </w:trPr>
        <w:tc>
          <w:tcPr>
            <w:tcW w:w="9772" w:type="dxa"/>
            <w:gridSpan w:val="5"/>
            <w:tcBorders>
              <w:top w:val="single" w:sz="4" w:space="0" w:color="000000"/>
              <w:left w:val="single" w:sz="4" w:space="0" w:color="000000"/>
              <w:bottom w:val="single" w:sz="4" w:space="0" w:color="000000"/>
            </w:tcBorders>
            <w:shd w:val="clear" w:color="auto" w:fill="auto"/>
          </w:tcPr>
          <w:p w:rsidR="0083707B" w:rsidRDefault="0083707B" w:rsidP="007852E3">
            <w:pPr>
              <w:spacing w:after="0" w:line="100" w:lineRule="atLeast"/>
              <w:rPr>
                <w:rFonts w:ascii="Arial" w:hAnsi="Arial" w:cs="Arial"/>
                <w:szCs w:val="20"/>
              </w:rPr>
            </w:pPr>
            <w:r>
              <w:rPr>
                <w:rFonts w:ascii="Arial" w:hAnsi="Arial" w:cs="Arial"/>
                <w:b/>
                <w:szCs w:val="20"/>
              </w:rPr>
              <w:t xml:space="preserve">Előterjesztés tárgya: </w:t>
            </w:r>
          </w:p>
          <w:p w:rsidR="0083707B" w:rsidRDefault="0083707B" w:rsidP="007852E3">
            <w:pPr>
              <w:spacing w:after="0" w:line="100" w:lineRule="atLeast"/>
              <w:rPr>
                <w:rFonts w:ascii="Arial" w:hAnsi="Arial" w:cs="Arial"/>
                <w:szCs w:val="20"/>
              </w:rPr>
            </w:pPr>
          </w:p>
          <w:p w:rsidR="0083707B" w:rsidRPr="00130A3B" w:rsidRDefault="0083707B" w:rsidP="007852E3">
            <w:pPr>
              <w:spacing w:after="0" w:line="240" w:lineRule="auto"/>
              <w:jc w:val="both"/>
              <w:rPr>
                <w:rFonts w:ascii="Arial" w:hAnsi="Arial" w:cs="Arial"/>
              </w:rPr>
            </w:pPr>
            <w:r w:rsidRPr="00130A3B">
              <w:rPr>
                <w:rFonts w:ascii="Arial" w:hAnsi="Arial" w:cs="Arial"/>
              </w:rPr>
              <w:t xml:space="preserve">Beszámoló a Hévízi Polgármesteri Hivatal 2015. évi adóigazgatási tevékenységéről </w:t>
            </w:r>
          </w:p>
          <w:p w:rsidR="0083707B" w:rsidRPr="00DB3E30" w:rsidRDefault="0083707B" w:rsidP="007852E3">
            <w:pPr>
              <w:pStyle w:val="Listaszerbekezds"/>
              <w:spacing w:after="0" w:line="240" w:lineRule="auto"/>
              <w:ind w:left="0"/>
              <w:jc w:val="both"/>
              <w:rPr>
                <w:rFonts w:ascii="Arial" w:hAnsi="Arial" w:cs="Arial"/>
                <w:b/>
              </w:rPr>
            </w:pPr>
          </w:p>
        </w:tc>
        <w:tc>
          <w:tcPr>
            <w:tcW w:w="20" w:type="dxa"/>
            <w:tcBorders>
              <w:left w:val="single" w:sz="4" w:space="0" w:color="000000"/>
            </w:tcBorders>
            <w:shd w:val="clear" w:color="auto" w:fill="auto"/>
          </w:tcPr>
          <w:p w:rsidR="0083707B" w:rsidRDefault="0083707B" w:rsidP="007852E3">
            <w:pPr>
              <w:snapToGrid w:val="0"/>
              <w:rPr>
                <w:rFonts w:ascii="Arial" w:hAnsi="Arial" w:cs="Arial"/>
                <w:b/>
                <w:sz w:val="20"/>
                <w:szCs w:val="20"/>
              </w:rPr>
            </w:pPr>
          </w:p>
        </w:tc>
      </w:tr>
      <w:tr w:rsidR="0083707B" w:rsidTr="007852E3">
        <w:tblPrEx>
          <w:tblCellMar>
            <w:left w:w="108" w:type="dxa"/>
            <w:right w:w="108" w:type="dxa"/>
          </w:tblCellMar>
        </w:tblPrEx>
        <w:trPr>
          <w:gridAfter w:val="1"/>
          <w:wAfter w:w="20" w:type="dxa"/>
          <w:trHeight w:val="1268"/>
        </w:trPr>
        <w:tc>
          <w:tcPr>
            <w:tcW w:w="2625" w:type="dxa"/>
            <w:tcBorders>
              <w:top w:val="single" w:sz="4" w:space="0" w:color="000000"/>
              <w:left w:val="single" w:sz="4" w:space="0" w:color="000000"/>
              <w:bottom w:val="single" w:sz="4" w:space="0" w:color="000000"/>
            </w:tcBorders>
            <w:shd w:val="clear" w:color="auto" w:fill="auto"/>
          </w:tcPr>
          <w:p w:rsidR="0083707B" w:rsidRDefault="0083707B" w:rsidP="007852E3">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83707B" w:rsidRDefault="0083707B" w:rsidP="007852E3">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83707B" w:rsidRDefault="0083707B" w:rsidP="007852E3">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83707B" w:rsidRDefault="0083707B" w:rsidP="007852E3">
            <w:pPr>
              <w:spacing w:after="0" w:line="100" w:lineRule="atLeast"/>
              <w:rPr>
                <w:rFonts w:ascii="Arial" w:hAnsi="Arial" w:cs="Arial"/>
                <w:b/>
                <w:sz w:val="20"/>
                <w:szCs w:val="20"/>
              </w:rPr>
            </w:pPr>
            <w:r>
              <w:rPr>
                <w:rFonts w:ascii="Arial" w:hAnsi="Arial" w:cs="Arial"/>
                <w:b/>
                <w:sz w:val="20"/>
                <w:szCs w:val="20"/>
              </w:rPr>
              <w:t xml:space="preserve">szavazati arány </w:t>
            </w:r>
          </w:p>
        </w:tc>
        <w:tc>
          <w:tcPr>
            <w:tcW w:w="3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07B" w:rsidRDefault="0083707B" w:rsidP="007852E3">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83707B" w:rsidTr="007852E3">
        <w:tblPrEx>
          <w:tblCellMar>
            <w:left w:w="108" w:type="dxa"/>
            <w:right w:w="108" w:type="dxa"/>
          </w:tblCellMar>
        </w:tblPrEx>
        <w:trPr>
          <w:gridAfter w:val="1"/>
          <w:wAfter w:w="20" w:type="dxa"/>
          <w:trHeight w:val="1697"/>
        </w:trPr>
        <w:tc>
          <w:tcPr>
            <w:tcW w:w="2625" w:type="dxa"/>
            <w:tcBorders>
              <w:top w:val="single" w:sz="4" w:space="0" w:color="000000"/>
              <w:left w:val="single" w:sz="4" w:space="0" w:color="000000"/>
              <w:bottom w:val="single" w:sz="4" w:space="0" w:color="000000"/>
            </w:tcBorders>
            <w:shd w:val="clear" w:color="auto" w:fill="auto"/>
            <w:vAlign w:val="center"/>
          </w:tcPr>
          <w:p w:rsidR="0083707B" w:rsidRDefault="0083707B" w:rsidP="007852E3">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4" w:type="dxa"/>
            <w:tcBorders>
              <w:top w:val="single" w:sz="4" w:space="0" w:color="000000"/>
              <w:left w:val="single" w:sz="4" w:space="0" w:color="000000"/>
              <w:bottom w:val="single" w:sz="4" w:space="0" w:color="000000"/>
            </w:tcBorders>
            <w:shd w:val="clear" w:color="auto" w:fill="auto"/>
            <w:vAlign w:val="center"/>
          </w:tcPr>
          <w:p w:rsidR="0083707B" w:rsidRDefault="0083707B" w:rsidP="007852E3">
            <w:pPr>
              <w:spacing w:after="0" w:line="100" w:lineRule="atLeast"/>
              <w:rPr>
                <w:rFonts w:ascii="Arial" w:hAnsi="Arial" w:cs="Arial"/>
                <w:sz w:val="20"/>
                <w:szCs w:val="20"/>
              </w:rPr>
            </w:pPr>
            <w:r>
              <w:rPr>
                <w:rFonts w:ascii="Arial" w:hAnsi="Arial" w:cs="Arial"/>
                <w:sz w:val="20"/>
                <w:szCs w:val="20"/>
              </w:rPr>
              <w:t>2016. március 24.</w:t>
            </w:r>
          </w:p>
        </w:tc>
        <w:tc>
          <w:tcPr>
            <w:tcW w:w="1439" w:type="dxa"/>
            <w:tcBorders>
              <w:top w:val="single" w:sz="4" w:space="0" w:color="000000"/>
              <w:left w:val="single" w:sz="4" w:space="0" w:color="000000"/>
              <w:bottom w:val="single" w:sz="4" w:space="0" w:color="000000"/>
            </w:tcBorders>
            <w:shd w:val="clear" w:color="auto" w:fill="auto"/>
            <w:vAlign w:val="center"/>
          </w:tcPr>
          <w:p w:rsidR="0083707B" w:rsidRDefault="0083707B" w:rsidP="007852E3">
            <w:pPr>
              <w:spacing w:after="0" w:line="100" w:lineRule="atLeast"/>
              <w:rPr>
                <w:rFonts w:ascii="Arial" w:hAnsi="Arial" w:cs="Arial"/>
                <w:sz w:val="20"/>
                <w:szCs w:val="20"/>
              </w:rPr>
            </w:pPr>
            <w:r>
              <w:rPr>
                <w:rFonts w:ascii="Arial" w:hAnsi="Arial" w:cs="Arial"/>
                <w:sz w:val="20"/>
                <w:szCs w:val="20"/>
              </w:rPr>
              <w:t>77/2016. (III.24.) PTVB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83707B" w:rsidRDefault="0083707B" w:rsidP="007852E3">
            <w:pPr>
              <w:snapToGrid w:val="0"/>
              <w:spacing w:after="0" w:line="100" w:lineRule="atLeast"/>
              <w:rPr>
                <w:rFonts w:ascii="Arial" w:hAnsi="Arial" w:cs="Arial"/>
                <w:sz w:val="20"/>
                <w:szCs w:val="20"/>
              </w:rPr>
            </w:pPr>
            <w:r>
              <w:rPr>
                <w:rFonts w:ascii="Arial" w:hAnsi="Arial" w:cs="Arial"/>
                <w:sz w:val="20"/>
                <w:szCs w:val="20"/>
              </w:rPr>
              <w:t>5 igen szavazat</w:t>
            </w:r>
          </w:p>
        </w:tc>
        <w:tc>
          <w:tcPr>
            <w:tcW w:w="3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07B" w:rsidRPr="00324C67" w:rsidRDefault="0083707B" w:rsidP="007852E3">
            <w:pPr>
              <w:spacing w:after="0" w:line="100" w:lineRule="atLeast"/>
              <w:rPr>
                <w:rFonts w:ascii="Arial" w:hAnsi="Arial" w:cs="Arial"/>
                <w:sz w:val="20"/>
                <w:szCs w:val="20"/>
              </w:rPr>
            </w:pPr>
            <w:r>
              <w:rPr>
                <w:rFonts w:ascii="Arial" w:hAnsi="Arial" w:cs="Arial"/>
                <w:sz w:val="20"/>
                <w:szCs w:val="20"/>
              </w:rPr>
              <w:t>A bizottság az előterjesztés határozati javaslatában foglaltak elfogadását egyhangúlag javasolja a Képviselő-testület számára.</w:t>
            </w:r>
          </w:p>
        </w:tc>
      </w:tr>
    </w:tbl>
    <w:p w:rsidR="0083707B" w:rsidRDefault="0083707B" w:rsidP="0083707B">
      <w:pPr>
        <w:spacing w:after="0" w:line="100" w:lineRule="atLeast"/>
      </w:pPr>
    </w:p>
    <w:p w:rsidR="0083707B" w:rsidRDefault="0083707B" w:rsidP="0083707B">
      <w:pPr>
        <w:tabs>
          <w:tab w:val="left" w:pos="5520"/>
        </w:tabs>
        <w:rPr>
          <w:rFonts w:ascii="Arial" w:hAnsi="Arial" w:cs="Arial"/>
          <w:sz w:val="24"/>
          <w:szCs w:val="24"/>
        </w:rPr>
      </w:pPr>
    </w:p>
    <w:p w:rsidR="00E03983" w:rsidRDefault="00157B65" w:rsidP="0083707B">
      <w:pPr>
        <w:jc w:val="center"/>
        <w:rPr>
          <w:rFonts w:ascii="Arial" w:hAnsi="Arial" w:cs="Arial"/>
          <w:b/>
          <w:sz w:val="24"/>
          <w:szCs w:val="24"/>
        </w:rPr>
      </w:pPr>
      <w:r w:rsidRPr="0083707B">
        <w:rPr>
          <w:rFonts w:ascii="Arial" w:hAnsi="Arial" w:cs="Arial"/>
          <w:sz w:val="24"/>
          <w:szCs w:val="24"/>
        </w:rPr>
        <w:br w:type="page"/>
      </w:r>
      <w:bookmarkStart w:id="0" w:name="_GoBack"/>
      <w:bookmarkEnd w:id="0"/>
      <w:r>
        <w:rPr>
          <w:rFonts w:ascii="Arial" w:hAnsi="Arial" w:cs="Arial"/>
          <w:b/>
          <w:sz w:val="24"/>
          <w:szCs w:val="24"/>
        </w:rPr>
        <w:lastRenderedPageBreak/>
        <w:t>5</w:t>
      </w:r>
      <w:r w:rsidR="00F7042A">
        <w:rPr>
          <w:rFonts w:ascii="Arial" w:hAnsi="Arial" w:cs="Arial"/>
          <w:b/>
          <w:sz w:val="24"/>
          <w:szCs w:val="24"/>
        </w:rPr>
        <w:t>.</w:t>
      </w:r>
    </w:p>
    <w:p w:rsidR="00F7042A" w:rsidRPr="00F7042A" w:rsidRDefault="00F7042A" w:rsidP="00F7042A">
      <w:pPr>
        <w:spacing w:after="0" w:line="240" w:lineRule="auto"/>
        <w:jc w:val="center"/>
        <w:rPr>
          <w:rFonts w:ascii="Arial" w:hAnsi="Arial" w:cs="Arial"/>
          <w:b/>
          <w:sz w:val="24"/>
          <w:szCs w:val="24"/>
        </w:rPr>
      </w:pPr>
    </w:p>
    <w:p w:rsidR="006D22ED" w:rsidRDefault="006D22ED" w:rsidP="00F7042A">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tc>
          <w:tcPr>
            <w:tcW w:w="9959"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trPr>
          <w:trHeight w:val="422"/>
        </w:trPr>
        <w:tc>
          <w:tcPr>
            <w:tcW w:w="230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név </w:t>
            </w:r>
          </w:p>
        </w:tc>
        <w:tc>
          <w:tcPr>
            <w:tcW w:w="248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beosztás/feladat</w:t>
            </w:r>
          </w:p>
        </w:tc>
        <w:tc>
          <w:tcPr>
            <w:tcW w:w="184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aláírás </w:t>
            </w:r>
          </w:p>
        </w:tc>
        <w:tc>
          <w:tcPr>
            <w:tcW w:w="333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0812FC" w:rsidRPr="00054B8A">
        <w:trPr>
          <w:trHeight w:val="697"/>
        </w:trPr>
        <w:tc>
          <w:tcPr>
            <w:tcW w:w="2303" w:type="dxa"/>
          </w:tcPr>
          <w:p w:rsidR="000812FC" w:rsidRPr="00054B8A" w:rsidRDefault="00310FAB" w:rsidP="00233937">
            <w:pPr>
              <w:spacing w:after="0" w:line="240" w:lineRule="auto"/>
              <w:rPr>
                <w:rFonts w:ascii="Arial" w:hAnsi="Arial" w:cs="Arial"/>
                <w:b/>
              </w:rPr>
            </w:pPr>
            <w:r>
              <w:rPr>
                <w:rFonts w:ascii="Arial" w:hAnsi="Arial" w:cs="Arial"/>
                <w:b/>
              </w:rPr>
              <w:t>Fábiánné Hoffman Márta</w:t>
            </w:r>
          </w:p>
        </w:tc>
        <w:tc>
          <w:tcPr>
            <w:tcW w:w="2483" w:type="dxa"/>
          </w:tcPr>
          <w:p w:rsidR="000812FC" w:rsidRPr="00054B8A" w:rsidRDefault="00C91785" w:rsidP="00C91785">
            <w:pPr>
              <w:spacing w:after="0" w:line="240" w:lineRule="auto"/>
              <w:rPr>
                <w:rFonts w:ascii="Arial" w:hAnsi="Arial" w:cs="Arial"/>
                <w:b/>
              </w:rPr>
            </w:pPr>
            <w:r>
              <w:rPr>
                <w:rFonts w:ascii="Arial" w:hAnsi="Arial" w:cs="Arial"/>
                <w:b/>
              </w:rPr>
              <w:t xml:space="preserve">mb. </w:t>
            </w:r>
            <w:r w:rsidR="000812FC" w:rsidRPr="00054B8A">
              <w:rPr>
                <w:rFonts w:ascii="Arial" w:hAnsi="Arial" w:cs="Arial"/>
                <w:b/>
              </w:rPr>
              <w:t>hatósági osztályvezető</w:t>
            </w:r>
          </w:p>
        </w:tc>
        <w:tc>
          <w:tcPr>
            <w:tcW w:w="1843" w:type="dxa"/>
          </w:tcPr>
          <w:p w:rsidR="000812FC" w:rsidRPr="00054B8A" w:rsidRDefault="000812FC" w:rsidP="00233937">
            <w:pPr>
              <w:spacing w:after="0" w:line="240" w:lineRule="auto"/>
              <w:rPr>
                <w:rFonts w:ascii="Arial" w:hAnsi="Arial" w:cs="Arial"/>
                <w:b/>
              </w:rPr>
            </w:pPr>
          </w:p>
        </w:tc>
        <w:tc>
          <w:tcPr>
            <w:tcW w:w="3330" w:type="dxa"/>
          </w:tcPr>
          <w:p w:rsidR="000812FC" w:rsidRPr="00054B8A" w:rsidRDefault="000812FC" w:rsidP="00233937">
            <w:pPr>
              <w:spacing w:after="0" w:line="240" w:lineRule="auto"/>
              <w:rPr>
                <w:rFonts w:ascii="Arial" w:hAnsi="Arial" w:cs="Arial"/>
                <w:b/>
              </w:rPr>
            </w:pPr>
          </w:p>
        </w:tc>
      </w:tr>
      <w:tr w:rsidR="00267CD8" w:rsidRPr="00054B8A">
        <w:trPr>
          <w:trHeight w:val="697"/>
        </w:trPr>
        <w:tc>
          <w:tcPr>
            <w:tcW w:w="2303" w:type="dxa"/>
          </w:tcPr>
          <w:p w:rsidR="00267CD8" w:rsidRDefault="00A25494" w:rsidP="00233937">
            <w:pPr>
              <w:spacing w:after="0" w:line="240" w:lineRule="auto"/>
              <w:rPr>
                <w:rFonts w:ascii="Arial" w:hAnsi="Arial" w:cs="Arial"/>
                <w:b/>
              </w:rPr>
            </w:pPr>
            <w:r>
              <w:rPr>
                <w:rFonts w:ascii="Arial" w:hAnsi="Arial" w:cs="Arial"/>
                <w:b/>
              </w:rPr>
              <w:t>Dr. Vértesaljainé Halami Katalin</w:t>
            </w:r>
          </w:p>
          <w:p w:rsidR="00267CD8" w:rsidRDefault="00267CD8" w:rsidP="00233937">
            <w:pPr>
              <w:spacing w:after="0" w:line="240" w:lineRule="auto"/>
              <w:rPr>
                <w:rFonts w:ascii="Arial" w:hAnsi="Arial" w:cs="Arial"/>
                <w:b/>
              </w:rPr>
            </w:pPr>
          </w:p>
        </w:tc>
        <w:tc>
          <w:tcPr>
            <w:tcW w:w="2483" w:type="dxa"/>
          </w:tcPr>
          <w:p w:rsidR="00267CD8" w:rsidRPr="00054B8A" w:rsidRDefault="00A25494" w:rsidP="00233937">
            <w:pPr>
              <w:spacing w:after="0" w:line="240" w:lineRule="auto"/>
              <w:rPr>
                <w:rFonts w:ascii="Arial" w:hAnsi="Arial" w:cs="Arial"/>
                <w:b/>
              </w:rPr>
            </w:pPr>
            <w:r>
              <w:rPr>
                <w:rFonts w:ascii="Arial" w:hAnsi="Arial" w:cs="Arial"/>
                <w:b/>
              </w:rPr>
              <w:t>gépjárműadó és behajtási ügyintéző</w:t>
            </w:r>
          </w:p>
        </w:tc>
        <w:tc>
          <w:tcPr>
            <w:tcW w:w="1843" w:type="dxa"/>
          </w:tcPr>
          <w:p w:rsidR="00267CD8" w:rsidRPr="00054B8A" w:rsidRDefault="00267CD8" w:rsidP="00233937">
            <w:pPr>
              <w:spacing w:after="0" w:line="240" w:lineRule="auto"/>
              <w:rPr>
                <w:rFonts w:ascii="Arial" w:hAnsi="Arial" w:cs="Arial"/>
                <w:b/>
              </w:rPr>
            </w:pPr>
          </w:p>
        </w:tc>
        <w:tc>
          <w:tcPr>
            <w:tcW w:w="3330" w:type="dxa"/>
          </w:tcPr>
          <w:p w:rsidR="00267CD8" w:rsidRPr="00054B8A" w:rsidRDefault="00267CD8"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Pángerné Toplak Éva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idegenforgalmi adóügyintéző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5F5EBB" w:rsidRPr="00054B8A">
        <w:trPr>
          <w:trHeight w:val="697"/>
        </w:trPr>
        <w:tc>
          <w:tcPr>
            <w:tcW w:w="2303" w:type="dxa"/>
          </w:tcPr>
          <w:p w:rsidR="005F5EBB" w:rsidRDefault="005F5EBB" w:rsidP="00233937">
            <w:pPr>
              <w:spacing w:after="0" w:line="240" w:lineRule="auto"/>
              <w:rPr>
                <w:rFonts w:ascii="Arial" w:hAnsi="Arial" w:cs="Arial"/>
                <w:b/>
              </w:rPr>
            </w:pPr>
            <w:r>
              <w:rPr>
                <w:rFonts w:ascii="Arial" w:hAnsi="Arial" w:cs="Arial"/>
                <w:b/>
              </w:rPr>
              <w:t>Panka-Kovács Melinda</w:t>
            </w:r>
          </w:p>
        </w:tc>
        <w:tc>
          <w:tcPr>
            <w:tcW w:w="2483" w:type="dxa"/>
          </w:tcPr>
          <w:p w:rsidR="005F5EBB" w:rsidRDefault="005F5EBB" w:rsidP="00233937">
            <w:pPr>
              <w:spacing w:after="0" w:line="240" w:lineRule="auto"/>
              <w:rPr>
                <w:rFonts w:ascii="Arial" w:hAnsi="Arial" w:cs="Arial"/>
                <w:b/>
              </w:rPr>
            </w:pPr>
            <w:r>
              <w:rPr>
                <w:rFonts w:ascii="Arial" w:hAnsi="Arial" w:cs="Arial"/>
                <w:b/>
              </w:rPr>
              <w:t>hatósági ügyintéző</w:t>
            </w:r>
          </w:p>
        </w:tc>
        <w:tc>
          <w:tcPr>
            <w:tcW w:w="1843" w:type="dxa"/>
          </w:tcPr>
          <w:p w:rsidR="005F5EBB" w:rsidRPr="00054B8A" w:rsidRDefault="005F5EBB" w:rsidP="00233937">
            <w:pPr>
              <w:spacing w:after="0" w:line="240" w:lineRule="auto"/>
              <w:rPr>
                <w:rFonts w:ascii="Arial" w:hAnsi="Arial" w:cs="Arial"/>
                <w:b/>
              </w:rPr>
            </w:pPr>
          </w:p>
        </w:tc>
        <w:tc>
          <w:tcPr>
            <w:tcW w:w="3330" w:type="dxa"/>
          </w:tcPr>
          <w:p w:rsidR="005F5EBB" w:rsidRPr="00054B8A" w:rsidRDefault="005F5EBB"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Szörényi László</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adóügyi és építményadó 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Szűrösné Németh Hajnalka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adóellenőr</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7A5695" w:rsidRPr="00054B8A">
        <w:trPr>
          <w:trHeight w:val="573"/>
        </w:trPr>
        <w:tc>
          <w:tcPr>
            <w:tcW w:w="2303" w:type="dxa"/>
          </w:tcPr>
          <w:p w:rsidR="007A5695" w:rsidRPr="00054B8A" w:rsidRDefault="005F5EBB" w:rsidP="00267CD8">
            <w:pPr>
              <w:spacing w:after="0" w:line="240" w:lineRule="auto"/>
              <w:rPr>
                <w:rFonts w:ascii="Arial" w:hAnsi="Arial" w:cs="Arial"/>
                <w:b/>
              </w:rPr>
            </w:pPr>
            <w:r>
              <w:rPr>
                <w:rFonts w:ascii="Arial" w:hAnsi="Arial" w:cs="Arial"/>
                <w:b/>
              </w:rPr>
              <w:t>Szintén László</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pénzügyi ellenőrzés </w:t>
            </w: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r w:rsidR="007A5695" w:rsidRPr="00054B8A">
        <w:tc>
          <w:tcPr>
            <w:tcW w:w="2303" w:type="dxa"/>
          </w:tcPr>
          <w:p w:rsidR="007A5695" w:rsidRPr="00054B8A" w:rsidRDefault="007A5695" w:rsidP="00476DD3">
            <w:pPr>
              <w:spacing w:after="0" w:line="240" w:lineRule="auto"/>
              <w:rPr>
                <w:rFonts w:ascii="Arial" w:hAnsi="Arial" w:cs="Arial"/>
                <w:b/>
              </w:rPr>
            </w:pPr>
            <w:r w:rsidRPr="00054B8A">
              <w:rPr>
                <w:rFonts w:ascii="Arial" w:hAnsi="Arial" w:cs="Arial"/>
                <w:b/>
              </w:rPr>
              <w:t>dr. Tüske Róbert</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törvényességi felülvizsgálat </w:t>
            </w:r>
          </w:p>
          <w:p w:rsidR="007A5695" w:rsidRPr="00054B8A" w:rsidRDefault="007A5695" w:rsidP="00476DD3">
            <w:pPr>
              <w:spacing w:after="0" w:line="240" w:lineRule="auto"/>
              <w:rPr>
                <w:rFonts w:ascii="Arial" w:hAnsi="Arial" w:cs="Arial"/>
                <w:b/>
              </w:rPr>
            </w:pP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bl>
    <w:p w:rsidR="007A5695" w:rsidRPr="00054B8A" w:rsidRDefault="007A5695" w:rsidP="007A5695">
      <w:pPr>
        <w:jc w:val="center"/>
        <w:rPr>
          <w:rFonts w:ascii="Arial" w:hAnsi="Arial" w:cs="Arial"/>
          <w:b/>
        </w:rPr>
      </w:pPr>
    </w:p>
    <w:p w:rsidR="007A5695" w:rsidRPr="00054B8A" w:rsidRDefault="007A5695" w:rsidP="007A5695">
      <w:pPr>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7A5695" w:rsidRPr="00054B8A">
        <w:trPr>
          <w:trHeight w:val="277"/>
        </w:trPr>
        <w:tc>
          <w:tcPr>
            <w:tcW w:w="10008"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Külsős partner </w:t>
            </w:r>
          </w:p>
        </w:tc>
      </w:tr>
      <w:tr w:rsidR="007A5695" w:rsidRPr="00054B8A">
        <w:trPr>
          <w:trHeight w:val="277"/>
        </w:trPr>
        <w:tc>
          <w:tcPr>
            <w:tcW w:w="268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Név</w:t>
            </w:r>
          </w:p>
        </w:tc>
        <w:tc>
          <w:tcPr>
            <w:tcW w:w="239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w:t>
            </w:r>
          </w:p>
        </w:tc>
        <w:tc>
          <w:tcPr>
            <w:tcW w:w="176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aláírás</w:t>
            </w:r>
          </w:p>
        </w:tc>
        <w:tc>
          <w:tcPr>
            <w:tcW w:w="317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7A5695" w:rsidRPr="00054B8A">
        <w:trPr>
          <w:trHeight w:val="277"/>
        </w:trPr>
        <w:tc>
          <w:tcPr>
            <w:tcW w:w="2684" w:type="dxa"/>
          </w:tcPr>
          <w:p w:rsidR="007A5695" w:rsidRPr="00054B8A" w:rsidRDefault="007A5695" w:rsidP="002339CB">
            <w:pPr>
              <w:spacing w:after="0" w:line="240" w:lineRule="auto"/>
              <w:jc w:val="center"/>
              <w:rPr>
                <w:rFonts w:ascii="Arial" w:hAnsi="Arial" w:cs="Arial"/>
                <w:b/>
              </w:rPr>
            </w:pPr>
          </w:p>
        </w:tc>
        <w:tc>
          <w:tcPr>
            <w:tcW w:w="2390" w:type="dxa"/>
          </w:tcPr>
          <w:p w:rsidR="007A5695" w:rsidRPr="00054B8A" w:rsidRDefault="007A5695" w:rsidP="00476DD3">
            <w:pPr>
              <w:spacing w:after="0" w:line="240" w:lineRule="auto"/>
              <w:jc w:val="center"/>
              <w:rPr>
                <w:rFonts w:ascii="Arial" w:hAnsi="Arial" w:cs="Arial"/>
                <w:b/>
              </w:rPr>
            </w:pPr>
          </w:p>
        </w:tc>
        <w:tc>
          <w:tcPr>
            <w:tcW w:w="1760" w:type="dxa"/>
          </w:tcPr>
          <w:p w:rsidR="007A5695" w:rsidRPr="00054B8A" w:rsidRDefault="007A5695" w:rsidP="00476DD3">
            <w:pPr>
              <w:spacing w:after="0" w:line="240" w:lineRule="auto"/>
              <w:jc w:val="center"/>
              <w:rPr>
                <w:rFonts w:ascii="Arial" w:hAnsi="Arial" w:cs="Arial"/>
                <w:b/>
              </w:rPr>
            </w:pPr>
          </w:p>
        </w:tc>
        <w:tc>
          <w:tcPr>
            <w:tcW w:w="3174" w:type="dxa"/>
          </w:tcPr>
          <w:p w:rsidR="007A5695" w:rsidRPr="00054B8A" w:rsidRDefault="007A5695" w:rsidP="00476DD3">
            <w:pPr>
              <w:spacing w:after="0" w:line="240" w:lineRule="auto"/>
              <w:jc w:val="center"/>
              <w:rPr>
                <w:rFonts w:ascii="Arial" w:hAnsi="Arial" w:cs="Arial"/>
                <w:b/>
              </w:rPr>
            </w:pPr>
          </w:p>
        </w:tc>
      </w:tr>
      <w:tr w:rsidR="00F7042A" w:rsidRPr="00054B8A">
        <w:trPr>
          <w:trHeight w:val="277"/>
        </w:trPr>
        <w:tc>
          <w:tcPr>
            <w:tcW w:w="2684" w:type="dxa"/>
          </w:tcPr>
          <w:p w:rsidR="00F7042A" w:rsidRDefault="00F7042A" w:rsidP="00476DD3">
            <w:pPr>
              <w:spacing w:after="0" w:line="240" w:lineRule="auto"/>
              <w:jc w:val="center"/>
              <w:rPr>
                <w:rFonts w:ascii="Arial" w:hAnsi="Arial" w:cs="Arial"/>
                <w:b/>
              </w:rPr>
            </w:pPr>
          </w:p>
        </w:tc>
        <w:tc>
          <w:tcPr>
            <w:tcW w:w="2390" w:type="dxa"/>
          </w:tcPr>
          <w:p w:rsidR="00F7042A" w:rsidRDefault="00F7042A" w:rsidP="008549E4">
            <w:pPr>
              <w:spacing w:after="0" w:line="240" w:lineRule="auto"/>
              <w:jc w:val="center"/>
              <w:rPr>
                <w:rFonts w:ascii="Arial" w:hAnsi="Arial" w:cs="Arial"/>
                <w:b/>
              </w:rPr>
            </w:pPr>
          </w:p>
        </w:tc>
        <w:tc>
          <w:tcPr>
            <w:tcW w:w="1760" w:type="dxa"/>
          </w:tcPr>
          <w:p w:rsidR="00F7042A" w:rsidRPr="00054B8A" w:rsidRDefault="00F7042A" w:rsidP="00476DD3">
            <w:pPr>
              <w:spacing w:after="0" w:line="240" w:lineRule="auto"/>
              <w:jc w:val="center"/>
              <w:rPr>
                <w:rFonts w:ascii="Arial" w:hAnsi="Arial" w:cs="Arial"/>
                <w:b/>
              </w:rPr>
            </w:pPr>
          </w:p>
        </w:tc>
        <w:tc>
          <w:tcPr>
            <w:tcW w:w="3174" w:type="dxa"/>
          </w:tcPr>
          <w:p w:rsidR="00F7042A" w:rsidRPr="00054B8A" w:rsidRDefault="00F7042A" w:rsidP="00476DD3">
            <w:pPr>
              <w:spacing w:after="0" w:line="240" w:lineRule="auto"/>
              <w:jc w:val="center"/>
              <w:rPr>
                <w:rFonts w:ascii="Arial" w:hAnsi="Arial" w:cs="Arial"/>
                <w:b/>
              </w:rPr>
            </w:pPr>
          </w:p>
        </w:tc>
      </w:tr>
    </w:tbl>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EC17CA" w:rsidRPr="00843DC2" w:rsidRDefault="00EC17CA" w:rsidP="00EC17CA">
      <w:pPr>
        <w:jc w:val="center"/>
        <w:rPr>
          <w:rFonts w:ascii="Arial" w:hAnsi="Arial" w:cs="Arial"/>
          <w:b/>
          <w:sz w:val="24"/>
          <w:szCs w:val="24"/>
        </w:rPr>
      </w:pPr>
    </w:p>
    <w:sectPr w:rsidR="00EC17CA" w:rsidRPr="00843DC2" w:rsidSect="00E63E43">
      <w:footerReference w:type="even" r:id="rId10"/>
      <w:footerReference w:type="default" r:id="rId11"/>
      <w:headerReference w:type="first" r:id="rId12"/>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D75" w:rsidRDefault="00D84D75" w:rsidP="00980239">
      <w:pPr>
        <w:spacing w:after="0" w:line="240" w:lineRule="auto"/>
      </w:pPr>
      <w:r>
        <w:separator/>
      </w:r>
    </w:p>
  </w:endnote>
  <w:endnote w:type="continuationSeparator" w:id="0">
    <w:p w:rsidR="00D84D75" w:rsidRDefault="00D84D75"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231" w:rsidRDefault="00372231"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372231" w:rsidRDefault="00372231">
    <w:pPr>
      <w:pStyle w:val="llb"/>
    </w:pPr>
  </w:p>
  <w:p w:rsidR="00372231" w:rsidRDefault="003722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231" w:rsidRDefault="00372231"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83707B">
      <w:rPr>
        <w:rStyle w:val="Oldalszm"/>
        <w:noProof/>
      </w:rPr>
      <w:t>14</w:t>
    </w:r>
    <w:r>
      <w:rPr>
        <w:rStyle w:val="Oldalszm"/>
      </w:rPr>
      <w:fldChar w:fldCharType="end"/>
    </w:r>
  </w:p>
  <w:p w:rsidR="00372231" w:rsidRDefault="0037223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D75" w:rsidRDefault="00D84D75" w:rsidP="00980239">
      <w:pPr>
        <w:spacing w:after="0" w:line="240" w:lineRule="auto"/>
      </w:pPr>
      <w:r>
        <w:separator/>
      </w:r>
    </w:p>
  </w:footnote>
  <w:footnote w:type="continuationSeparator" w:id="0">
    <w:p w:rsidR="00D84D75" w:rsidRDefault="00D84D75"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231" w:rsidRDefault="00372231"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2231" w:rsidRDefault="00372231" w:rsidP="00B12CDF">
    <w:pPr>
      <w:pStyle w:val="lfej"/>
      <w:tabs>
        <w:tab w:val="clear" w:pos="4536"/>
        <w:tab w:val="clear" w:pos="9072"/>
      </w:tabs>
    </w:pPr>
  </w:p>
  <w:p w:rsidR="00372231" w:rsidRDefault="00372231" w:rsidP="00B12CDF">
    <w:pPr>
      <w:pStyle w:val="lfej"/>
      <w:tabs>
        <w:tab w:val="clear" w:pos="4536"/>
        <w:tab w:val="clear" w:pos="9072"/>
      </w:tabs>
    </w:pPr>
  </w:p>
  <w:p w:rsidR="00372231" w:rsidRDefault="00372231"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2231" w:rsidRPr="00C05199" w:rsidRDefault="00372231"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372231" w:rsidRDefault="00372231"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372231" w:rsidRDefault="00372231"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72231" w:rsidRPr="00AB14F3">
                            <w:trPr>
                              <w:trHeight w:val="1531"/>
                            </w:trPr>
                            <w:tc>
                              <w:tcPr>
                                <w:tcW w:w="3685" w:type="dxa"/>
                              </w:tcPr>
                              <w:p w:rsidR="00372231" w:rsidRPr="00A101F2" w:rsidRDefault="00372231" w:rsidP="00A101F2">
                                <w:pPr>
                                  <w:spacing w:before="57" w:after="0" w:line="240" w:lineRule="auto"/>
                                  <w:ind w:right="227"/>
                                  <w:rPr>
                                    <w:rFonts w:ascii="ScalaSans" w:hAnsi="ScalaSans"/>
                                    <w:color w:val="808080"/>
                                    <w:spacing w:val="6"/>
                                  </w:rPr>
                                </w:pPr>
                              </w:p>
                              <w:p w:rsidR="00372231" w:rsidRPr="00D15388" w:rsidRDefault="00372231" w:rsidP="00A101F2">
                                <w:pPr>
                                  <w:spacing w:before="57" w:after="0" w:line="240" w:lineRule="auto"/>
                                  <w:ind w:right="227"/>
                                  <w:rPr>
                                    <w:rFonts w:ascii="ScalaSans" w:hAnsi="ScalaSans" w:cs="ScalaSans"/>
                                    <w:color w:val="808080"/>
                                    <w:spacing w:val="6"/>
                                  </w:rPr>
                                </w:pPr>
                              </w:p>
                            </w:tc>
                            <w:tc>
                              <w:tcPr>
                                <w:tcW w:w="4535" w:type="dxa"/>
                              </w:tcPr>
                              <w:p w:rsidR="00372231" w:rsidRPr="00D15388" w:rsidRDefault="00372231" w:rsidP="00A101F2">
                                <w:pPr>
                                  <w:spacing w:before="57" w:after="0" w:line="240" w:lineRule="auto"/>
                                  <w:rPr>
                                    <w:rFonts w:ascii="ScalaSans" w:hAnsi="ScalaSans" w:cs="ScalaSans"/>
                                    <w:color w:val="808080"/>
                                    <w:spacing w:val="2"/>
                                    <w:sz w:val="24"/>
                                    <w:szCs w:val="24"/>
                                  </w:rPr>
                                </w:pPr>
                              </w:p>
                            </w:tc>
                          </w:tr>
                        </w:tbl>
                        <w:p w:rsidR="00372231" w:rsidRDefault="00372231" w:rsidP="00B12CDF">
                          <w:pPr>
                            <w:pStyle w:val="BasicParagraph"/>
                            <w:spacing w:line="240" w:lineRule="auto"/>
                            <w:rPr>
                              <w:rFonts w:ascii="ScalaSans" w:hAnsi="ScalaSans" w:cs="ScalaSans"/>
                              <w:color w:val="auto"/>
                              <w:spacing w:val="7"/>
                            </w:rPr>
                          </w:pPr>
                        </w:p>
                        <w:p w:rsidR="00372231" w:rsidRPr="00763423" w:rsidRDefault="00372231"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372231" w:rsidRPr="00C05199" w:rsidRDefault="00372231"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372231" w:rsidRDefault="00372231"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372231" w:rsidRDefault="00372231"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72231" w:rsidRPr="00AB14F3">
                      <w:trPr>
                        <w:trHeight w:val="1531"/>
                      </w:trPr>
                      <w:tc>
                        <w:tcPr>
                          <w:tcW w:w="3685" w:type="dxa"/>
                        </w:tcPr>
                        <w:p w:rsidR="00372231" w:rsidRPr="00A101F2" w:rsidRDefault="00372231" w:rsidP="00A101F2">
                          <w:pPr>
                            <w:spacing w:before="57" w:after="0" w:line="240" w:lineRule="auto"/>
                            <w:ind w:right="227"/>
                            <w:rPr>
                              <w:rFonts w:ascii="ScalaSans" w:hAnsi="ScalaSans"/>
                              <w:color w:val="808080"/>
                              <w:spacing w:val="6"/>
                            </w:rPr>
                          </w:pPr>
                        </w:p>
                        <w:p w:rsidR="00372231" w:rsidRPr="00D15388" w:rsidRDefault="00372231" w:rsidP="00A101F2">
                          <w:pPr>
                            <w:spacing w:before="57" w:after="0" w:line="240" w:lineRule="auto"/>
                            <w:ind w:right="227"/>
                            <w:rPr>
                              <w:rFonts w:ascii="ScalaSans" w:hAnsi="ScalaSans" w:cs="ScalaSans"/>
                              <w:color w:val="808080"/>
                              <w:spacing w:val="6"/>
                            </w:rPr>
                          </w:pPr>
                        </w:p>
                      </w:tc>
                      <w:tc>
                        <w:tcPr>
                          <w:tcW w:w="4535" w:type="dxa"/>
                        </w:tcPr>
                        <w:p w:rsidR="00372231" w:rsidRPr="00D15388" w:rsidRDefault="00372231" w:rsidP="00A101F2">
                          <w:pPr>
                            <w:spacing w:before="57" w:after="0" w:line="240" w:lineRule="auto"/>
                            <w:rPr>
                              <w:rFonts w:ascii="ScalaSans" w:hAnsi="ScalaSans" w:cs="ScalaSans"/>
                              <w:color w:val="808080"/>
                              <w:spacing w:val="2"/>
                              <w:sz w:val="24"/>
                              <w:szCs w:val="24"/>
                            </w:rPr>
                          </w:pPr>
                        </w:p>
                      </w:tc>
                    </w:tr>
                  </w:tbl>
                  <w:p w:rsidR="00372231" w:rsidRDefault="00372231" w:rsidP="00B12CDF">
                    <w:pPr>
                      <w:pStyle w:val="BasicParagraph"/>
                      <w:spacing w:line="240" w:lineRule="auto"/>
                      <w:rPr>
                        <w:rFonts w:ascii="ScalaSans" w:hAnsi="ScalaSans" w:cs="ScalaSans"/>
                        <w:color w:val="auto"/>
                        <w:spacing w:val="7"/>
                      </w:rPr>
                    </w:pPr>
                  </w:p>
                  <w:p w:rsidR="00372231" w:rsidRPr="00763423" w:rsidRDefault="00372231"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372231" w:rsidRDefault="00372231" w:rsidP="00B12CDF">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24EC94C"/>
    <w:multiLevelType w:val="hybridMultilevel"/>
    <w:tmpl w:val="C397FE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020C5"/>
    <w:multiLevelType w:val="hybridMultilevel"/>
    <w:tmpl w:val="995E4A3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733E3"/>
    <w:multiLevelType w:val="hybridMultilevel"/>
    <w:tmpl w:val="B354342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176FD3"/>
    <w:multiLevelType w:val="hybridMultilevel"/>
    <w:tmpl w:val="696E28E4"/>
    <w:lvl w:ilvl="0" w:tplc="17649D8C">
      <w:start w:val="1"/>
      <w:numFmt w:val="decimal"/>
      <w:lvlText w:val="%1."/>
      <w:lvlJc w:val="left"/>
      <w:pPr>
        <w:ind w:left="1035" w:hanging="6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81A5AC5"/>
    <w:multiLevelType w:val="hybridMultilevel"/>
    <w:tmpl w:val="5090268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9244124"/>
    <w:multiLevelType w:val="hybridMultilevel"/>
    <w:tmpl w:val="A6208AF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19980E3D"/>
    <w:multiLevelType w:val="hybridMultilevel"/>
    <w:tmpl w:val="DDACADB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0405F"/>
    <w:multiLevelType w:val="hybridMultilevel"/>
    <w:tmpl w:val="0F48A692"/>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D10D58"/>
    <w:multiLevelType w:val="hybridMultilevel"/>
    <w:tmpl w:val="20A82BC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4AF19C4"/>
    <w:multiLevelType w:val="hybridMultilevel"/>
    <w:tmpl w:val="4BBCF3D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8025D9"/>
    <w:multiLevelType w:val="hybridMultilevel"/>
    <w:tmpl w:val="00F03A7A"/>
    <w:lvl w:ilvl="0" w:tplc="BC98CCDC">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2" w15:restartNumberingAfterBreak="0">
    <w:nsid w:val="2720358B"/>
    <w:multiLevelType w:val="multilevel"/>
    <w:tmpl w:val="88A46BEC"/>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7B2000D"/>
    <w:multiLevelType w:val="hybridMultilevel"/>
    <w:tmpl w:val="E83A8D2C"/>
    <w:lvl w:ilvl="0" w:tplc="CB5C39CE">
      <w:start w:val="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8254553"/>
    <w:multiLevelType w:val="hybridMultilevel"/>
    <w:tmpl w:val="9078B69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4C0993"/>
    <w:multiLevelType w:val="hybridMultilevel"/>
    <w:tmpl w:val="160E8BA6"/>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E273828"/>
    <w:multiLevelType w:val="hybridMultilevel"/>
    <w:tmpl w:val="3C8EA19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46343"/>
    <w:multiLevelType w:val="hybridMultilevel"/>
    <w:tmpl w:val="EF60C5E0"/>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31B52FDE"/>
    <w:multiLevelType w:val="hybridMultilevel"/>
    <w:tmpl w:val="157CA39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A5B13"/>
    <w:multiLevelType w:val="hybridMultilevel"/>
    <w:tmpl w:val="4830D24C"/>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F288C"/>
    <w:multiLevelType w:val="hybridMultilevel"/>
    <w:tmpl w:val="760AB90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E127AB"/>
    <w:multiLevelType w:val="hybridMultilevel"/>
    <w:tmpl w:val="BCC8B8B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404316E1"/>
    <w:multiLevelType w:val="hybridMultilevel"/>
    <w:tmpl w:val="B57611D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210D47"/>
    <w:multiLevelType w:val="multilevel"/>
    <w:tmpl w:val="24623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223AA3"/>
    <w:multiLevelType w:val="hybridMultilevel"/>
    <w:tmpl w:val="858CD1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C10155"/>
    <w:multiLevelType w:val="hybridMultilevel"/>
    <w:tmpl w:val="9DAC7D5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D32864"/>
    <w:multiLevelType w:val="hybridMultilevel"/>
    <w:tmpl w:val="911A249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4B680AE6"/>
    <w:multiLevelType w:val="hybridMultilevel"/>
    <w:tmpl w:val="736EACBC"/>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FA35836"/>
    <w:multiLevelType w:val="hybridMultilevel"/>
    <w:tmpl w:val="D6E80AAE"/>
    <w:lvl w:ilvl="0" w:tplc="5DD08BAE">
      <w:start w:val="1"/>
      <w:numFmt w:val="bullet"/>
      <w:lvlText w:val="-"/>
      <w:lvlJc w:val="left"/>
      <w:pPr>
        <w:tabs>
          <w:tab w:val="num" w:pos="740"/>
        </w:tabs>
        <w:ind w:left="740" w:hanging="360"/>
      </w:pPr>
      <w:rPr>
        <w:rFonts w:ascii="Arial" w:hAnsi="Arial" w:hint="default"/>
      </w:rPr>
    </w:lvl>
    <w:lvl w:ilvl="1" w:tplc="040E0003" w:tentative="1">
      <w:start w:val="1"/>
      <w:numFmt w:val="bullet"/>
      <w:lvlText w:val="o"/>
      <w:lvlJc w:val="left"/>
      <w:pPr>
        <w:tabs>
          <w:tab w:val="num" w:pos="1460"/>
        </w:tabs>
        <w:ind w:left="1460" w:hanging="360"/>
      </w:pPr>
      <w:rPr>
        <w:rFonts w:ascii="Courier New" w:hAnsi="Courier New" w:cs="Courier New" w:hint="default"/>
      </w:rPr>
    </w:lvl>
    <w:lvl w:ilvl="2" w:tplc="040E0005" w:tentative="1">
      <w:start w:val="1"/>
      <w:numFmt w:val="bullet"/>
      <w:lvlText w:val=""/>
      <w:lvlJc w:val="left"/>
      <w:pPr>
        <w:tabs>
          <w:tab w:val="num" w:pos="2180"/>
        </w:tabs>
        <w:ind w:left="2180" w:hanging="360"/>
      </w:pPr>
      <w:rPr>
        <w:rFonts w:ascii="Wingdings" w:hAnsi="Wingdings" w:hint="default"/>
      </w:rPr>
    </w:lvl>
    <w:lvl w:ilvl="3" w:tplc="040E0001" w:tentative="1">
      <w:start w:val="1"/>
      <w:numFmt w:val="bullet"/>
      <w:lvlText w:val=""/>
      <w:lvlJc w:val="left"/>
      <w:pPr>
        <w:tabs>
          <w:tab w:val="num" w:pos="2900"/>
        </w:tabs>
        <w:ind w:left="2900" w:hanging="360"/>
      </w:pPr>
      <w:rPr>
        <w:rFonts w:ascii="Symbol" w:hAnsi="Symbol" w:hint="default"/>
      </w:rPr>
    </w:lvl>
    <w:lvl w:ilvl="4" w:tplc="040E0003" w:tentative="1">
      <w:start w:val="1"/>
      <w:numFmt w:val="bullet"/>
      <w:lvlText w:val="o"/>
      <w:lvlJc w:val="left"/>
      <w:pPr>
        <w:tabs>
          <w:tab w:val="num" w:pos="3620"/>
        </w:tabs>
        <w:ind w:left="3620" w:hanging="360"/>
      </w:pPr>
      <w:rPr>
        <w:rFonts w:ascii="Courier New" w:hAnsi="Courier New" w:cs="Courier New" w:hint="default"/>
      </w:rPr>
    </w:lvl>
    <w:lvl w:ilvl="5" w:tplc="040E0005" w:tentative="1">
      <w:start w:val="1"/>
      <w:numFmt w:val="bullet"/>
      <w:lvlText w:val=""/>
      <w:lvlJc w:val="left"/>
      <w:pPr>
        <w:tabs>
          <w:tab w:val="num" w:pos="4340"/>
        </w:tabs>
        <w:ind w:left="4340" w:hanging="360"/>
      </w:pPr>
      <w:rPr>
        <w:rFonts w:ascii="Wingdings" w:hAnsi="Wingdings" w:hint="default"/>
      </w:rPr>
    </w:lvl>
    <w:lvl w:ilvl="6" w:tplc="040E0001" w:tentative="1">
      <w:start w:val="1"/>
      <w:numFmt w:val="bullet"/>
      <w:lvlText w:val=""/>
      <w:lvlJc w:val="left"/>
      <w:pPr>
        <w:tabs>
          <w:tab w:val="num" w:pos="5060"/>
        </w:tabs>
        <w:ind w:left="5060" w:hanging="360"/>
      </w:pPr>
      <w:rPr>
        <w:rFonts w:ascii="Symbol" w:hAnsi="Symbol" w:hint="default"/>
      </w:rPr>
    </w:lvl>
    <w:lvl w:ilvl="7" w:tplc="040E0003" w:tentative="1">
      <w:start w:val="1"/>
      <w:numFmt w:val="bullet"/>
      <w:lvlText w:val="o"/>
      <w:lvlJc w:val="left"/>
      <w:pPr>
        <w:tabs>
          <w:tab w:val="num" w:pos="5780"/>
        </w:tabs>
        <w:ind w:left="5780" w:hanging="360"/>
      </w:pPr>
      <w:rPr>
        <w:rFonts w:ascii="Courier New" w:hAnsi="Courier New" w:cs="Courier New" w:hint="default"/>
      </w:rPr>
    </w:lvl>
    <w:lvl w:ilvl="8" w:tplc="040E0005" w:tentative="1">
      <w:start w:val="1"/>
      <w:numFmt w:val="bullet"/>
      <w:lvlText w:val=""/>
      <w:lvlJc w:val="left"/>
      <w:pPr>
        <w:tabs>
          <w:tab w:val="num" w:pos="6500"/>
        </w:tabs>
        <w:ind w:left="6500" w:hanging="360"/>
      </w:pPr>
      <w:rPr>
        <w:rFonts w:ascii="Wingdings" w:hAnsi="Wingdings" w:hint="default"/>
      </w:rPr>
    </w:lvl>
  </w:abstractNum>
  <w:abstractNum w:abstractNumId="31" w15:restartNumberingAfterBreak="0">
    <w:nsid w:val="55AD152E"/>
    <w:multiLevelType w:val="hybridMultilevel"/>
    <w:tmpl w:val="A4C00D94"/>
    <w:lvl w:ilvl="0" w:tplc="4DAE6D4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55D46BBF"/>
    <w:multiLevelType w:val="hybridMultilevel"/>
    <w:tmpl w:val="01D25660"/>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565E266B"/>
    <w:multiLevelType w:val="hybridMultilevel"/>
    <w:tmpl w:val="0BA8A8E4"/>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121B42"/>
    <w:multiLevelType w:val="hybridMultilevel"/>
    <w:tmpl w:val="C1C2BBA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083838"/>
    <w:multiLevelType w:val="hybridMultilevel"/>
    <w:tmpl w:val="46187846"/>
    <w:lvl w:ilvl="0" w:tplc="087482E6">
      <w:start w:val="1"/>
      <w:numFmt w:val="lowerLetter"/>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6330674B"/>
    <w:multiLevelType w:val="hybridMultilevel"/>
    <w:tmpl w:val="D02A5A54"/>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A173944"/>
    <w:multiLevelType w:val="hybridMultilevel"/>
    <w:tmpl w:val="6E9AA14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8541F6"/>
    <w:multiLevelType w:val="hybridMultilevel"/>
    <w:tmpl w:val="64DCAB6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C65E3E"/>
    <w:multiLevelType w:val="hybridMultilevel"/>
    <w:tmpl w:val="70A2954A"/>
    <w:lvl w:ilvl="0" w:tplc="54DC068E">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num w:numId="1">
    <w:abstractNumId w:val="31"/>
  </w:num>
  <w:num w:numId="2">
    <w:abstractNumId w:val="11"/>
  </w:num>
  <w:num w:numId="3">
    <w:abstractNumId w:val="0"/>
  </w:num>
  <w:num w:numId="4">
    <w:abstractNumId w:val="19"/>
  </w:num>
  <w:num w:numId="5">
    <w:abstractNumId w:val="7"/>
  </w:num>
  <w:num w:numId="6">
    <w:abstractNumId w:val="40"/>
  </w:num>
  <w:num w:numId="7">
    <w:abstractNumId w:val="22"/>
  </w:num>
  <w:num w:numId="8">
    <w:abstractNumId w:val="32"/>
  </w:num>
  <w:num w:numId="9">
    <w:abstractNumId w:val="10"/>
  </w:num>
  <w:num w:numId="10">
    <w:abstractNumId w:val="27"/>
  </w:num>
  <w:num w:numId="11">
    <w:abstractNumId w:val="8"/>
  </w:num>
  <w:num w:numId="12">
    <w:abstractNumId w:val="38"/>
  </w:num>
  <w:num w:numId="13">
    <w:abstractNumId w:val="12"/>
  </w:num>
  <w:num w:numId="14">
    <w:abstractNumId w:val="16"/>
  </w:num>
  <w:num w:numId="15">
    <w:abstractNumId w:val="26"/>
  </w:num>
  <w:num w:numId="16">
    <w:abstractNumId w:val="1"/>
  </w:num>
  <w:num w:numId="17">
    <w:abstractNumId w:val="20"/>
  </w:num>
  <w:num w:numId="18">
    <w:abstractNumId w:val="6"/>
  </w:num>
  <w:num w:numId="19">
    <w:abstractNumId w:val="18"/>
  </w:num>
  <w:num w:numId="20">
    <w:abstractNumId w:val="17"/>
  </w:num>
  <w:num w:numId="21">
    <w:abstractNumId w:val="33"/>
  </w:num>
  <w:num w:numId="22">
    <w:abstractNumId w:val="37"/>
  </w:num>
  <w:num w:numId="23">
    <w:abstractNumId w:val="23"/>
  </w:num>
  <w:num w:numId="24">
    <w:abstractNumId w:val="30"/>
  </w:num>
  <w:num w:numId="25">
    <w:abstractNumId w:val="34"/>
  </w:num>
  <w:num w:numId="26">
    <w:abstractNumId w:val="14"/>
  </w:num>
  <w:num w:numId="27">
    <w:abstractNumId w:val="2"/>
  </w:num>
  <w:num w:numId="28">
    <w:abstractNumId w:val="4"/>
  </w:num>
  <w:num w:numId="29">
    <w:abstractNumId w:val="35"/>
  </w:num>
  <w:num w:numId="30">
    <w:abstractNumId w:val="25"/>
  </w:num>
  <w:num w:numId="31">
    <w:abstractNumId w:val="5"/>
  </w:num>
  <w:num w:numId="32">
    <w:abstractNumId w:val="24"/>
  </w:num>
  <w:num w:numId="33">
    <w:abstractNumId w:val="39"/>
  </w:num>
  <w:num w:numId="34">
    <w:abstractNumId w:val="29"/>
  </w:num>
  <w:num w:numId="35">
    <w:abstractNumId w:val="9"/>
  </w:num>
  <w:num w:numId="36">
    <w:abstractNumId w:val="3"/>
  </w:num>
  <w:num w:numId="37">
    <w:abstractNumId w:val="13"/>
  </w:num>
  <w:num w:numId="38">
    <w:abstractNumId w:val="21"/>
  </w:num>
  <w:num w:numId="39">
    <w:abstractNumId w:val="28"/>
  </w:num>
  <w:num w:numId="40">
    <w:abstractNumId w:val="15"/>
  </w:num>
  <w:num w:numId="41">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activeWritingStyle w:appName="MSWord" w:lang="hu-HU" w:vendorID="7" w:dllVersion="522" w:checkStyle="1"/>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11EF7"/>
    <w:rsid w:val="0001430F"/>
    <w:rsid w:val="000174EF"/>
    <w:rsid w:val="000241F8"/>
    <w:rsid w:val="000267B9"/>
    <w:rsid w:val="00036C0F"/>
    <w:rsid w:val="00046E13"/>
    <w:rsid w:val="000542EE"/>
    <w:rsid w:val="00054B8A"/>
    <w:rsid w:val="000550DD"/>
    <w:rsid w:val="00056345"/>
    <w:rsid w:val="00056E5B"/>
    <w:rsid w:val="00061317"/>
    <w:rsid w:val="00065464"/>
    <w:rsid w:val="000660BC"/>
    <w:rsid w:val="00067C84"/>
    <w:rsid w:val="000710C8"/>
    <w:rsid w:val="000730B1"/>
    <w:rsid w:val="00080171"/>
    <w:rsid w:val="000804B3"/>
    <w:rsid w:val="000812FC"/>
    <w:rsid w:val="00085129"/>
    <w:rsid w:val="00096CEA"/>
    <w:rsid w:val="000A0B42"/>
    <w:rsid w:val="000A0CA6"/>
    <w:rsid w:val="000A3591"/>
    <w:rsid w:val="000A5CBB"/>
    <w:rsid w:val="000B2296"/>
    <w:rsid w:val="000D2A6E"/>
    <w:rsid w:val="000D5866"/>
    <w:rsid w:val="000E4C5D"/>
    <w:rsid w:val="000F190C"/>
    <w:rsid w:val="000F753F"/>
    <w:rsid w:val="00100C93"/>
    <w:rsid w:val="00104A07"/>
    <w:rsid w:val="00113CBB"/>
    <w:rsid w:val="001234F3"/>
    <w:rsid w:val="00126B56"/>
    <w:rsid w:val="001274F8"/>
    <w:rsid w:val="00127572"/>
    <w:rsid w:val="00134427"/>
    <w:rsid w:val="0013487C"/>
    <w:rsid w:val="00136334"/>
    <w:rsid w:val="001408ED"/>
    <w:rsid w:val="001410DC"/>
    <w:rsid w:val="00141493"/>
    <w:rsid w:val="00150F54"/>
    <w:rsid w:val="00155238"/>
    <w:rsid w:val="001557C6"/>
    <w:rsid w:val="00157B65"/>
    <w:rsid w:val="00162823"/>
    <w:rsid w:val="0016436E"/>
    <w:rsid w:val="001728AE"/>
    <w:rsid w:val="001729A0"/>
    <w:rsid w:val="001805A0"/>
    <w:rsid w:val="00183CC1"/>
    <w:rsid w:val="001871B5"/>
    <w:rsid w:val="00187CCB"/>
    <w:rsid w:val="00190DAB"/>
    <w:rsid w:val="00192550"/>
    <w:rsid w:val="00194223"/>
    <w:rsid w:val="00194B82"/>
    <w:rsid w:val="001A0FA3"/>
    <w:rsid w:val="001A2530"/>
    <w:rsid w:val="001B1145"/>
    <w:rsid w:val="001B3060"/>
    <w:rsid w:val="001B35E5"/>
    <w:rsid w:val="001C18D0"/>
    <w:rsid w:val="001C4CAE"/>
    <w:rsid w:val="001D009A"/>
    <w:rsid w:val="001D2FEF"/>
    <w:rsid w:val="001D34E7"/>
    <w:rsid w:val="001E00D4"/>
    <w:rsid w:val="001E2B7D"/>
    <w:rsid w:val="001E32D4"/>
    <w:rsid w:val="001E6D84"/>
    <w:rsid w:val="0020008B"/>
    <w:rsid w:val="00202025"/>
    <w:rsid w:val="0020310B"/>
    <w:rsid w:val="00203DDF"/>
    <w:rsid w:val="00203F1B"/>
    <w:rsid w:val="00205040"/>
    <w:rsid w:val="00205E44"/>
    <w:rsid w:val="00214490"/>
    <w:rsid w:val="00220CA0"/>
    <w:rsid w:val="00222F9C"/>
    <w:rsid w:val="00223A87"/>
    <w:rsid w:val="0022472D"/>
    <w:rsid w:val="00227CE7"/>
    <w:rsid w:val="0023059D"/>
    <w:rsid w:val="002311B0"/>
    <w:rsid w:val="00233246"/>
    <w:rsid w:val="00233492"/>
    <w:rsid w:val="00233937"/>
    <w:rsid w:val="002339CB"/>
    <w:rsid w:val="002343AC"/>
    <w:rsid w:val="0023721A"/>
    <w:rsid w:val="00246B3E"/>
    <w:rsid w:val="00250A8C"/>
    <w:rsid w:val="00253F1D"/>
    <w:rsid w:val="002566B7"/>
    <w:rsid w:val="0026024A"/>
    <w:rsid w:val="00263FDA"/>
    <w:rsid w:val="00264A7E"/>
    <w:rsid w:val="0026793D"/>
    <w:rsid w:val="00267CD8"/>
    <w:rsid w:val="00271301"/>
    <w:rsid w:val="00272531"/>
    <w:rsid w:val="00273AA1"/>
    <w:rsid w:val="002830E0"/>
    <w:rsid w:val="00284834"/>
    <w:rsid w:val="00287240"/>
    <w:rsid w:val="00293921"/>
    <w:rsid w:val="00295741"/>
    <w:rsid w:val="002B076F"/>
    <w:rsid w:val="002B789F"/>
    <w:rsid w:val="002C1DC6"/>
    <w:rsid w:val="002C7472"/>
    <w:rsid w:val="002D13A9"/>
    <w:rsid w:val="002D2D27"/>
    <w:rsid w:val="002D30F1"/>
    <w:rsid w:val="002D48E6"/>
    <w:rsid w:val="002D4BC8"/>
    <w:rsid w:val="002E28A0"/>
    <w:rsid w:val="002E2C07"/>
    <w:rsid w:val="002E382B"/>
    <w:rsid w:val="002F1734"/>
    <w:rsid w:val="002F2A5F"/>
    <w:rsid w:val="002F4C75"/>
    <w:rsid w:val="002F6B2E"/>
    <w:rsid w:val="002F753E"/>
    <w:rsid w:val="002F7754"/>
    <w:rsid w:val="00301B74"/>
    <w:rsid w:val="00301D08"/>
    <w:rsid w:val="003072C8"/>
    <w:rsid w:val="00310FAB"/>
    <w:rsid w:val="00311CFA"/>
    <w:rsid w:val="00313F0B"/>
    <w:rsid w:val="00316E5E"/>
    <w:rsid w:val="00321437"/>
    <w:rsid w:val="00323106"/>
    <w:rsid w:val="00326435"/>
    <w:rsid w:val="003275ED"/>
    <w:rsid w:val="00330729"/>
    <w:rsid w:val="00330E8F"/>
    <w:rsid w:val="0033152D"/>
    <w:rsid w:val="003315DD"/>
    <w:rsid w:val="00334062"/>
    <w:rsid w:val="00336F0D"/>
    <w:rsid w:val="00340B91"/>
    <w:rsid w:val="0035452D"/>
    <w:rsid w:val="00354A1C"/>
    <w:rsid w:val="00355AE6"/>
    <w:rsid w:val="00361BEF"/>
    <w:rsid w:val="00363CAA"/>
    <w:rsid w:val="00366CD9"/>
    <w:rsid w:val="00372231"/>
    <w:rsid w:val="00372B12"/>
    <w:rsid w:val="00373EF5"/>
    <w:rsid w:val="00377B85"/>
    <w:rsid w:val="00380396"/>
    <w:rsid w:val="003816EC"/>
    <w:rsid w:val="0039063E"/>
    <w:rsid w:val="00397D06"/>
    <w:rsid w:val="003A06EF"/>
    <w:rsid w:val="003A7928"/>
    <w:rsid w:val="003B0E0D"/>
    <w:rsid w:val="003B16A1"/>
    <w:rsid w:val="003B4F7E"/>
    <w:rsid w:val="003B5241"/>
    <w:rsid w:val="003C7E03"/>
    <w:rsid w:val="003D22D3"/>
    <w:rsid w:val="003D5C9B"/>
    <w:rsid w:val="003E329B"/>
    <w:rsid w:val="003E5685"/>
    <w:rsid w:val="003F4419"/>
    <w:rsid w:val="004035AC"/>
    <w:rsid w:val="00404B69"/>
    <w:rsid w:val="00404CB2"/>
    <w:rsid w:val="004070E4"/>
    <w:rsid w:val="00416625"/>
    <w:rsid w:val="00417A6E"/>
    <w:rsid w:val="00425B50"/>
    <w:rsid w:val="00430653"/>
    <w:rsid w:val="00433A8D"/>
    <w:rsid w:val="0043410F"/>
    <w:rsid w:val="00435BC8"/>
    <w:rsid w:val="0043730F"/>
    <w:rsid w:val="004406A2"/>
    <w:rsid w:val="00446E47"/>
    <w:rsid w:val="00446FBC"/>
    <w:rsid w:val="00447CC7"/>
    <w:rsid w:val="004538E0"/>
    <w:rsid w:val="00454601"/>
    <w:rsid w:val="00455198"/>
    <w:rsid w:val="004630B0"/>
    <w:rsid w:val="00463DE9"/>
    <w:rsid w:val="004643E5"/>
    <w:rsid w:val="004740C0"/>
    <w:rsid w:val="00476DD3"/>
    <w:rsid w:val="00483308"/>
    <w:rsid w:val="00493C37"/>
    <w:rsid w:val="004B34DE"/>
    <w:rsid w:val="004B3870"/>
    <w:rsid w:val="004C125B"/>
    <w:rsid w:val="004C47AE"/>
    <w:rsid w:val="004C5C4B"/>
    <w:rsid w:val="004C6329"/>
    <w:rsid w:val="004D1381"/>
    <w:rsid w:val="004D4D8B"/>
    <w:rsid w:val="004D69EE"/>
    <w:rsid w:val="004E1A59"/>
    <w:rsid w:val="004E3182"/>
    <w:rsid w:val="004F003C"/>
    <w:rsid w:val="004F2B70"/>
    <w:rsid w:val="004F37C2"/>
    <w:rsid w:val="004F4B68"/>
    <w:rsid w:val="004F705E"/>
    <w:rsid w:val="004F761B"/>
    <w:rsid w:val="0050344A"/>
    <w:rsid w:val="0050698C"/>
    <w:rsid w:val="00520498"/>
    <w:rsid w:val="00520613"/>
    <w:rsid w:val="0052542B"/>
    <w:rsid w:val="0052586D"/>
    <w:rsid w:val="00526985"/>
    <w:rsid w:val="00530B99"/>
    <w:rsid w:val="00536752"/>
    <w:rsid w:val="0054315A"/>
    <w:rsid w:val="00546EBF"/>
    <w:rsid w:val="005477C3"/>
    <w:rsid w:val="005510AA"/>
    <w:rsid w:val="00554B52"/>
    <w:rsid w:val="00555F70"/>
    <w:rsid w:val="00557692"/>
    <w:rsid w:val="005628C3"/>
    <w:rsid w:val="00572ECF"/>
    <w:rsid w:val="0057493C"/>
    <w:rsid w:val="00581F3E"/>
    <w:rsid w:val="00582DB0"/>
    <w:rsid w:val="00583421"/>
    <w:rsid w:val="00586684"/>
    <w:rsid w:val="0059067F"/>
    <w:rsid w:val="00592606"/>
    <w:rsid w:val="005935A4"/>
    <w:rsid w:val="0059736F"/>
    <w:rsid w:val="005A0F3A"/>
    <w:rsid w:val="005A18C5"/>
    <w:rsid w:val="005A32CA"/>
    <w:rsid w:val="005A4B5C"/>
    <w:rsid w:val="005B34CD"/>
    <w:rsid w:val="005D2532"/>
    <w:rsid w:val="005D3A98"/>
    <w:rsid w:val="005E3988"/>
    <w:rsid w:val="005E54AA"/>
    <w:rsid w:val="005F1BAC"/>
    <w:rsid w:val="005F4770"/>
    <w:rsid w:val="005F5282"/>
    <w:rsid w:val="005F5EBB"/>
    <w:rsid w:val="006017E2"/>
    <w:rsid w:val="00601809"/>
    <w:rsid w:val="00605CFE"/>
    <w:rsid w:val="00612861"/>
    <w:rsid w:val="0062074C"/>
    <w:rsid w:val="00626241"/>
    <w:rsid w:val="00632522"/>
    <w:rsid w:val="00637421"/>
    <w:rsid w:val="0064283F"/>
    <w:rsid w:val="006552B8"/>
    <w:rsid w:val="00662300"/>
    <w:rsid w:val="00662918"/>
    <w:rsid w:val="00664269"/>
    <w:rsid w:val="00666A1B"/>
    <w:rsid w:val="00677896"/>
    <w:rsid w:val="006833A9"/>
    <w:rsid w:val="0068568C"/>
    <w:rsid w:val="006908A6"/>
    <w:rsid w:val="006938D7"/>
    <w:rsid w:val="00697BEB"/>
    <w:rsid w:val="006A1891"/>
    <w:rsid w:val="006A3F95"/>
    <w:rsid w:val="006B24FC"/>
    <w:rsid w:val="006C4C08"/>
    <w:rsid w:val="006C4F87"/>
    <w:rsid w:val="006C5A42"/>
    <w:rsid w:val="006C74B5"/>
    <w:rsid w:val="006D0C2A"/>
    <w:rsid w:val="006D22ED"/>
    <w:rsid w:val="006D26AD"/>
    <w:rsid w:val="006D2CE0"/>
    <w:rsid w:val="006D533A"/>
    <w:rsid w:val="006E395B"/>
    <w:rsid w:val="006E4422"/>
    <w:rsid w:val="006F1727"/>
    <w:rsid w:val="00700097"/>
    <w:rsid w:val="007013DE"/>
    <w:rsid w:val="007015D6"/>
    <w:rsid w:val="007027A9"/>
    <w:rsid w:val="00702D22"/>
    <w:rsid w:val="00703463"/>
    <w:rsid w:val="007111E6"/>
    <w:rsid w:val="00720021"/>
    <w:rsid w:val="00720FB6"/>
    <w:rsid w:val="00723C3E"/>
    <w:rsid w:val="00724786"/>
    <w:rsid w:val="007263C8"/>
    <w:rsid w:val="00731291"/>
    <w:rsid w:val="00735D46"/>
    <w:rsid w:val="007364EB"/>
    <w:rsid w:val="007422F8"/>
    <w:rsid w:val="00743668"/>
    <w:rsid w:val="00762A6A"/>
    <w:rsid w:val="00762B24"/>
    <w:rsid w:val="00763423"/>
    <w:rsid w:val="00766746"/>
    <w:rsid w:val="00770339"/>
    <w:rsid w:val="00772B13"/>
    <w:rsid w:val="00775173"/>
    <w:rsid w:val="007779BD"/>
    <w:rsid w:val="00786E79"/>
    <w:rsid w:val="007907F8"/>
    <w:rsid w:val="00795CCB"/>
    <w:rsid w:val="007A1B50"/>
    <w:rsid w:val="007A37E1"/>
    <w:rsid w:val="007A5695"/>
    <w:rsid w:val="007A7944"/>
    <w:rsid w:val="007B2C40"/>
    <w:rsid w:val="007B6CC4"/>
    <w:rsid w:val="007C289A"/>
    <w:rsid w:val="007C55BF"/>
    <w:rsid w:val="007C6387"/>
    <w:rsid w:val="007D41EC"/>
    <w:rsid w:val="007D44A1"/>
    <w:rsid w:val="007E593D"/>
    <w:rsid w:val="007E6A63"/>
    <w:rsid w:val="007F01AB"/>
    <w:rsid w:val="008111B2"/>
    <w:rsid w:val="008132C6"/>
    <w:rsid w:val="00822C61"/>
    <w:rsid w:val="00824411"/>
    <w:rsid w:val="00824F19"/>
    <w:rsid w:val="0083707B"/>
    <w:rsid w:val="008415CA"/>
    <w:rsid w:val="00844886"/>
    <w:rsid w:val="008456A6"/>
    <w:rsid w:val="00850CC7"/>
    <w:rsid w:val="00851521"/>
    <w:rsid w:val="00854726"/>
    <w:rsid w:val="008549E4"/>
    <w:rsid w:val="00860349"/>
    <w:rsid w:val="00861CAB"/>
    <w:rsid w:val="0086373C"/>
    <w:rsid w:val="00866490"/>
    <w:rsid w:val="00866749"/>
    <w:rsid w:val="00867227"/>
    <w:rsid w:val="00871057"/>
    <w:rsid w:val="008717B8"/>
    <w:rsid w:val="00871885"/>
    <w:rsid w:val="00883778"/>
    <w:rsid w:val="00885B29"/>
    <w:rsid w:val="00887DB9"/>
    <w:rsid w:val="00891EDA"/>
    <w:rsid w:val="008A522E"/>
    <w:rsid w:val="008A6E90"/>
    <w:rsid w:val="008B1381"/>
    <w:rsid w:val="008B4A96"/>
    <w:rsid w:val="008C36B1"/>
    <w:rsid w:val="008C5149"/>
    <w:rsid w:val="008C6691"/>
    <w:rsid w:val="008C7CEC"/>
    <w:rsid w:val="008D4BC9"/>
    <w:rsid w:val="008E0A38"/>
    <w:rsid w:val="008E41AD"/>
    <w:rsid w:val="008E46E6"/>
    <w:rsid w:val="008E6B86"/>
    <w:rsid w:val="008F017B"/>
    <w:rsid w:val="008F033F"/>
    <w:rsid w:val="008F0B6B"/>
    <w:rsid w:val="008F377A"/>
    <w:rsid w:val="008F4B60"/>
    <w:rsid w:val="008F656F"/>
    <w:rsid w:val="009036D6"/>
    <w:rsid w:val="009065D0"/>
    <w:rsid w:val="009072F6"/>
    <w:rsid w:val="00907553"/>
    <w:rsid w:val="00911205"/>
    <w:rsid w:val="009126C2"/>
    <w:rsid w:val="00913F8D"/>
    <w:rsid w:val="00920033"/>
    <w:rsid w:val="00922DB8"/>
    <w:rsid w:val="009239CE"/>
    <w:rsid w:val="00924E29"/>
    <w:rsid w:val="00927A5C"/>
    <w:rsid w:val="00934518"/>
    <w:rsid w:val="0093760F"/>
    <w:rsid w:val="00946175"/>
    <w:rsid w:val="00946343"/>
    <w:rsid w:val="00956A08"/>
    <w:rsid w:val="00960B80"/>
    <w:rsid w:val="00961F39"/>
    <w:rsid w:val="0096423F"/>
    <w:rsid w:val="009670E8"/>
    <w:rsid w:val="00972562"/>
    <w:rsid w:val="00973809"/>
    <w:rsid w:val="00980239"/>
    <w:rsid w:val="00983FD5"/>
    <w:rsid w:val="009903B7"/>
    <w:rsid w:val="009917C1"/>
    <w:rsid w:val="009940AD"/>
    <w:rsid w:val="009968C6"/>
    <w:rsid w:val="00996C49"/>
    <w:rsid w:val="009A72DF"/>
    <w:rsid w:val="009B3A61"/>
    <w:rsid w:val="009B4EE1"/>
    <w:rsid w:val="009B50C6"/>
    <w:rsid w:val="009B5665"/>
    <w:rsid w:val="009B61E2"/>
    <w:rsid w:val="009B6612"/>
    <w:rsid w:val="009C15FC"/>
    <w:rsid w:val="009C18EB"/>
    <w:rsid w:val="009C5116"/>
    <w:rsid w:val="009D0B86"/>
    <w:rsid w:val="009D3137"/>
    <w:rsid w:val="009E4B8E"/>
    <w:rsid w:val="009E5D92"/>
    <w:rsid w:val="009F2871"/>
    <w:rsid w:val="009F7F0B"/>
    <w:rsid w:val="00A032C4"/>
    <w:rsid w:val="00A0729A"/>
    <w:rsid w:val="00A101F2"/>
    <w:rsid w:val="00A21B4B"/>
    <w:rsid w:val="00A25494"/>
    <w:rsid w:val="00A257D3"/>
    <w:rsid w:val="00A2795D"/>
    <w:rsid w:val="00A33858"/>
    <w:rsid w:val="00A33D06"/>
    <w:rsid w:val="00A360CD"/>
    <w:rsid w:val="00A3685C"/>
    <w:rsid w:val="00A5159D"/>
    <w:rsid w:val="00A54FCC"/>
    <w:rsid w:val="00A5780C"/>
    <w:rsid w:val="00A628A2"/>
    <w:rsid w:val="00A66B99"/>
    <w:rsid w:val="00A66DB3"/>
    <w:rsid w:val="00A70631"/>
    <w:rsid w:val="00A73E5C"/>
    <w:rsid w:val="00A83674"/>
    <w:rsid w:val="00A8453C"/>
    <w:rsid w:val="00A91F5A"/>
    <w:rsid w:val="00A91FF5"/>
    <w:rsid w:val="00A9448E"/>
    <w:rsid w:val="00AA14B4"/>
    <w:rsid w:val="00AB14F3"/>
    <w:rsid w:val="00AB2763"/>
    <w:rsid w:val="00AB384D"/>
    <w:rsid w:val="00AB4A62"/>
    <w:rsid w:val="00AC2E3D"/>
    <w:rsid w:val="00AC481D"/>
    <w:rsid w:val="00AD3150"/>
    <w:rsid w:val="00AD759D"/>
    <w:rsid w:val="00AF168B"/>
    <w:rsid w:val="00AF310F"/>
    <w:rsid w:val="00AF5D0B"/>
    <w:rsid w:val="00B03B76"/>
    <w:rsid w:val="00B114BE"/>
    <w:rsid w:val="00B11776"/>
    <w:rsid w:val="00B12CDF"/>
    <w:rsid w:val="00B1697C"/>
    <w:rsid w:val="00B22E2F"/>
    <w:rsid w:val="00B23D5A"/>
    <w:rsid w:val="00B30FB7"/>
    <w:rsid w:val="00B36B5B"/>
    <w:rsid w:val="00B40D4B"/>
    <w:rsid w:val="00B417EA"/>
    <w:rsid w:val="00B42B93"/>
    <w:rsid w:val="00B45EEA"/>
    <w:rsid w:val="00B45FCC"/>
    <w:rsid w:val="00B5063B"/>
    <w:rsid w:val="00B51EE9"/>
    <w:rsid w:val="00B5468C"/>
    <w:rsid w:val="00B57260"/>
    <w:rsid w:val="00B638A6"/>
    <w:rsid w:val="00B63EA4"/>
    <w:rsid w:val="00B64A66"/>
    <w:rsid w:val="00B659B1"/>
    <w:rsid w:val="00B774E9"/>
    <w:rsid w:val="00B82F3A"/>
    <w:rsid w:val="00B839F0"/>
    <w:rsid w:val="00B860C3"/>
    <w:rsid w:val="00B96242"/>
    <w:rsid w:val="00BA5BD4"/>
    <w:rsid w:val="00BB3CD1"/>
    <w:rsid w:val="00BB3EC7"/>
    <w:rsid w:val="00BB72F5"/>
    <w:rsid w:val="00BB7DB2"/>
    <w:rsid w:val="00BC3769"/>
    <w:rsid w:val="00BC70D6"/>
    <w:rsid w:val="00BD4BD3"/>
    <w:rsid w:val="00BD4D1E"/>
    <w:rsid w:val="00BD6670"/>
    <w:rsid w:val="00BE10CE"/>
    <w:rsid w:val="00BF1CFD"/>
    <w:rsid w:val="00BF24E3"/>
    <w:rsid w:val="00BF3A06"/>
    <w:rsid w:val="00BF6547"/>
    <w:rsid w:val="00BF65BC"/>
    <w:rsid w:val="00BF75BD"/>
    <w:rsid w:val="00BF779B"/>
    <w:rsid w:val="00C01A30"/>
    <w:rsid w:val="00C02529"/>
    <w:rsid w:val="00C03A15"/>
    <w:rsid w:val="00C04242"/>
    <w:rsid w:val="00C04FA9"/>
    <w:rsid w:val="00C05199"/>
    <w:rsid w:val="00C118CA"/>
    <w:rsid w:val="00C1382E"/>
    <w:rsid w:val="00C16205"/>
    <w:rsid w:val="00C23B3B"/>
    <w:rsid w:val="00C3046E"/>
    <w:rsid w:val="00C31D1C"/>
    <w:rsid w:val="00C36FA4"/>
    <w:rsid w:val="00C42108"/>
    <w:rsid w:val="00C43E02"/>
    <w:rsid w:val="00C479D8"/>
    <w:rsid w:val="00C60D01"/>
    <w:rsid w:val="00C616AA"/>
    <w:rsid w:val="00C623BE"/>
    <w:rsid w:val="00C67F67"/>
    <w:rsid w:val="00C71FF8"/>
    <w:rsid w:val="00C81C2D"/>
    <w:rsid w:val="00C87FF3"/>
    <w:rsid w:val="00C90854"/>
    <w:rsid w:val="00C90A6B"/>
    <w:rsid w:val="00C90C8F"/>
    <w:rsid w:val="00C91785"/>
    <w:rsid w:val="00C93FC6"/>
    <w:rsid w:val="00CA0EBD"/>
    <w:rsid w:val="00CA2D61"/>
    <w:rsid w:val="00CA3F69"/>
    <w:rsid w:val="00CA61EA"/>
    <w:rsid w:val="00CB19DC"/>
    <w:rsid w:val="00CB1C33"/>
    <w:rsid w:val="00CB2E6A"/>
    <w:rsid w:val="00CB62DB"/>
    <w:rsid w:val="00CB79E6"/>
    <w:rsid w:val="00CC496E"/>
    <w:rsid w:val="00CC4BD7"/>
    <w:rsid w:val="00CC5701"/>
    <w:rsid w:val="00CC5A82"/>
    <w:rsid w:val="00CC7862"/>
    <w:rsid w:val="00CD5E97"/>
    <w:rsid w:val="00CD6A41"/>
    <w:rsid w:val="00CD6E7F"/>
    <w:rsid w:val="00CE0F23"/>
    <w:rsid w:val="00CE1179"/>
    <w:rsid w:val="00CE141F"/>
    <w:rsid w:val="00CF630C"/>
    <w:rsid w:val="00D10705"/>
    <w:rsid w:val="00D15388"/>
    <w:rsid w:val="00D17D48"/>
    <w:rsid w:val="00D20E67"/>
    <w:rsid w:val="00D2479B"/>
    <w:rsid w:val="00D312EE"/>
    <w:rsid w:val="00D33A5A"/>
    <w:rsid w:val="00D36799"/>
    <w:rsid w:val="00D37C2C"/>
    <w:rsid w:val="00D4255F"/>
    <w:rsid w:val="00D50ACF"/>
    <w:rsid w:val="00D519D3"/>
    <w:rsid w:val="00D54A4B"/>
    <w:rsid w:val="00D567B6"/>
    <w:rsid w:val="00D57C60"/>
    <w:rsid w:val="00D632DC"/>
    <w:rsid w:val="00D63B36"/>
    <w:rsid w:val="00D67FF9"/>
    <w:rsid w:val="00D70B40"/>
    <w:rsid w:val="00D73566"/>
    <w:rsid w:val="00D84D75"/>
    <w:rsid w:val="00DA0557"/>
    <w:rsid w:val="00DA3E24"/>
    <w:rsid w:val="00DC3D50"/>
    <w:rsid w:val="00DD0D10"/>
    <w:rsid w:val="00DD1AD2"/>
    <w:rsid w:val="00DD1E0C"/>
    <w:rsid w:val="00DD6789"/>
    <w:rsid w:val="00DE2206"/>
    <w:rsid w:val="00DF297C"/>
    <w:rsid w:val="00DF7763"/>
    <w:rsid w:val="00E012A4"/>
    <w:rsid w:val="00E01EDD"/>
    <w:rsid w:val="00E03983"/>
    <w:rsid w:val="00E06B90"/>
    <w:rsid w:val="00E16447"/>
    <w:rsid w:val="00E17E1E"/>
    <w:rsid w:val="00E20DE5"/>
    <w:rsid w:val="00E2663F"/>
    <w:rsid w:val="00E330CA"/>
    <w:rsid w:val="00E334B8"/>
    <w:rsid w:val="00E34331"/>
    <w:rsid w:val="00E3639C"/>
    <w:rsid w:val="00E37367"/>
    <w:rsid w:val="00E4261F"/>
    <w:rsid w:val="00E47133"/>
    <w:rsid w:val="00E50514"/>
    <w:rsid w:val="00E56586"/>
    <w:rsid w:val="00E63E43"/>
    <w:rsid w:val="00E6487C"/>
    <w:rsid w:val="00E729AE"/>
    <w:rsid w:val="00E744AE"/>
    <w:rsid w:val="00E76864"/>
    <w:rsid w:val="00E81B63"/>
    <w:rsid w:val="00E81D29"/>
    <w:rsid w:val="00E85B7B"/>
    <w:rsid w:val="00E90B4A"/>
    <w:rsid w:val="00E9139C"/>
    <w:rsid w:val="00E92D39"/>
    <w:rsid w:val="00E968A0"/>
    <w:rsid w:val="00EA4208"/>
    <w:rsid w:val="00EA50A4"/>
    <w:rsid w:val="00EA59A4"/>
    <w:rsid w:val="00EB5AF0"/>
    <w:rsid w:val="00EC17CA"/>
    <w:rsid w:val="00EC2FE2"/>
    <w:rsid w:val="00EC682F"/>
    <w:rsid w:val="00ED2B37"/>
    <w:rsid w:val="00ED3DFE"/>
    <w:rsid w:val="00ED4236"/>
    <w:rsid w:val="00ED6AEE"/>
    <w:rsid w:val="00ED6B22"/>
    <w:rsid w:val="00ED766E"/>
    <w:rsid w:val="00ED785C"/>
    <w:rsid w:val="00EE7ACC"/>
    <w:rsid w:val="00EF0F22"/>
    <w:rsid w:val="00EF2357"/>
    <w:rsid w:val="00EF2B64"/>
    <w:rsid w:val="00EF47ED"/>
    <w:rsid w:val="00EF4D8F"/>
    <w:rsid w:val="00F05284"/>
    <w:rsid w:val="00F07241"/>
    <w:rsid w:val="00F117EF"/>
    <w:rsid w:val="00F1750F"/>
    <w:rsid w:val="00F21E33"/>
    <w:rsid w:val="00F22DF9"/>
    <w:rsid w:val="00F26987"/>
    <w:rsid w:val="00F31BCB"/>
    <w:rsid w:val="00F409E3"/>
    <w:rsid w:val="00F474E1"/>
    <w:rsid w:val="00F50400"/>
    <w:rsid w:val="00F541E0"/>
    <w:rsid w:val="00F612AA"/>
    <w:rsid w:val="00F7042A"/>
    <w:rsid w:val="00F709AC"/>
    <w:rsid w:val="00F71CD6"/>
    <w:rsid w:val="00F76875"/>
    <w:rsid w:val="00F77002"/>
    <w:rsid w:val="00F820C8"/>
    <w:rsid w:val="00F8256F"/>
    <w:rsid w:val="00F832B7"/>
    <w:rsid w:val="00F83C96"/>
    <w:rsid w:val="00F97467"/>
    <w:rsid w:val="00FA2BBD"/>
    <w:rsid w:val="00FA33D8"/>
    <w:rsid w:val="00FA76B8"/>
    <w:rsid w:val="00FB0978"/>
    <w:rsid w:val="00FB3FE9"/>
    <w:rsid w:val="00FC26C7"/>
    <w:rsid w:val="00FC3C77"/>
    <w:rsid w:val="00FC50BA"/>
    <w:rsid w:val="00FC59A0"/>
    <w:rsid w:val="00FC64A8"/>
    <w:rsid w:val="00FC7402"/>
    <w:rsid w:val="00FD03B8"/>
    <w:rsid w:val="00FD7353"/>
    <w:rsid w:val="00FE0D85"/>
    <w:rsid w:val="00FE2A2D"/>
    <w:rsid w:val="00FF2B4B"/>
    <w:rsid w:val="00FF4148"/>
    <w:rsid w:val="00FF4EB9"/>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basedOn w:val="Norml"/>
    <w:uiPriority w:val="34"/>
    <w:qFormat/>
    <w:rsid w:val="009072F6"/>
    <w:pPr>
      <w:spacing w:after="160" w:line="259" w:lineRule="auto"/>
      <w:ind w:left="720"/>
      <w:contextualSpacing/>
    </w:pPr>
  </w:style>
  <w:style w:type="character" w:styleId="Kiemels2">
    <w:name w:val="Strong"/>
    <w:uiPriority w:val="22"/>
    <w:qFormat/>
    <w:rsid w:val="00011E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munkalap1.xlsx"/></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rPr>
              <a:t>Befizetett idegenforgalmi adó havi megoszlása </a:t>
            </a:r>
          </a:p>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rPr>
              <a:t>2010-2015. években</a:t>
            </a:r>
          </a:p>
        </c:rich>
      </c:tx>
      <c:layout>
        <c:manualLayout>
          <c:xMode val="edge"/>
          <c:yMode val="edge"/>
          <c:x val="0.18473786444564463"/>
          <c:y val="3.0826085200888351E-2"/>
        </c:manualLayout>
      </c:layout>
      <c:overlay val="0"/>
      <c:spPr>
        <a:noFill/>
        <a:ln w="25400">
          <a:noFill/>
        </a:ln>
      </c:spPr>
    </c:title>
    <c:autoTitleDeleted val="0"/>
    <c:plotArea>
      <c:layout/>
      <c:barChart>
        <c:barDir val="col"/>
        <c:grouping val="clustered"/>
        <c:varyColors val="0"/>
        <c:ser>
          <c:idx val="0"/>
          <c:order val="0"/>
          <c:tx>
            <c:strRef>
              <c:f>befizetések!$A$5</c:f>
              <c:strCache>
                <c:ptCount val="1"/>
                <c:pt idx="0">
                  <c:v>2010</c:v>
                </c:pt>
              </c:strCache>
            </c:strRef>
          </c:tx>
          <c:spPr>
            <a:solidFill>
              <a:srgbClr val="5B9BD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18862</c:v>
                </c:pt>
                <c:pt idx="1">
                  <c:v>25006</c:v>
                </c:pt>
                <c:pt idx="2">
                  <c:v>27876</c:v>
                </c:pt>
                <c:pt idx="3">
                  <c:v>33156</c:v>
                </c:pt>
                <c:pt idx="4">
                  <c:v>27884</c:v>
                </c:pt>
                <c:pt idx="5">
                  <c:v>33767</c:v>
                </c:pt>
                <c:pt idx="6">
                  <c:v>33015</c:v>
                </c:pt>
                <c:pt idx="7">
                  <c:v>43533</c:v>
                </c:pt>
                <c:pt idx="8">
                  <c:v>47094</c:v>
                </c:pt>
                <c:pt idx="9">
                  <c:v>45827</c:v>
                </c:pt>
                <c:pt idx="10">
                  <c:v>38666</c:v>
                </c:pt>
                <c:pt idx="11">
                  <c:v>33306</c:v>
                </c:pt>
              </c:numCache>
            </c:numRef>
          </c:val>
        </c:ser>
        <c:ser>
          <c:idx val="1"/>
          <c:order val="1"/>
          <c:tx>
            <c:strRef>
              <c:f>befizetések!$A$6</c:f>
              <c:strCache>
                <c:ptCount val="1"/>
                <c:pt idx="0">
                  <c:v>2011</c:v>
                </c:pt>
              </c:strCache>
            </c:strRef>
          </c:tx>
          <c:spPr>
            <a:solidFill>
              <a:srgbClr val="ED7D31"/>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17005</c:v>
                </c:pt>
                <c:pt idx="1">
                  <c:v>24400</c:v>
                </c:pt>
                <c:pt idx="2">
                  <c:v>26599</c:v>
                </c:pt>
                <c:pt idx="3">
                  <c:v>29266</c:v>
                </c:pt>
                <c:pt idx="4">
                  <c:v>31688</c:v>
                </c:pt>
                <c:pt idx="5">
                  <c:v>39607</c:v>
                </c:pt>
                <c:pt idx="6">
                  <c:v>37443</c:v>
                </c:pt>
                <c:pt idx="7">
                  <c:v>50573</c:v>
                </c:pt>
                <c:pt idx="8">
                  <c:v>60846</c:v>
                </c:pt>
                <c:pt idx="9">
                  <c:v>46412</c:v>
                </c:pt>
                <c:pt idx="10">
                  <c:v>41815</c:v>
                </c:pt>
                <c:pt idx="11">
                  <c:v>35267</c:v>
                </c:pt>
              </c:numCache>
            </c:numRef>
          </c:val>
        </c:ser>
        <c:ser>
          <c:idx val="2"/>
          <c:order val="2"/>
          <c:tx>
            <c:strRef>
              <c:f>befizetések!$A$7</c:f>
              <c:strCache>
                <c:ptCount val="1"/>
                <c:pt idx="0">
                  <c:v>2012</c:v>
                </c:pt>
              </c:strCache>
            </c:strRef>
          </c:tx>
          <c:spPr>
            <a:solidFill>
              <a:srgbClr val="A5A5A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22174</c:v>
                </c:pt>
                <c:pt idx="1">
                  <c:v>27463</c:v>
                </c:pt>
                <c:pt idx="2">
                  <c:v>25396</c:v>
                </c:pt>
                <c:pt idx="3">
                  <c:v>32631</c:v>
                </c:pt>
                <c:pt idx="4">
                  <c:v>32940</c:v>
                </c:pt>
                <c:pt idx="5">
                  <c:v>40371</c:v>
                </c:pt>
                <c:pt idx="6">
                  <c:v>41958</c:v>
                </c:pt>
                <c:pt idx="7">
                  <c:v>45766</c:v>
                </c:pt>
                <c:pt idx="8">
                  <c:v>53588</c:v>
                </c:pt>
                <c:pt idx="9">
                  <c:v>50700</c:v>
                </c:pt>
                <c:pt idx="10">
                  <c:v>44622</c:v>
                </c:pt>
                <c:pt idx="11">
                  <c:v>35252</c:v>
                </c:pt>
              </c:numCache>
            </c:numRef>
          </c:val>
        </c:ser>
        <c:ser>
          <c:idx val="3"/>
          <c:order val="3"/>
          <c:tx>
            <c:strRef>
              <c:f>befizetések!$A$8</c:f>
              <c:strCache>
                <c:ptCount val="1"/>
                <c:pt idx="0">
                  <c:v>2013</c:v>
                </c:pt>
              </c:strCache>
            </c:strRef>
          </c:tx>
          <c:spPr>
            <a:solidFill>
              <a:srgbClr val="FFC000"/>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23573</c:v>
                </c:pt>
                <c:pt idx="1">
                  <c:v>27581</c:v>
                </c:pt>
                <c:pt idx="2">
                  <c:v>27205</c:v>
                </c:pt>
                <c:pt idx="3">
                  <c:v>36481</c:v>
                </c:pt>
                <c:pt idx="4">
                  <c:v>32883</c:v>
                </c:pt>
                <c:pt idx="5">
                  <c:v>47163</c:v>
                </c:pt>
                <c:pt idx="6">
                  <c:v>45777</c:v>
                </c:pt>
                <c:pt idx="7">
                  <c:v>48604</c:v>
                </c:pt>
                <c:pt idx="8">
                  <c:v>56230</c:v>
                </c:pt>
                <c:pt idx="9">
                  <c:v>52220</c:v>
                </c:pt>
                <c:pt idx="10">
                  <c:v>53150</c:v>
                </c:pt>
                <c:pt idx="11">
                  <c:v>36654</c:v>
                </c:pt>
              </c:numCache>
            </c:numRef>
          </c:val>
        </c:ser>
        <c:ser>
          <c:idx val="4"/>
          <c:order val="4"/>
          <c:tx>
            <c:strRef>
              <c:f>befizetések!$A$9</c:f>
              <c:strCache>
                <c:ptCount val="1"/>
                <c:pt idx="0">
                  <c:v>2014</c:v>
                </c:pt>
              </c:strCache>
            </c:strRef>
          </c:tx>
          <c:spPr>
            <a:solidFill>
              <a:srgbClr val="4472C4"/>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25085</c:v>
                </c:pt>
                <c:pt idx="1">
                  <c:v>31056</c:v>
                </c:pt>
                <c:pt idx="2">
                  <c:v>26602</c:v>
                </c:pt>
                <c:pt idx="3">
                  <c:v>30147</c:v>
                </c:pt>
                <c:pt idx="4">
                  <c:v>40694</c:v>
                </c:pt>
                <c:pt idx="5">
                  <c:v>44214</c:v>
                </c:pt>
                <c:pt idx="6">
                  <c:v>43841</c:v>
                </c:pt>
                <c:pt idx="7">
                  <c:v>51712</c:v>
                </c:pt>
                <c:pt idx="8">
                  <c:v>59748</c:v>
                </c:pt>
                <c:pt idx="9">
                  <c:v>48493</c:v>
                </c:pt>
                <c:pt idx="10">
                  <c:v>42443</c:v>
                </c:pt>
                <c:pt idx="11">
                  <c:v>38251</c:v>
                </c:pt>
              </c:numCache>
            </c:numRef>
          </c:val>
        </c:ser>
        <c:ser>
          <c:idx val="5"/>
          <c:order val="5"/>
          <c:tx>
            <c:strRef>
              <c:f>befizetések!$A$10</c:f>
              <c:strCache>
                <c:ptCount val="1"/>
                <c:pt idx="0">
                  <c:v>2015</c:v>
                </c:pt>
              </c:strCache>
            </c:strRef>
          </c:tx>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befizetések!$B$10:$M$10</c:f>
              <c:numCache>
                <c:formatCode>#,##0</c:formatCode>
                <c:ptCount val="12"/>
                <c:pt idx="0">
                  <c:v>23226</c:v>
                </c:pt>
                <c:pt idx="1">
                  <c:v>24996</c:v>
                </c:pt>
                <c:pt idx="2">
                  <c:v>24358</c:v>
                </c:pt>
                <c:pt idx="3">
                  <c:v>31098</c:v>
                </c:pt>
                <c:pt idx="4">
                  <c:v>33605</c:v>
                </c:pt>
                <c:pt idx="5">
                  <c:v>44395</c:v>
                </c:pt>
                <c:pt idx="6">
                  <c:v>45689</c:v>
                </c:pt>
                <c:pt idx="7">
                  <c:v>52203</c:v>
                </c:pt>
                <c:pt idx="8">
                  <c:v>60456</c:v>
                </c:pt>
                <c:pt idx="9">
                  <c:v>47592</c:v>
                </c:pt>
                <c:pt idx="10">
                  <c:v>43181</c:v>
                </c:pt>
                <c:pt idx="11">
                  <c:v>33465</c:v>
                </c:pt>
              </c:numCache>
            </c:numRef>
          </c:val>
        </c:ser>
        <c:dLbls>
          <c:showLegendKey val="0"/>
          <c:showVal val="0"/>
          <c:showCatName val="0"/>
          <c:showSerName val="0"/>
          <c:showPercent val="0"/>
          <c:showBubbleSize val="0"/>
        </c:dLbls>
        <c:gapWidth val="219"/>
        <c:overlap val="-27"/>
        <c:axId val="238775168"/>
        <c:axId val="238775560"/>
      </c:barChart>
      <c:catAx>
        <c:axId val="238775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vert="horz"/>
          <a:lstStyle/>
          <a:p>
            <a:pPr>
              <a:defRPr sz="900" b="0" i="0" u="none" strike="noStrike" baseline="0">
                <a:solidFill>
                  <a:srgbClr val="333333"/>
                </a:solidFill>
                <a:latin typeface="Calibri"/>
                <a:ea typeface="Calibri"/>
                <a:cs typeface="Calibri"/>
              </a:defRPr>
            </a:pPr>
            <a:endParaRPr lang="hu-HU"/>
          </a:p>
        </c:txPr>
        <c:crossAx val="238775560"/>
        <c:crosses val="autoZero"/>
        <c:auto val="1"/>
        <c:lblAlgn val="ctr"/>
        <c:lblOffset val="100"/>
        <c:noMultiLvlLbl val="0"/>
      </c:catAx>
      <c:valAx>
        <c:axId val="2387755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238775168"/>
        <c:crosses val="autoZero"/>
        <c:crossBetween val="between"/>
      </c:valAx>
      <c:spPr>
        <a:noFill/>
        <a:ln w="25400">
          <a:noFill/>
        </a:ln>
      </c:spPr>
    </c:plotArea>
    <c:legend>
      <c:legendPos val="b"/>
      <c:overlay val="0"/>
      <c:spPr>
        <a:noFill/>
        <a:ln w="25400">
          <a:noFill/>
        </a:ln>
      </c:spPr>
      <c:txPr>
        <a:bodyPr/>
        <a:lstStyle/>
        <a:p>
          <a:pPr>
            <a:defRPr sz="825" b="0" i="0" u="none" strike="noStrike" baseline="0">
              <a:solidFill>
                <a:srgbClr val="333333"/>
              </a:solidFill>
              <a:latin typeface="Calibri"/>
              <a:ea typeface="Calibri"/>
              <a:cs typeface="Calibri"/>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a:t>Helyi adóhátralék megoszlása felszámolás alatt lévő, illetve már nem működő gazdasági társaságok és</a:t>
            </a:r>
          </a:p>
          <a:p>
            <a:pPr>
              <a:defRPr sz="1400" b="0" i="0" u="none" strike="noStrike" kern="1200" spc="0" baseline="0">
                <a:solidFill>
                  <a:schemeClr val="tx1">
                    <a:lumMod val="65000"/>
                    <a:lumOff val="35000"/>
                  </a:schemeClr>
                </a:solidFill>
                <a:latin typeface="+mn-lt"/>
                <a:ea typeface="+mn-ea"/>
                <a:cs typeface="+mn-cs"/>
              </a:defRPr>
            </a:pPr>
            <a:r>
              <a:rPr lang="hu-HU" sz="1200"/>
              <a:t>működő</a:t>
            </a:r>
            <a:r>
              <a:rPr lang="hu-HU" sz="1200" baseline="0"/>
              <a:t> vállalkozások között</a:t>
            </a:r>
          </a:p>
          <a:p>
            <a:pPr>
              <a:defRPr sz="1400" b="0" i="0" u="none" strike="noStrike" kern="1200" spc="0" baseline="0">
                <a:solidFill>
                  <a:schemeClr val="tx1">
                    <a:lumMod val="65000"/>
                    <a:lumOff val="35000"/>
                  </a:schemeClr>
                </a:solidFill>
                <a:latin typeface="+mn-lt"/>
                <a:ea typeface="+mn-ea"/>
                <a:cs typeface="+mn-cs"/>
              </a:defRPr>
            </a:pPr>
            <a:r>
              <a:rPr lang="hu-HU" sz="1200" baseline="0"/>
              <a:t>(2015. december 31-ei állapot)</a:t>
            </a:r>
            <a:endParaRPr lang="hu-HU" sz="1200"/>
          </a:p>
        </c:rich>
      </c:tx>
      <c:overlay val="0"/>
      <c:spPr>
        <a:noFill/>
        <a:ln w="25400">
          <a:noFill/>
        </a:ln>
      </c:spPr>
    </c:title>
    <c:autoTitleDeleted val="0"/>
    <c:view3D>
      <c:rotX val="30"/>
      <c:rotY val="57"/>
      <c:rAngAx val="0"/>
      <c:perspective val="0"/>
    </c:view3D>
    <c:floor>
      <c:thickness val="0"/>
    </c:floor>
    <c:sideWall>
      <c:thickness val="0"/>
    </c:sideWall>
    <c:backWall>
      <c:thickness val="0"/>
    </c:backWall>
    <c:plotArea>
      <c:layout/>
      <c:pie3DChart>
        <c:varyColors val="1"/>
        <c:ser>
          <c:idx val="0"/>
          <c:order val="0"/>
          <c:explosion val="43"/>
          <c:dPt>
            <c:idx val="0"/>
            <c:bubble3D val="0"/>
            <c:explosion val="0"/>
          </c:dPt>
          <c:dPt>
            <c:idx val="1"/>
            <c:bubble3D val="0"/>
            <c:explosion val="0"/>
          </c:dPt>
          <c:dLbls>
            <c:dLbl>
              <c:idx val="0"/>
              <c:tx>
                <c:rich>
                  <a:bodyPr/>
                  <a:lstStyle/>
                  <a:p>
                    <a:r>
                      <a:rPr lang="en-US"/>
                      <a:t>43 %</a:t>
                    </a:r>
                  </a:p>
                  <a:p>
                    <a:endParaRPr lang="en-US"/>
                  </a:p>
                </c:rich>
              </c:tx>
              <c:dLblPos val="outEnd"/>
              <c:showLegendKey val="0"/>
              <c:showVal val="0"/>
              <c:showCatName val="0"/>
              <c:showSerName val="0"/>
              <c:showPercent val="1"/>
              <c:showBubbleSize val="0"/>
              <c:extLst>
                <c:ext xmlns:c15="http://schemas.microsoft.com/office/drawing/2012/chart" uri="{CE6537A1-D6FC-4f65-9D91-7224C49458BB}"/>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outEnd"/>
            <c:showLegendKey val="0"/>
            <c:showVal val="0"/>
            <c:showCatName val="0"/>
            <c:showSerName val="0"/>
            <c:showPercent val="1"/>
            <c:showBubbleSize val="0"/>
            <c:showLeaderLines val="0"/>
            <c:extLst>
              <c:ext xmlns:c15="http://schemas.microsoft.com/office/drawing/2012/chart" uri="{CE6537A1-D6FC-4f65-9D91-7224C49458BB}"/>
            </c:extLst>
          </c:dLbls>
          <c:cat>
            <c:strRef>
              <c:f>'[Microsoft Word programbeli  diagram]Munka1'!$A$3:$A$4</c:f>
              <c:strCache>
                <c:ptCount val="2"/>
                <c:pt idx="0">
                  <c:v>Felszámolás alatt lévő, illetve már nem működő gazdasági társaságok</c:v>
                </c:pt>
                <c:pt idx="1">
                  <c:v>Működő vállalkozások</c:v>
                </c:pt>
              </c:strCache>
            </c:strRef>
          </c:cat>
          <c:val>
            <c:numRef>
              <c:f>'[Microsoft Word programbeli  diagram]Munka1'!$C$3:$C$4</c:f>
              <c:numCache>
                <c:formatCode>_-* #\ ##0\ _F_t_-;\-* #\ ##0\ _F_t_-;_-* "-"??\ _F_t_-;_-@_-</c:formatCode>
                <c:ptCount val="2"/>
                <c:pt idx="0">
                  <c:v>43</c:v>
                </c:pt>
                <c:pt idx="1">
                  <c:v>57</c:v>
                </c:pt>
              </c:numCache>
            </c:numRef>
          </c:val>
        </c:ser>
        <c:dLbls>
          <c:showLegendKey val="0"/>
          <c:showVal val="0"/>
          <c:showCatName val="0"/>
          <c:showSerName val="0"/>
          <c:showPercent val="0"/>
          <c:showBubbleSize val="0"/>
          <c:showLeaderLines val="0"/>
        </c:dLbls>
      </c:pie3DChart>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90270-7CB9-46DD-9A9B-0444F76EF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3486</Words>
  <Characters>24061</Characters>
  <Application>Microsoft Office Word</Application>
  <DocSecurity>0</DocSecurity>
  <Lines>200</Lines>
  <Paragraphs>54</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27493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Lajkó Erzsébet Márta</cp:lastModifiedBy>
  <cp:revision>5</cp:revision>
  <cp:lastPrinted>2016-03-16T10:19:00Z</cp:lastPrinted>
  <dcterms:created xsi:type="dcterms:W3CDTF">2016-03-17T10:32:00Z</dcterms:created>
  <dcterms:modified xsi:type="dcterms:W3CDTF">2016-03-25T08:51:00Z</dcterms:modified>
</cp:coreProperties>
</file>