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ind w:hanging="284"/>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sz w:val="24"/>
          <w:szCs w:val="24"/>
          <w:rtl w:val="0"/>
        </w:rPr>
        <w:t xml:space="preserve">21</w:t>
      </w:r>
      <w:r w:rsidDel="00000000" w:rsidR="00000000" w:rsidRPr="00000000">
        <w:rPr>
          <w:rFonts w:ascii="Times New Roman" w:cs="Times New Roman" w:eastAsia="Times New Roman" w:hAnsi="Times New Roman"/>
          <w:b w:val="1"/>
          <w:color w:val="000000"/>
          <w:sz w:val="24"/>
          <w:szCs w:val="24"/>
          <w:rtl w:val="0"/>
        </w:rPr>
        <w:t xml:space="preserve">.  számú határozat előterjesztése</w:t>
      </w:r>
    </w:p>
    <w:p w:rsidR="00000000" w:rsidDel="00000000" w:rsidP="00000000" w:rsidRDefault="00000000" w:rsidRPr="00000000" w14:paraId="00000002">
      <w:pPr>
        <w:spacing w:after="20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200" w:line="240" w:lineRule="auto"/>
        <w:jc w:val="both"/>
        <w:rPr>
          <w:rFonts w:ascii="Times New Roman" w:cs="Times New Roman" w:eastAsia="Times New Roman" w:hAnsi="Times New Roman"/>
          <w:sz w:val="20"/>
          <w:szCs w:val="20"/>
        </w:rPr>
      </w:pPr>
      <w:bookmarkStart w:colFirst="0" w:colLast="0" w:name="_heading=h.gjdgxs" w:id="0"/>
      <w:bookmarkEnd w:id="0"/>
      <w:r w:rsidDel="00000000" w:rsidR="00000000" w:rsidRPr="00000000">
        <w:rPr>
          <w:rFonts w:ascii="Times New Roman" w:cs="Times New Roman" w:eastAsia="Times New Roman" w:hAnsi="Times New Roman"/>
          <w:sz w:val="20"/>
          <w:szCs w:val="20"/>
          <w:rtl w:val="0"/>
        </w:rPr>
        <w:t xml:space="preserve">Jelen előterjesztés tárgya a Hévíz-Balaton Airport Kft. Társasági Szerződésének elfogadása.</w:t>
      </w:r>
    </w:p>
    <w:p w:rsidR="00000000" w:rsidDel="00000000" w:rsidP="00000000" w:rsidRDefault="00000000" w:rsidRPr="00000000" w14:paraId="00000004">
      <w:pPr>
        <w:spacing w:after="200" w:line="240" w:lineRule="auto"/>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Előzmények</w:t>
      </w:r>
    </w:p>
    <w:p w:rsidR="00000000" w:rsidDel="00000000" w:rsidP="00000000" w:rsidRDefault="00000000" w:rsidRPr="00000000" w14:paraId="00000005">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A Kormány a Hévíz Város Önkormányzatának a HÉVÍZ-BALATON AIRPORT Korlátolt Felelősségű Társaságban (a továbbiakban: HBA) fennálló 90%-os részesedésének megvásárlásáról és a szükséges források biztosításáról szóló 1511/2020. (VIII. 12.) Korm. határozattal döntött arról, hogy a HBA-ban Hévíz Város Önkormányzatának 90 %-os társasági részesedése a magyar állam által megvásárlásra kerüljön és a részesedés felett a Magyar Turisztikai Ügynökség Zártkörűen Működő Részvénytársaság kerüljön tulajdonosi jogkör gyakorlóként kijelölésre</w:t>
      </w:r>
      <w:r w:rsidDel="00000000" w:rsidR="00000000" w:rsidRPr="00000000">
        <w:rPr>
          <w:rFonts w:ascii="Times New Roman" w:cs="Times New Roman" w:eastAsia="Times New Roman" w:hAnsi="Times New Roman"/>
          <w:b w:val="1"/>
          <w:color w:val="000000"/>
          <w:sz w:val="20"/>
          <w:szCs w:val="20"/>
          <w:rtl w:val="0"/>
        </w:rPr>
        <w:t xml:space="preserve">.</w:t>
      </w:r>
      <w:r w:rsidDel="00000000" w:rsidR="00000000" w:rsidRPr="00000000">
        <w:rPr>
          <w:rtl w:val="0"/>
        </w:rPr>
      </w:r>
    </w:p>
    <w:p w:rsidR="00000000" w:rsidDel="00000000" w:rsidP="00000000" w:rsidRDefault="00000000" w:rsidRPr="00000000" w14:paraId="00000006">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2020. november 12-től az egyes állami tulajdonban álló gazdasági társaságok felett az államot megillető tulajdonosi jogok és kötelezettségek összességét gyakorló személyek kijelöléséről szóló 1/2018. (VI. 25.) NVTNM rendelet 3. melléklet 5. pontja alapján a HBA-t, mint gazdasági társaság magyar államot megillető tulajdonosi jogok és kötelezettségek összességét a Magyar Turisztikai Ügynökség Zártkörűen működő Részvénytársaság gyakorolja.</w:t>
      </w:r>
      <w:r w:rsidDel="00000000" w:rsidR="00000000" w:rsidRPr="00000000">
        <w:rPr>
          <w:rtl w:val="0"/>
        </w:rPr>
      </w:r>
    </w:p>
    <w:p w:rsidR="00000000" w:rsidDel="00000000" w:rsidP="00000000" w:rsidRDefault="00000000" w:rsidRPr="00000000" w14:paraId="00000007">
      <w:pPr>
        <w:spacing w:after="280" w:before="28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Jelen előterjesztésről a Taggyűlés az „a veszélyhelyzet során a személy- és vagyonegyesítő szervezetek működésére vonatkozó eltérő rendelkezések újbóli bevezetéséről” szóló 502/2020. (XI. 16.) Korm. rendelet 3. § (2) és (3) bekezdése, valamint a</w:t>
      </w:r>
      <w:r w:rsidDel="00000000" w:rsidR="00000000" w:rsidRPr="00000000">
        <w:rPr>
          <w:rFonts w:ascii="Times New Roman" w:cs="Times New Roman" w:eastAsia="Times New Roman" w:hAnsi="Times New Roman"/>
          <w:color w:val="000000"/>
          <w:sz w:val="20"/>
          <w:szCs w:val="20"/>
          <w:rtl w:val="0"/>
        </w:rPr>
        <w:t xml:space="preserve"> HBA Társasági Szerződésének 11.17. pontja értelmében, ülés tartása nélkül, írásbeli szavazás keretében dönt.</w:t>
      </w:r>
      <w:r w:rsidDel="00000000" w:rsidR="00000000" w:rsidRPr="00000000">
        <w:rPr>
          <w:rtl w:val="0"/>
        </w:rPr>
      </w:r>
    </w:p>
    <w:p w:rsidR="00000000" w:rsidDel="00000000" w:rsidP="00000000" w:rsidRDefault="00000000" w:rsidRPr="00000000" w14:paraId="00000008">
      <w:pPr>
        <w:spacing w:after="200"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Vezetői összefoglaló</w:t>
      </w:r>
    </w:p>
    <w:p w:rsidR="00000000" w:rsidDel="00000000" w:rsidP="00000000" w:rsidRDefault="00000000" w:rsidRPr="00000000" w14:paraId="00000009">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Társasági Szerződés - a legutóbbi, 2020. december 10-i módosítását követően - átfogó felülvizsgálatára került sor, melynek eredményeként egy teljesen új, a Társaság működésének jól megfeleltethető szabályozás került kialakításra. A Társaság törzstőkéje 53.000.000 Ft-ban került megállapításra, melyből 47.850.000 Ft a Magyar Állam és 5.150.000 Ft Hévíz Város Önkormányzat törzsbetétjének mértéke. Szavazás esetén a Magyar Államot 90, míg Hévíz Város Önkormányzatát 10 szavazat illeti meg.</w:t>
      </w:r>
    </w:p>
    <w:p w:rsidR="00000000" w:rsidDel="00000000" w:rsidP="00000000" w:rsidRDefault="00000000" w:rsidRPr="00000000" w14:paraId="0000000A">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Jelentős nóvum, hogy a Társasági Szerződésben rögzítésre kerülnek a Taggyűlés kizárólagos hatáskörébe tartozó ügykörök, valamint az Ügyvezető hatáskörébe tartozó ügykörök és kötelezettségvállalási értékhatárok. </w:t>
      </w:r>
    </w:p>
    <w:p w:rsidR="00000000" w:rsidDel="00000000" w:rsidP="00000000" w:rsidRDefault="00000000" w:rsidRPr="00000000" w14:paraId="0000000B">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Taggyűlés kizárólagos hatáskörébe tartozik különösen:</w:t>
      </w:r>
    </w:p>
    <w:p w:rsidR="00000000" w:rsidDel="00000000" w:rsidP="00000000" w:rsidRDefault="00000000" w:rsidRPr="00000000" w14:paraId="0000000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91.99999999999994" w:lineRule="auto"/>
        <w:ind w:left="567"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bármely 50 millió forintot elérő összegű hitel felvételének engedélyezése;</w:t>
      </w:r>
    </w:p>
    <w:p w:rsidR="00000000" w:rsidDel="00000000" w:rsidP="00000000" w:rsidRDefault="00000000" w:rsidRPr="00000000" w14:paraId="0000000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91.99999999999994" w:lineRule="auto"/>
        <w:ind w:left="567"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Társaság tulajdonában álló ingatlanok, tárgyi eszközök, értékpapírok, tulajdoni részesedést jelentő befektetések vagy vagyoni értékű jogok,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az 50 millió forint összeget meghaladja;</w:t>
      </w:r>
    </w:p>
    <w:p w:rsidR="00000000" w:rsidDel="00000000" w:rsidP="00000000" w:rsidRDefault="00000000" w:rsidRPr="00000000" w14:paraId="0000000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91.99999999999994" w:lineRule="auto"/>
        <w:ind w:left="567"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döntés minden olyan jogügyletről, amelyben a Társaság 50 millió forint összeget elérő vagy meghaladó mértékben vállalna kötelezettséget;</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120" w:line="291.99999999999994"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Az Ügyvezető kizárólagos hatáskörébe tartozik különösen:</w:t>
      </w:r>
    </w:p>
    <w:p w:rsidR="00000000" w:rsidDel="00000000" w:rsidP="00000000" w:rsidRDefault="00000000" w:rsidRPr="00000000" w14:paraId="0000001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91.99999999999994" w:lineRule="auto"/>
        <w:ind w:left="567"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bármely hitelfelvétel engedélyezése, amennyiben a Társaság együttes hitelállománya a hitel felvételével legfeljebb 50 millió forint;</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91.99999999999994" w:lineRule="auto"/>
        <w:ind w:left="567"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 Társaság tulajdonában álló ingatlanok, tárgyi eszközök, értékpapírok, tulajdoni részesedést jelentő befektetések vagy vagyoni értékű jogok, követelések, egyéb vagyonelemek tulajdonjoga bármely jogcímen történő átruházásának, megterhelésének vagy azokra ilyen jogügyletet eredményező jog (ideértve a vételi, eladási és az elővásárlási jogot is) alapításának engedélyezése, amennyiben a jogügyletben érintett vagyon értéke legfeljebb 50 millió forint;</w:t>
      </w:r>
    </w:p>
    <w:p w:rsidR="00000000" w:rsidDel="00000000" w:rsidP="00000000" w:rsidRDefault="00000000" w:rsidRPr="00000000" w14:paraId="0000001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91.99999999999994" w:lineRule="auto"/>
        <w:ind w:left="567"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döntés minden olyan jogügyletről, amelyben a Társaság legfeljebb 50 millió forint mértékben vállalna biztosítéki jellegű kötelezettséget, ideértve különösen az akkreditív nyitását, kötelezettként zálogjog alapítását, kezesség vállalását, tartozásátvállalást, garanciavállalást, jótállás vagy más hasonló kötelezettség vállalását;</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ffffff" w:val="clear"/>
        <w:spacing w:after="120" w:before="120" w:line="291.99999999999994" w:lineRule="auto"/>
        <w:ind w:left="567" w:right="0" w:hanging="567"/>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minden olyan, a fenti hatásköri szabályok alá nem tartozó, egyedi jogügyletben meghozott döntés, amelyhez kapcsolódó kötelezettségvállalás értéke legfeljebb 50 millió forint. </w:t>
      </w:r>
    </w:p>
    <w:p w:rsidR="00000000" w:rsidDel="00000000" w:rsidP="00000000" w:rsidRDefault="00000000" w:rsidRPr="00000000" w14:paraId="00000014">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Társasági Szerződésben rögzítésre kerül egy új Felügyelőbizottsági tag dr. Böröczky Zita asszony személyében, aki H. Horváth Orsolya asszonyt váltja a Felügyelőbizottságban.</w:t>
      </w:r>
    </w:p>
    <w:p w:rsidR="00000000" w:rsidDel="00000000" w:rsidP="00000000" w:rsidRDefault="00000000" w:rsidRPr="00000000" w14:paraId="00000015">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 Társaság jelen Társasági Szerződés elfogadásával egyidejűleg a korábbi - 2020. december 10-i - Társasági Szerződését hatályon kívül helyezi.</w:t>
      </w:r>
    </w:p>
    <w:p w:rsidR="00000000" w:rsidDel="00000000" w:rsidP="00000000" w:rsidRDefault="00000000" w:rsidRPr="00000000" w14:paraId="00000016">
      <w:pPr>
        <w:spacing w:after="200" w:line="240" w:lineRule="auto"/>
        <w:ind w:hanging="284"/>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Ülés tartása nélküli döntéshozatal</w:t>
      </w:r>
    </w:p>
    <w:p w:rsidR="00000000" w:rsidDel="00000000" w:rsidP="00000000" w:rsidRDefault="00000000" w:rsidRPr="00000000" w14:paraId="00000017">
      <w:pPr>
        <w:spacing w:after="200" w:line="240" w:lineRule="auto"/>
        <w:ind w:hanging="284"/>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2021. </w:t>
      </w:r>
    </w:p>
    <w:p w:rsidR="00000000" w:rsidDel="00000000" w:rsidP="00000000" w:rsidRDefault="00000000" w:rsidRPr="00000000" w14:paraId="00000018">
      <w:pPr>
        <w:spacing w:after="20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  számú határozattervezet:</w:t>
      </w:r>
    </w:p>
    <w:p w:rsidR="00000000" w:rsidDel="00000000" w:rsidP="00000000" w:rsidRDefault="00000000" w:rsidRPr="00000000" w14:paraId="0000001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Taggyűlés az Ügyvezető által írásban előterjesztett, a Hévíz-Balaton Airport Kft. Társasági Szerződését elfogadja. </w:t>
      </w:r>
    </w:p>
    <w:p w:rsidR="00000000" w:rsidDel="00000000" w:rsidP="00000000" w:rsidRDefault="00000000" w:rsidRPr="00000000" w14:paraId="0000001B">
      <w:pPr>
        <w:rPr>
          <w:rFonts w:ascii="Times New Roman" w:cs="Times New Roman" w:eastAsia="Times New Roman" w:hAnsi="Times New Roman"/>
          <w:sz w:val="20"/>
          <w:szCs w:val="20"/>
        </w:rPr>
      </w:pPr>
      <w:r w:rsidDel="00000000" w:rsidR="00000000" w:rsidRPr="00000000">
        <w:rPr>
          <w:rtl w:val="0"/>
        </w:rPr>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BarmenoRegularHU"/>
  <w:font w:name="BarmenoBoldHU"/>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spacing w:after="240" w:lineRule="auto"/>
      <w:rPr>
        <w:rFonts w:ascii="Times New Roman" w:cs="Times New Roman" w:eastAsia="Times New Roman" w:hAnsi="Times New Roman"/>
        <w:sz w:val="24"/>
        <w:szCs w:val="24"/>
      </w:rPr>
    </w:pPr>
    <w:r w:rsidDel="00000000" w:rsidR="00000000" w:rsidRPr="00000000">
      <w:rPr>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-304799</wp:posOffset>
              </wp:positionH>
              <wp:positionV relativeFrom="paragraph">
                <wp:posOffset>152400</wp:posOffset>
              </wp:positionV>
              <wp:extent cx="6178550" cy="71119"/>
              <wp:effectExtent b="0" l="0" r="0" t="0"/>
              <wp:wrapNone/>
              <wp:docPr id="12" name=""/>
              <a:graphic>
                <a:graphicData uri="http://schemas.microsoft.com/office/word/2010/wordprocessingShape">
                  <wps:wsp>
                    <wps:cNvSpPr/>
                    <wps:cNvPr id="2" name="Shape 2"/>
                    <wps:spPr>
                      <a:xfrm flipH="1" rot="10800000">
                        <a:off x="2269425" y="3757141"/>
                        <a:ext cx="6153150" cy="45719"/>
                      </a:xfrm>
                      <a:prstGeom prst="rect">
                        <a:avLst/>
                      </a:prstGeom>
                      <a:solidFill>
                        <a:srgbClr val="0070C0"/>
                      </a:solidFill>
                      <a:ln cap="flat" cmpd="sng" w="12700">
                        <a:solidFill>
                          <a:srgbClr val="3153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-304799</wp:posOffset>
              </wp:positionH>
              <wp:positionV relativeFrom="paragraph">
                <wp:posOffset>152400</wp:posOffset>
              </wp:positionV>
              <wp:extent cx="6178550" cy="71119"/>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178550" cy="71119"/>
                      </a:xfrm>
                      <a:prstGeom prst="rect"/>
                      <a:ln/>
                    </pic:spPr>
                  </pic:pic>
                </a:graphicData>
              </a:graphic>
            </wp:anchor>
          </w:drawing>
        </mc:Fallback>
      </mc:AlternateContent>
    </w:r>
  </w:p>
  <w:tbl>
    <w:tblPr>
      <w:tblStyle w:val="Table1"/>
      <w:tblW w:w="8259.0" w:type="dxa"/>
      <w:jc w:val="left"/>
      <w:tblInd w:w="0.0" w:type="dxa"/>
      <w:tblLayout w:type="fixed"/>
      <w:tblLook w:val="0400"/>
    </w:tblPr>
    <w:tblGrid>
      <w:gridCol w:w="6821"/>
      <w:gridCol w:w="1278"/>
      <w:gridCol w:w="160"/>
      <w:tblGridChange w:id="0">
        <w:tblGrid>
          <w:gridCol w:w="6821"/>
          <w:gridCol w:w="1278"/>
          <w:gridCol w:w="160"/>
        </w:tblGrid>
      </w:tblGridChange>
    </w:tblGrid>
    <w:tr>
      <w:trPr>
        <w:cantSplit w:val="0"/>
        <w:trHeight w:val="1145" w:hRule="atLeast"/>
        <w:tblHeader w:val="0"/>
      </w:trPr>
      <w:tc>
        <w:tcPr>
          <w:tcMar>
            <w:top w:w="0.0" w:type="dxa"/>
            <w:left w:w="70.0" w:type="dxa"/>
            <w:bottom w:w="0.0" w:type="dxa"/>
            <w:right w:w="70.0" w:type="dxa"/>
          </w:tcMar>
        </w:tcPr>
        <w:p w:rsidR="00000000" w:rsidDel="00000000" w:rsidP="00000000" w:rsidRDefault="00000000" w:rsidRPr="00000000" w14:paraId="0000001E">
          <w:pPr>
            <w:spacing w:after="200" w:line="240" w:lineRule="auto"/>
            <w:ind w:left="-3" w:firstLine="0"/>
            <w:rPr>
              <w:rFonts w:ascii="Times New Roman" w:cs="Times New Roman" w:eastAsia="Times New Roman" w:hAnsi="Times New Roman"/>
              <w:sz w:val="24"/>
              <w:szCs w:val="24"/>
            </w:rPr>
          </w:pPr>
          <w:r w:rsidDel="00000000" w:rsidR="00000000" w:rsidRPr="00000000">
            <w:rPr>
              <w:rFonts w:ascii="BarmenoBoldHU" w:cs="BarmenoBoldHU" w:eastAsia="BarmenoBoldHU" w:hAnsi="BarmenoBoldHU"/>
              <w:b w:val="1"/>
              <w:color w:val="000000"/>
              <w:sz w:val="20"/>
              <w:szCs w:val="20"/>
              <w:rtl w:val="0"/>
            </w:rPr>
            <w:t xml:space="preserve">Hévíz-Balaton Airport Kft.        </w:t>
          </w:r>
          <w:r w:rsidDel="00000000" w:rsidR="00000000" w:rsidRPr="00000000">
            <w:rPr>
              <w:rFonts w:ascii="BarmenoBoldHU" w:cs="BarmenoBoldHU" w:eastAsia="BarmenoBoldHU" w:hAnsi="BarmenoBoldHU"/>
              <w:b w:val="1"/>
              <w:color w:val="000000"/>
              <w:rtl w:val="0"/>
            </w:rPr>
            <w:t xml:space="preserve">-     </w:t>
          </w:r>
          <w:r w:rsidDel="00000000" w:rsidR="00000000" w:rsidRPr="00000000">
            <w:rPr>
              <w:rFonts w:ascii="BarmenoBoldHU" w:cs="BarmenoBoldHU" w:eastAsia="BarmenoBoldHU" w:hAnsi="BarmenoBoldHU"/>
              <w:b w:val="1"/>
              <w:color w:val="000000"/>
              <w:sz w:val="20"/>
              <w:szCs w:val="20"/>
              <w:rtl w:val="0"/>
            </w:rPr>
            <w:t xml:space="preserve">Hévíz-Balaton Airport / LHSM-SOB</w:t>
            <w:br w:type="textWrapping"/>
          </w:r>
          <w:r w:rsidDel="00000000" w:rsidR="00000000" w:rsidRPr="00000000">
            <w:rPr>
              <w:rFonts w:ascii="BarmenoRegularHU" w:cs="BarmenoRegularHU" w:eastAsia="BarmenoRegularHU" w:hAnsi="BarmenoRegularHU"/>
              <w:color w:val="000000"/>
              <w:sz w:val="20"/>
              <w:szCs w:val="20"/>
              <w:rtl w:val="0"/>
            </w:rPr>
            <w:t xml:space="preserve">H-8391 Sármellék, Repülőtér  Tel: (+36-83) 200-300  Fax: (+36-83) 200-301</w:t>
            <w:br w:type="textWrapping"/>
            <w:t xml:space="preserve">E-mail: </w:t>
          </w:r>
          <w:hyperlink r:id="rId2">
            <w:r w:rsidDel="00000000" w:rsidR="00000000" w:rsidRPr="00000000">
              <w:rPr>
                <w:rFonts w:ascii="BarmenoRegularHU" w:cs="BarmenoRegularHU" w:eastAsia="BarmenoRegularHU" w:hAnsi="BarmenoRegularHU"/>
                <w:color w:val="0000ff"/>
                <w:sz w:val="20"/>
                <w:szCs w:val="20"/>
                <w:u w:val="single"/>
                <w:rtl w:val="0"/>
              </w:rPr>
              <w:t xml:space="preserve">info@hevizairport.com</w:t>
            </w:r>
          </w:hyperlink>
          <w:r w:rsidDel="00000000" w:rsidR="00000000" w:rsidRPr="00000000">
            <w:rPr>
              <w:rFonts w:ascii="BarmenoRegularHU" w:cs="BarmenoRegularHU" w:eastAsia="BarmenoRegularHU" w:hAnsi="BarmenoRegularHU"/>
              <w:color w:val="000000"/>
              <w:sz w:val="20"/>
              <w:szCs w:val="20"/>
              <w:rtl w:val="0"/>
            </w:rPr>
            <w:t xml:space="preserve">    Web: </w:t>
          </w:r>
          <w:hyperlink r:id="rId3">
            <w:r w:rsidDel="00000000" w:rsidR="00000000" w:rsidRPr="00000000">
              <w:rPr>
                <w:rFonts w:ascii="BarmenoRegularHU" w:cs="BarmenoRegularHU" w:eastAsia="BarmenoRegularHU" w:hAnsi="BarmenoRegularHU"/>
                <w:color w:val="0000ff"/>
                <w:sz w:val="20"/>
                <w:szCs w:val="20"/>
                <w:u w:val="single"/>
                <w:rtl w:val="0"/>
              </w:rPr>
              <w:t xml:space="preserve">www.hevizairport.com</w:t>
            </w:r>
          </w:hyperlink>
          <w:r w:rsidDel="00000000" w:rsidR="00000000" w:rsidRPr="00000000">
            <w:rPr>
              <w:rtl w:val="0"/>
            </w:rPr>
          </w:r>
        </w:p>
      </w:tc>
      <w:tc>
        <w:tcPr>
          <w:tcMar>
            <w:top w:w="0.0" w:type="dxa"/>
            <w:left w:w="70.0" w:type="dxa"/>
            <w:bottom w:w="0.0" w:type="dxa"/>
            <w:right w:w="70.0" w:type="dxa"/>
          </w:tcMar>
        </w:tcPr>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color w:val="000000"/>
            </w:rPr>
            <w:drawing>
              <wp:inline distB="0" distT="0" distL="0" distR="0">
                <wp:extent cx="714375" cy="733425"/>
                <wp:effectExtent b="0" l="0" r="0" t="0"/>
                <wp:docPr id="14" name="image1.png"/>
                <a:graphic>
                  <a:graphicData uri="http://schemas.openxmlformats.org/drawingml/2006/picture">
                    <pic:pic>
                      <pic:nvPicPr>
                        <pic:cNvPr id="0" name="image1.png"/>
                        <pic:cNvPicPr preferRelativeResize="0"/>
                      </pic:nvPicPr>
                      <pic:blipFill>
                        <a:blip r:embed="rId4"/>
                        <a:srcRect b="0" l="0" r="0" t="0"/>
                        <a:stretch>
                          <a:fillRect/>
                        </a:stretch>
                      </pic:blipFill>
                      <pic:spPr>
                        <a:xfrm>
                          <a:off x="0" y="0"/>
                          <a:ext cx="714375" cy="733425"/>
                        </a:xfrm>
                        <a:prstGeom prst="rect"/>
                        <a:ln/>
                      </pic:spPr>
                    </pic:pic>
                  </a:graphicData>
                </a:graphic>
              </wp:inline>
            </w:drawing>
          </w:r>
          <w:r w:rsidDel="00000000" w:rsidR="00000000" w:rsidRPr="00000000">
            <w:rPr>
              <w:rtl w:val="0"/>
            </w:rPr>
          </w:r>
        </w:p>
      </w:tc>
      <w:tc>
        <w:tcPr>
          <w:tcMar>
            <w:top w:w="0.0" w:type="dxa"/>
            <w:left w:w="70.0" w:type="dxa"/>
            <w:bottom w:w="0.0" w:type="dxa"/>
            <w:right w:w="70.0" w:type="dxa"/>
          </w:tcMar>
        </w:tcPr>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pos="4536"/>
        <w:tab w:val="right" w:pos="9072"/>
      </w:tabs>
      <w:spacing w:after="0" w:line="240" w:lineRule="auto"/>
      <w:jc w:val="right"/>
      <w:rPr>
        <w:color w:val="000000"/>
      </w:rPr>
    </w:pPr>
    <w:r w:rsidDel="00000000" w:rsidR="00000000" w:rsidRPr="00000000">
      <w:rPr>
        <w:color w:val="000000"/>
      </w:rPr>
      <w:drawing>
        <wp:inline distB="0" distT="0" distL="0" distR="0">
          <wp:extent cx="2609850" cy="647700"/>
          <wp:effectExtent b="0" l="0" r="0" t="0"/>
          <wp:docPr descr="A képen szöveg, clipart látható&#10;&#10;Automatikusan generált leírás" id="13" name="image2.jpg"/>
          <a:graphic>
            <a:graphicData uri="http://schemas.openxmlformats.org/drawingml/2006/picture">
              <pic:pic>
                <pic:nvPicPr>
                  <pic:cNvPr descr="A képen szöveg, clipart látható&#10;&#10;Automatikusan generált leírás" id="0" name="image2.jpg"/>
                  <pic:cNvPicPr preferRelativeResize="0"/>
                </pic:nvPicPr>
                <pic:blipFill>
                  <a:blip r:embed="rId1"/>
                  <a:srcRect b="0" l="0" r="0" t="0"/>
                  <a:stretch>
                    <a:fillRect/>
                  </a:stretch>
                </pic:blipFill>
                <pic:spPr>
                  <a:xfrm>
                    <a:off x="0" y="0"/>
                    <a:ext cx="2609850" cy="6477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decimal"/>
      <w:lvlText w:val="%1."/>
      <w:lvlJc w:val="left"/>
      <w:pPr>
        <w:ind w:left="380" w:hanging="380"/>
      </w:pPr>
      <w:rPr>
        <w:b w:val="1"/>
        <w:color w:val="000000"/>
      </w:rPr>
    </w:lvl>
    <w:lvl w:ilvl="1">
      <w:start w:val="1"/>
      <w:numFmt w:val="decimal"/>
      <w:lvlText w:val="%1.%2."/>
      <w:lvlJc w:val="left"/>
      <w:pPr>
        <w:ind w:left="2564" w:hanging="720.0000000000002"/>
      </w:pPr>
      <w:rPr>
        <w:b w:val="0"/>
      </w:rPr>
    </w:lvl>
    <w:lvl w:ilvl="2">
      <w:start w:val="1"/>
      <w:numFmt w:val="lowerLetter"/>
      <w:lvlText w:val="%3)"/>
      <w:lvlJc w:val="left"/>
      <w:pPr>
        <w:ind w:left="720" w:hanging="720"/>
      </w:pPr>
      <w:rPr/>
    </w:lvl>
    <w:lvl w:ilvl="3">
      <w:start w:val="1"/>
      <w:numFmt w:val="decimal"/>
      <w:lvlText w:val="%1.%2.%3.%4."/>
      <w:lvlJc w:val="left"/>
      <w:pPr>
        <w:ind w:left="1080" w:hanging="108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u-H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 w:default="1">
    <w:name w:val="Normal"/>
    <w:qFormat w:val="1"/>
    <w:rsid w:val="000F4350"/>
  </w:style>
  <w:style w:type="paragraph" w:styleId="Cmsor1">
    <w:name w:val="heading 1"/>
    <w:basedOn w:val="Norml"/>
    <w:next w:val="Norml"/>
    <w:uiPriority w:val="9"/>
    <w:qFormat w:val="1"/>
    <w:pPr>
      <w:keepNext w:val="1"/>
      <w:keepLines w:val="1"/>
      <w:spacing w:after="120" w:before="480"/>
      <w:outlineLvl w:val="0"/>
    </w:pPr>
    <w:rPr>
      <w:b w:val="1"/>
      <w:sz w:val="48"/>
      <w:szCs w:val="48"/>
    </w:rPr>
  </w:style>
  <w:style w:type="paragraph" w:styleId="Cmsor2">
    <w:name w:val="heading 2"/>
    <w:basedOn w:val="Norml"/>
    <w:next w:val="Norml"/>
    <w:uiPriority w:val="9"/>
    <w:semiHidden w:val="1"/>
    <w:unhideWhenUsed w:val="1"/>
    <w:qFormat w:val="1"/>
    <w:pPr>
      <w:keepNext w:val="1"/>
      <w:keepLines w:val="1"/>
      <w:spacing w:after="80" w:before="360"/>
      <w:outlineLvl w:val="1"/>
    </w:pPr>
    <w:rPr>
      <w:b w:val="1"/>
      <w:sz w:val="36"/>
      <w:szCs w:val="36"/>
    </w:rPr>
  </w:style>
  <w:style w:type="paragraph" w:styleId="Cmsor3">
    <w:name w:val="heading 3"/>
    <w:basedOn w:val="Norml"/>
    <w:next w:val="Norml"/>
    <w:uiPriority w:val="9"/>
    <w:semiHidden w:val="1"/>
    <w:unhideWhenUsed w:val="1"/>
    <w:qFormat w:val="1"/>
    <w:pPr>
      <w:keepNext w:val="1"/>
      <w:keepLines w:val="1"/>
      <w:spacing w:after="80" w:before="280"/>
      <w:outlineLvl w:val="2"/>
    </w:pPr>
    <w:rPr>
      <w:b w:val="1"/>
      <w:sz w:val="28"/>
      <w:szCs w:val="28"/>
    </w:rPr>
  </w:style>
  <w:style w:type="paragraph" w:styleId="Cmsor4">
    <w:name w:val="heading 4"/>
    <w:basedOn w:val="Norml"/>
    <w:next w:val="Norml"/>
    <w:uiPriority w:val="9"/>
    <w:semiHidden w:val="1"/>
    <w:unhideWhenUsed w:val="1"/>
    <w:qFormat w:val="1"/>
    <w:pPr>
      <w:keepNext w:val="1"/>
      <w:keepLines w:val="1"/>
      <w:spacing w:after="40" w:before="240"/>
      <w:outlineLvl w:val="3"/>
    </w:pPr>
    <w:rPr>
      <w:b w:val="1"/>
      <w:sz w:val="24"/>
      <w:szCs w:val="24"/>
    </w:rPr>
  </w:style>
  <w:style w:type="paragraph" w:styleId="Cmsor5">
    <w:name w:val="heading 5"/>
    <w:basedOn w:val="Norml"/>
    <w:next w:val="Norml"/>
    <w:uiPriority w:val="9"/>
    <w:semiHidden w:val="1"/>
    <w:unhideWhenUsed w:val="1"/>
    <w:qFormat w:val="1"/>
    <w:pPr>
      <w:keepNext w:val="1"/>
      <w:keepLines w:val="1"/>
      <w:spacing w:after="40" w:before="220"/>
      <w:outlineLvl w:val="4"/>
    </w:pPr>
    <w:rPr>
      <w:b w:val="1"/>
    </w:rPr>
  </w:style>
  <w:style w:type="paragraph" w:styleId="Cmsor6">
    <w:name w:val="heading 6"/>
    <w:basedOn w:val="Norml"/>
    <w:next w:val="Norml"/>
    <w:uiPriority w:val="9"/>
    <w:semiHidden w:val="1"/>
    <w:unhideWhenUsed w:val="1"/>
    <w:qFormat w:val="1"/>
    <w:pPr>
      <w:keepNext w:val="1"/>
      <w:keepLines w:val="1"/>
      <w:spacing w:after="40" w:before="200"/>
      <w:outlineLvl w:val="5"/>
    </w:pPr>
    <w:rPr>
      <w:b w:val="1"/>
      <w:sz w:val="20"/>
      <w:szCs w:val="20"/>
    </w:rPr>
  </w:style>
  <w:style w:type="character" w:styleId="Bekezdsalapbettpusa" w:default="1">
    <w:name w:val="Default Paragraph Font"/>
    <w:uiPriority w:val="1"/>
    <w:semiHidden w:val="1"/>
    <w:unhideWhenUsed w:val="1"/>
  </w:style>
  <w:style w:type="table" w:styleId="Normltblzat" w:default="1">
    <w:name w:val="Normal Table"/>
    <w:uiPriority w:val="99"/>
    <w:semiHidden w:val="1"/>
    <w:unhideWhenUsed w:val="1"/>
    <w:tblPr>
      <w:tblInd w:w="0.0" w:type="dxa"/>
      <w:tblCellMar>
        <w:top w:w="0.0" w:type="dxa"/>
        <w:left w:w="108.0" w:type="dxa"/>
        <w:bottom w:w="0.0" w:type="dxa"/>
        <w:right w:w="108.0" w:type="dxa"/>
      </w:tblCellMar>
    </w:tblPr>
  </w:style>
  <w:style w:type="numbering" w:styleId="N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Cm">
    <w:name w:val="Title"/>
    <w:basedOn w:val="Norml"/>
    <w:next w:val="Norml"/>
    <w:uiPriority w:val="10"/>
    <w:qFormat w:val="1"/>
    <w:pPr>
      <w:keepNext w:val="1"/>
      <w:keepLines w:val="1"/>
      <w:spacing w:after="120" w:before="480"/>
    </w:pPr>
    <w:rPr>
      <w:b w:val="1"/>
      <w:sz w:val="72"/>
      <w:szCs w:val="72"/>
    </w:rPr>
  </w:style>
  <w:style w:type="paragraph" w:styleId="lfej">
    <w:name w:val="header"/>
    <w:basedOn w:val="Norml"/>
    <w:link w:val="lfejChar"/>
    <w:uiPriority w:val="99"/>
    <w:unhideWhenUsed w:val="1"/>
    <w:rsid w:val="000F4350"/>
    <w:pPr>
      <w:tabs>
        <w:tab w:val="center" w:pos="4536"/>
        <w:tab w:val="right" w:pos="9072"/>
      </w:tabs>
      <w:spacing w:after="0" w:line="240" w:lineRule="auto"/>
    </w:pPr>
  </w:style>
  <w:style w:type="character" w:styleId="lfejChar" w:customStyle="1">
    <w:name w:val="Élőfej Char"/>
    <w:basedOn w:val="Bekezdsalapbettpusa"/>
    <w:link w:val="lfej"/>
    <w:uiPriority w:val="99"/>
    <w:rsid w:val="000F4350"/>
  </w:style>
  <w:style w:type="paragraph" w:styleId="llb">
    <w:name w:val="footer"/>
    <w:basedOn w:val="Norml"/>
    <w:link w:val="llbChar"/>
    <w:uiPriority w:val="99"/>
    <w:unhideWhenUsed w:val="1"/>
    <w:rsid w:val="000F4350"/>
    <w:pPr>
      <w:tabs>
        <w:tab w:val="center" w:pos="4536"/>
        <w:tab w:val="right" w:pos="9072"/>
      </w:tabs>
      <w:spacing w:after="0" w:line="240" w:lineRule="auto"/>
    </w:pPr>
  </w:style>
  <w:style w:type="character" w:styleId="llbChar" w:customStyle="1">
    <w:name w:val="Élőláb Char"/>
    <w:basedOn w:val="Bekezdsalapbettpusa"/>
    <w:link w:val="llb"/>
    <w:uiPriority w:val="99"/>
    <w:rsid w:val="000F4350"/>
  </w:style>
  <w:style w:type="paragraph" w:styleId="NormlWeb">
    <w:name w:val="Normal (Web)"/>
    <w:basedOn w:val="Norml"/>
    <w:uiPriority w:val="99"/>
    <w:semiHidden w:val="1"/>
    <w:unhideWhenUsed w:val="1"/>
    <w:rsid w:val="0023108F"/>
    <w:pPr>
      <w:spacing w:after="100" w:afterAutospacing="1" w:before="100" w:beforeAutospacing="1" w:line="240" w:lineRule="auto"/>
    </w:pPr>
    <w:rPr>
      <w:rFonts w:ascii="Times New Roman" w:cs="Times New Roman" w:eastAsia="Times New Roman" w:hAnsi="Times New Roman"/>
      <w:sz w:val="24"/>
      <w:szCs w:val="24"/>
    </w:rPr>
  </w:style>
  <w:style w:type="character" w:styleId="Hiperhivatkozs">
    <w:name w:val="Hyperlink"/>
    <w:basedOn w:val="Bekezdsalapbettpusa"/>
    <w:uiPriority w:val="99"/>
    <w:semiHidden w:val="1"/>
    <w:unhideWhenUsed w:val="1"/>
    <w:rsid w:val="0023108F"/>
    <w:rPr>
      <w:color w:val="0000ff"/>
      <w:u w:val="single"/>
    </w:rPr>
  </w:style>
  <w:style w:type="paragraph" w:styleId="Alcm">
    <w:name w:val="Subtitle"/>
    <w:basedOn w:val="Norml"/>
    <w:next w:val="Norm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5.0" w:type="dxa"/>
        <w:left w:w="15.0" w:type="dxa"/>
        <w:bottom w:w="15.0" w:type="dxa"/>
        <w:right w:w="15.0" w:type="dxa"/>
      </w:tblCellMar>
    </w:tblPr>
  </w:style>
  <w:style w:type="paragraph" w:styleId="Szvegtrzs2" w:customStyle="1">
    <w:name w:val="Szövegtörzs2"/>
    <w:basedOn w:val="Norml"/>
    <w:rsid w:val="0034761D"/>
    <w:pPr>
      <w:shd w:color="auto" w:fill="ffffff" w:val="clear"/>
      <w:spacing w:after="300" w:line="292" w:lineRule="exact"/>
      <w:ind w:hanging="320"/>
      <w:jc w:val="both"/>
    </w:pPr>
    <w:rPr>
      <w:rFonts w:ascii="Arial" w:cs="Times New Roman" w:eastAsia="Arial" w:hAnsi="Arial"/>
      <w:sz w:val="25"/>
      <w:szCs w:val="25"/>
      <w:lang w:eastAsia="x-none" w:val="x-none"/>
    </w:rPr>
  </w:style>
  <w:style w:type="paragraph" w:styleId="Listaszerbekezds">
    <w:name w:val="List Paragraph"/>
    <w:basedOn w:val="Norml"/>
    <w:qFormat w:val="1"/>
    <w:rsid w:val="00564BB3"/>
    <w:pPr>
      <w:spacing w:after="0" w:line="240" w:lineRule="auto"/>
      <w:ind w:left="708"/>
    </w:pPr>
    <w:rPr>
      <w:rFonts w:ascii="Arial Unicode MS" w:cs="Arial Unicode MS" w:eastAsia="Arial Unicode MS" w:hAnsi="Arial Unicode MS"/>
      <w:color w:val="000000"/>
      <w:sz w:val="24"/>
      <w:szCs w:val="24"/>
      <w:lang w:val="hu"/>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hyperlink" Target="mailto:info@hevizairport.com" TargetMode="External"/><Relationship Id="rId3" Type="http://schemas.openxmlformats.org/officeDocument/2006/relationships/hyperlink" Target="http://www.hevizairport.com" TargetMode="External"/><Relationship Id="rId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y+6NpY9E57u11CdBxqCCx0W/7Q==">AMUW2mWl2Ybp1EiXhh0E22dZRx+6CBP/RGWLcLcqnGYg52s0K5tUEvVifXAa4VkktDpVqK9Nnb/A0bscfmcx8oUWsJbT9CXxAC+aKKV184JlxFG9ll+dz1531JjPDVoNV4NBdq6NCDxA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2021-11-28T16:22:00Z</dcterms:created>
  <dc:creator>Katinka Bencze-Fekete</dc:creator>
</cp:coreProperties>
</file>